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9C457" w14:textId="1E872107" w:rsidR="00E354C5" w:rsidRPr="00361437" w:rsidRDefault="00E354C5" w:rsidP="00E354C5">
      <w:pPr>
        <w:spacing w:line="360" w:lineRule="auto"/>
        <w:jc w:val="center"/>
        <w:rPr>
          <w:rFonts w:cs="Times New Roman"/>
          <w:b/>
          <w:sz w:val="28"/>
        </w:rPr>
      </w:pPr>
      <w:r w:rsidRPr="00361437">
        <w:rPr>
          <w:rFonts w:cs="Times New Roman"/>
          <w:b/>
          <w:sz w:val="28"/>
        </w:rPr>
        <w:t>Institutional Debt Hold</w:t>
      </w:r>
      <w:r w:rsidR="006551AA" w:rsidRPr="00361437">
        <w:rPr>
          <w:rFonts w:cs="Times New Roman"/>
          <w:b/>
          <w:sz w:val="28"/>
        </w:rPr>
        <w:t>er</w:t>
      </w:r>
      <w:r w:rsidRPr="00361437">
        <w:rPr>
          <w:rFonts w:cs="Times New Roman"/>
          <w:b/>
          <w:sz w:val="28"/>
        </w:rPr>
        <w:t xml:space="preserve"> Governance</w:t>
      </w:r>
    </w:p>
    <w:p w14:paraId="4F7E24C8" w14:textId="77777777" w:rsidR="00E354C5" w:rsidRPr="00361437" w:rsidRDefault="00E354C5" w:rsidP="00E354C5">
      <w:pPr>
        <w:spacing w:line="360" w:lineRule="auto"/>
        <w:jc w:val="center"/>
        <w:rPr>
          <w:rFonts w:cs="Times New Roman"/>
        </w:rPr>
      </w:pPr>
    </w:p>
    <w:p w14:paraId="0F230A65" w14:textId="32A29353" w:rsidR="00E50F0C" w:rsidRPr="00361437" w:rsidRDefault="00E354C5" w:rsidP="00E354C5">
      <w:pPr>
        <w:spacing w:line="360" w:lineRule="auto"/>
        <w:jc w:val="center"/>
        <w:rPr>
          <w:rFonts w:cs="Times New Roman"/>
          <w:sz w:val="24"/>
          <w:szCs w:val="24"/>
        </w:rPr>
      </w:pPr>
      <w:r w:rsidRPr="00361437">
        <w:rPr>
          <w:rFonts w:cs="Times New Roman"/>
          <w:sz w:val="24"/>
          <w:szCs w:val="24"/>
        </w:rPr>
        <w:t>Aneel Keswani,</w:t>
      </w:r>
      <w:r w:rsidRPr="00361437">
        <w:rPr>
          <w:rStyle w:val="Heading3Char"/>
          <w:rFonts w:ascii="Times New Roman" w:hAnsi="Times New Roman" w:cs="Times New Roman"/>
        </w:rPr>
        <w:t xml:space="preserve"> </w:t>
      </w:r>
      <w:r w:rsidRPr="00361437">
        <w:rPr>
          <w:rFonts w:cs="Times New Roman"/>
          <w:sz w:val="24"/>
          <w:szCs w:val="24"/>
        </w:rPr>
        <w:t>Anh Tran</w:t>
      </w:r>
      <w:r w:rsidR="00E50F0C" w:rsidRPr="00361437">
        <w:rPr>
          <w:rFonts w:cs="Times New Roman"/>
          <w:sz w:val="24"/>
          <w:szCs w:val="24"/>
        </w:rPr>
        <w:t>,</w:t>
      </w:r>
      <w:r w:rsidRPr="00361437">
        <w:rPr>
          <w:rFonts w:cs="Times New Roman"/>
          <w:sz w:val="24"/>
          <w:szCs w:val="24"/>
        </w:rPr>
        <w:t xml:space="preserve"> and Paolo Volpin</w:t>
      </w:r>
      <w:r w:rsidR="00D7214A" w:rsidRPr="00361437">
        <w:rPr>
          <w:rFonts w:cs="Times New Roman"/>
          <w:sz w:val="24"/>
          <w:szCs w:val="24"/>
        </w:rPr>
        <w:t xml:space="preserve"> </w:t>
      </w:r>
      <w:r w:rsidR="00D7214A" w:rsidRPr="00361437">
        <w:rPr>
          <w:rStyle w:val="FootnoteReference"/>
          <w:sz w:val="24"/>
          <w:szCs w:val="24"/>
        </w:rPr>
        <w:footnoteReference w:id="2"/>
      </w:r>
    </w:p>
    <w:p w14:paraId="4DD5CFE9" w14:textId="77777777" w:rsidR="00E50F0C" w:rsidRPr="00361437" w:rsidRDefault="00E50F0C" w:rsidP="00E354C5">
      <w:pPr>
        <w:spacing w:line="360" w:lineRule="auto"/>
        <w:jc w:val="center"/>
        <w:rPr>
          <w:rFonts w:cs="Times New Roman"/>
        </w:rPr>
      </w:pPr>
    </w:p>
    <w:p w14:paraId="7D57BE48" w14:textId="77777777" w:rsidR="00E50F0C" w:rsidRPr="00361437" w:rsidRDefault="00E50F0C" w:rsidP="00E354C5">
      <w:pPr>
        <w:spacing w:line="360" w:lineRule="auto"/>
        <w:jc w:val="center"/>
        <w:rPr>
          <w:rFonts w:cs="Times New Roman"/>
        </w:rPr>
      </w:pPr>
    </w:p>
    <w:p w14:paraId="6B55C8A7" w14:textId="77777777" w:rsidR="00E50F0C" w:rsidRPr="00361437" w:rsidRDefault="00E50F0C" w:rsidP="00E354C5">
      <w:pPr>
        <w:spacing w:line="360" w:lineRule="auto"/>
        <w:jc w:val="center"/>
        <w:rPr>
          <w:rFonts w:cs="Times New Roman"/>
        </w:rPr>
      </w:pPr>
    </w:p>
    <w:p w14:paraId="2BEE8F95" w14:textId="2A2BBF47" w:rsidR="00E50F0C" w:rsidRPr="00361437" w:rsidRDefault="00E50F0C" w:rsidP="00E50F0C">
      <w:pPr>
        <w:spacing w:line="360" w:lineRule="auto"/>
        <w:rPr>
          <w:rFonts w:cs="Times New Roman"/>
        </w:rPr>
        <w:sectPr w:rsidR="00E50F0C" w:rsidRPr="00361437" w:rsidSect="00E50F0C">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1906" w:h="16838" w:code="9"/>
          <w:pgMar w:top="1440" w:right="1440" w:bottom="1440" w:left="1440" w:header="706" w:footer="0" w:gutter="0"/>
          <w:pgNumType w:start="1"/>
          <w:cols w:space="708"/>
          <w:docGrid w:linePitch="360"/>
        </w:sectPr>
      </w:pPr>
    </w:p>
    <w:p w14:paraId="54A16725" w14:textId="77777777" w:rsidR="00E50F0C" w:rsidRPr="00361437" w:rsidRDefault="00E50F0C">
      <w:pPr>
        <w:rPr>
          <w:rFonts w:cs="Times New Roman"/>
          <w:b/>
        </w:rPr>
        <w:sectPr w:rsidR="00E50F0C" w:rsidRPr="00361437" w:rsidSect="00E50F0C">
          <w:type w:val="continuous"/>
          <w:pgSz w:w="11906" w:h="16838" w:code="9"/>
          <w:pgMar w:top="1440" w:right="1440" w:bottom="1440" w:left="1440" w:header="706" w:footer="0" w:gutter="0"/>
          <w:pgNumType w:start="1"/>
          <w:cols w:space="708"/>
          <w:docGrid w:linePitch="360"/>
        </w:sectPr>
      </w:pPr>
    </w:p>
    <w:p w14:paraId="46404000" w14:textId="7622A9AF" w:rsidR="00E354C5" w:rsidRPr="00361437" w:rsidRDefault="00E354C5" w:rsidP="006F2556">
      <w:pPr>
        <w:pStyle w:val="Heading1"/>
        <w:jc w:val="left"/>
      </w:pPr>
      <w:r w:rsidRPr="00361437">
        <w:lastRenderedPageBreak/>
        <w:t>Abstract</w:t>
      </w:r>
    </w:p>
    <w:p w14:paraId="6B4F0709" w14:textId="77777777" w:rsidR="0083222B" w:rsidRPr="00361437" w:rsidRDefault="0083222B" w:rsidP="006F2556">
      <w:pPr>
        <w:spacing w:line="480" w:lineRule="auto"/>
        <w:rPr>
          <w:rFonts w:cs="Times New Roman"/>
        </w:rPr>
      </w:pPr>
    </w:p>
    <w:p w14:paraId="6928802D" w14:textId="6776D0C0" w:rsidR="009B68C3" w:rsidRPr="00361437" w:rsidRDefault="00E354C5" w:rsidP="006F2556">
      <w:pPr>
        <w:spacing w:line="480" w:lineRule="auto"/>
        <w:rPr>
          <w:rFonts w:cs="Times New Roman"/>
        </w:rPr>
      </w:pPr>
      <w:r w:rsidRPr="00361437">
        <w:rPr>
          <w:rFonts w:cs="Times New Roman"/>
        </w:rPr>
        <w:t>Using data on the universe of US</w:t>
      </w:r>
      <w:r w:rsidR="00771A02" w:rsidRPr="00361437">
        <w:rPr>
          <w:rFonts w:cs="Times New Roman"/>
        </w:rPr>
        <w:t xml:space="preserve"> </w:t>
      </w:r>
      <w:r w:rsidRPr="00361437">
        <w:rPr>
          <w:rFonts w:cs="Times New Roman"/>
        </w:rPr>
        <w:t>based mutual funds, we find that two out of five fund families hold corporate bonds of firms in which they also own an equity stake. We show that the greater the fraction of debt a fund family holds in a given firm, the greater its propensity to vot</w:t>
      </w:r>
      <w:r w:rsidR="00A200CE" w:rsidRPr="00361437">
        <w:rPr>
          <w:rFonts w:cs="Times New Roman"/>
        </w:rPr>
        <w:t xml:space="preserve">e in </w:t>
      </w:r>
      <w:r w:rsidR="00F4235E" w:rsidRPr="00361437">
        <w:rPr>
          <w:rFonts w:cs="Times New Roman"/>
        </w:rPr>
        <w:t xml:space="preserve">line with </w:t>
      </w:r>
      <w:r w:rsidR="00A200CE" w:rsidRPr="00361437">
        <w:rPr>
          <w:rFonts w:cs="Times New Roman"/>
        </w:rPr>
        <w:t>the interests of firm debt</w:t>
      </w:r>
      <w:r w:rsidR="00392D65" w:rsidRPr="00361437">
        <w:rPr>
          <w:rFonts w:cs="Times New Roman"/>
        </w:rPr>
        <w:t xml:space="preserve"> </w:t>
      </w:r>
      <w:r w:rsidRPr="00361437">
        <w:rPr>
          <w:rFonts w:cs="Times New Roman"/>
        </w:rPr>
        <w:t>holders at shareholder meet</w:t>
      </w:r>
      <w:r w:rsidR="003C3F24" w:rsidRPr="00361437">
        <w:rPr>
          <w:rFonts w:cs="Times New Roman"/>
        </w:rPr>
        <w:t>ings</w:t>
      </w:r>
      <w:r w:rsidR="00A45E94" w:rsidRPr="00361437">
        <w:rPr>
          <w:rFonts w:cs="Times New Roman"/>
        </w:rPr>
        <w:t>, even when against ISS recommendation</w:t>
      </w:r>
      <w:r w:rsidR="003C3F24" w:rsidRPr="00361437">
        <w:rPr>
          <w:rFonts w:cs="Times New Roman"/>
        </w:rPr>
        <w:t xml:space="preserve">. </w:t>
      </w:r>
      <w:r w:rsidR="00DC36ED" w:rsidRPr="00361437">
        <w:rPr>
          <w:rFonts w:cs="Times New Roman"/>
        </w:rPr>
        <w:t>V</w:t>
      </w:r>
      <w:r w:rsidR="002A467D" w:rsidRPr="00361437">
        <w:rPr>
          <w:rFonts w:cs="Times New Roman"/>
        </w:rPr>
        <w:t>oting has direct policy consequences as firms that receive more votes in favor of creditors make corporate decisions more in line with the interests of debt holders.</w:t>
      </w:r>
    </w:p>
    <w:p w14:paraId="3777B3B6" w14:textId="063617F9" w:rsidR="0050575C" w:rsidRPr="00361437" w:rsidRDefault="0050575C" w:rsidP="006F2556">
      <w:pPr>
        <w:rPr>
          <w:rFonts w:cs="Times New Roman"/>
          <w:b/>
          <w:color w:val="000000"/>
        </w:rPr>
      </w:pPr>
    </w:p>
    <w:p w14:paraId="6442708A" w14:textId="77777777" w:rsidR="0050575C" w:rsidRPr="00361437" w:rsidRDefault="0050575C" w:rsidP="006F2556">
      <w:pPr>
        <w:rPr>
          <w:rFonts w:cs="Times New Roman"/>
          <w:b/>
          <w:color w:val="000000"/>
        </w:rPr>
      </w:pPr>
    </w:p>
    <w:p w14:paraId="58B99E69" w14:textId="70C20976" w:rsidR="00DE4E35" w:rsidRPr="00361437" w:rsidRDefault="00763DF6" w:rsidP="006F2556">
      <w:pPr>
        <w:pStyle w:val="Heading1"/>
        <w:spacing w:before="0" w:line="480" w:lineRule="auto"/>
        <w:jc w:val="left"/>
      </w:pPr>
      <w:r w:rsidRPr="00361437">
        <w:t>I</w:t>
      </w:r>
      <w:r w:rsidR="00DE4E35" w:rsidRPr="00361437">
        <w:t>. Introduction</w:t>
      </w:r>
    </w:p>
    <w:p w14:paraId="63FF0F77" w14:textId="7DE46601" w:rsidR="00DE4E35" w:rsidRPr="00361437" w:rsidRDefault="00DE4E35" w:rsidP="006F2556">
      <w:pPr>
        <w:spacing w:line="480" w:lineRule="auto"/>
        <w:ind w:firstLine="720"/>
        <w:rPr>
          <w:rFonts w:cs="Times New Roman"/>
        </w:rPr>
      </w:pPr>
      <w:r w:rsidRPr="00361437">
        <w:rPr>
          <w:rFonts w:cs="Times New Roman"/>
        </w:rPr>
        <w:t>Institutional investors own more than two thirds of equity traded on the U</w:t>
      </w:r>
      <w:r w:rsidR="00080991" w:rsidRPr="00361437">
        <w:rPr>
          <w:rFonts w:cs="Times New Roman"/>
        </w:rPr>
        <w:t xml:space="preserve">nited </w:t>
      </w:r>
      <w:r w:rsidRPr="00361437">
        <w:rPr>
          <w:rFonts w:cs="Times New Roman"/>
        </w:rPr>
        <w:t>S</w:t>
      </w:r>
      <w:r w:rsidR="00080991" w:rsidRPr="00361437">
        <w:rPr>
          <w:rFonts w:cs="Times New Roman"/>
        </w:rPr>
        <w:t>tates (US)</w:t>
      </w:r>
      <w:r w:rsidRPr="00361437">
        <w:rPr>
          <w:rFonts w:cs="Times New Roman"/>
        </w:rPr>
        <w:t xml:space="preserve"> stock market (Pensions and Investments</w:t>
      </w:r>
      <w:r w:rsidR="00E50F0C" w:rsidRPr="00361437">
        <w:rPr>
          <w:rFonts w:cs="Times New Roman"/>
        </w:rPr>
        <w:t xml:space="preserve"> (</w:t>
      </w:r>
      <w:r w:rsidRPr="00361437">
        <w:rPr>
          <w:rFonts w:cs="Times New Roman"/>
        </w:rPr>
        <w:t>2017</w:t>
      </w:r>
      <w:r w:rsidR="00E50F0C" w:rsidRPr="00361437">
        <w:rPr>
          <w:rFonts w:cs="Times New Roman"/>
        </w:rPr>
        <w:t>)</w:t>
      </w:r>
      <w:r w:rsidRPr="00361437">
        <w:rPr>
          <w:rFonts w:cs="Times New Roman"/>
        </w:rPr>
        <w:t>) and play an important role in the governance of public corporations. Besides trading their stakes, shareholders can influence firms via a combination of public and private engagement, often labeled as shareholder activism. Public engagement involves submitting a shareholder proposal, initiating a proxy fight, st</w:t>
      </w:r>
      <w:r w:rsidR="002955DB" w:rsidRPr="00361437">
        <w:rPr>
          <w:rFonts w:cs="Times New Roman"/>
        </w:rPr>
        <w:t>,</w:t>
      </w:r>
      <w:r w:rsidRPr="00361437">
        <w:rPr>
          <w:rFonts w:cs="Times New Roman"/>
        </w:rPr>
        <w:t>arting a "just say no" campaign and it critically centers on the power to vote at shareholder meetings. Private engagement instead relies on private meetings with directors and executives to persuade the management to act in shareholders' interests, often using public engagement or share divestment as a threat.</w:t>
      </w:r>
    </w:p>
    <w:p w14:paraId="4B012298" w14:textId="77777777" w:rsidR="00DE4E35" w:rsidRPr="00361437" w:rsidRDefault="00DE4E35" w:rsidP="006F2556">
      <w:pPr>
        <w:spacing w:line="480" w:lineRule="auto"/>
        <w:ind w:firstLine="720"/>
        <w:rPr>
          <w:rFonts w:cs="Times New Roman"/>
        </w:rPr>
      </w:pPr>
      <w:r w:rsidRPr="00361437">
        <w:rPr>
          <w:rFonts w:cs="Times New Roman"/>
        </w:rPr>
        <w:t xml:space="preserve">Institutional investors also own a large fraction of US corporate bonds. Although there is extensive evidence on the role of institutional investors as shareholders, we know very little about the impact of their debt holdings on their behavior. In this paper, we fill this knowledge gap and look at the effect of holding bonds as well as equity on institutional investors' engagement with a corporation. </w:t>
      </w:r>
    </w:p>
    <w:p w14:paraId="0598FD4F" w14:textId="43E91211" w:rsidR="00DE4E35" w:rsidRPr="00361437" w:rsidRDefault="00DE4E35" w:rsidP="006F2556">
      <w:pPr>
        <w:spacing w:line="480" w:lineRule="auto"/>
        <w:ind w:firstLine="720"/>
        <w:rPr>
          <w:rFonts w:cs="Times New Roman"/>
        </w:rPr>
      </w:pPr>
      <w:r w:rsidRPr="00361437">
        <w:rPr>
          <w:rFonts w:cs="Times New Roman"/>
        </w:rPr>
        <w:t xml:space="preserve">To identify the potential conflict of interest between debt and equity, we look at companies that are close to financial distress and thus face a wedge between the interests of shareholders and debt holders. In doing so, we follow the approach adopted by Becker and Strömberg (2012), who find that debt-equity conflicts can be affected by changes in managerial fiduciary duties and that the resulting changes in corporate behavior should only be visible for firms in financial distress. Focusing </w:t>
      </w:r>
      <w:r w:rsidRPr="00361437">
        <w:rPr>
          <w:rFonts w:cs="Times New Roman"/>
        </w:rPr>
        <w:lastRenderedPageBreak/>
        <w:t>on the voting behavior of mutual fund families, if a fund family holds none of the corporate debt of a firm, we would expect its funds to vote so as to maximize the value of their equity stake. When the family debt fraction</w:t>
      </w:r>
      <w:r w:rsidRPr="00361437">
        <w:rPr>
          <w:rFonts w:cs="Times New Roman"/>
          <w:b/>
        </w:rPr>
        <w:t xml:space="preserve"> </w:t>
      </w:r>
      <w:r w:rsidRPr="00361437">
        <w:rPr>
          <w:rFonts w:cs="Times New Roman"/>
        </w:rPr>
        <w:t xml:space="preserve">is positive, we would expect its funds to pay some consideration to the value of their debt stake, and therefore to vote considering the consequences for the value of both their equity and debt stakes in the firm. So, our first hypothesis is that a fund management company will be more likely to vote in the interests of debt holders in firms in which they own relatively more debt. </w:t>
      </w:r>
    </w:p>
    <w:p w14:paraId="593A7C3D" w14:textId="77777777" w:rsidR="00DE4E35" w:rsidRPr="00361437" w:rsidRDefault="00DE4E35" w:rsidP="006F2556">
      <w:pPr>
        <w:spacing w:line="480" w:lineRule="auto"/>
        <w:ind w:firstLine="720"/>
        <w:rPr>
          <w:rFonts w:cs="Times New Roman"/>
        </w:rPr>
      </w:pPr>
      <w:r w:rsidRPr="00361437">
        <w:rPr>
          <w:rFonts w:cs="Times New Roman"/>
        </w:rPr>
        <w:t xml:space="preserve">To test whether debt holding by fund families affects the way they vote on shareholder proposals we focus on five corporate decisions where debt and equity have conflicted interests: dividend policy; equity issues and share repurchases; anti-takeover provisions; executive compensation; and restructuring activities such as assets sales, asset acquisitions or spinoffs. For each of these corporate decisions, there is evidence in the literature that the interests of shareholders and debt holders may be in conflict with each other, particularly when firms are close to financial distress. </w:t>
      </w:r>
    </w:p>
    <w:p w14:paraId="33BD275F" w14:textId="77777777" w:rsidR="00DE4E35" w:rsidRPr="00361437" w:rsidRDefault="00DE4E35" w:rsidP="006F2556">
      <w:pPr>
        <w:spacing w:line="480" w:lineRule="auto"/>
        <w:ind w:firstLine="720"/>
        <w:rPr>
          <w:rFonts w:cs="Times New Roman"/>
        </w:rPr>
      </w:pPr>
      <w:r w:rsidRPr="00361437">
        <w:rPr>
          <w:rFonts w:cs="Times New Roman"/>
        </w:rPr>
        <w:t xml:space="preserve">To examine whether voting affects firm policy, we relate the extent to which institutional investors vote in favor of creditors to five corporate decisions namely capital expenditures; research and development; seasoned equity offerings; diversifying acquisitions; cash dividends and share repurchases. Our second hypothesis is that firms observing more pro-creditor votes will attach greater importance to creditors’ interests, leading them to act more in the interests of debt holders than shareholders. </w:t>
      </w:r>
    </w:p>
    <w:p w14:paraId="7A9C40F9" w14:textId="77777777" w:rsidR="00DE4E35" w:rsidRPr="00361437" w:rsidRDefault="00DE4E35" w:rsidP="006F2556">
      <w:pPr>
        <w:spacing w:line="480" w:lineRule="auto"/>
        <w:ind w:firstLine="720"/>
        <w:rPr>
          <w:rFonts w:cs="Times New Roman"/>
        </w:rPr>
      </w:pPr>
      <w:r w:rsidRPr="00361437">
        <w:rPr>
          <w:rFonts w:cs="Times New Roman"/>
        </w:rPr>
        <w:t>Our dataset covers the universe of US fund families investing in US listed firms over the 2009-2013 period and has 12,327 firm-year observations containing 571 fund families. It is obtained by combining three datasets: the Morningstar Direct database, which contains data on the holdings of both debt and equity of all funds sold in the US; the data on fund voting from Institutional Shareholder Services (ISS); and the balance sheet information on all publicly traded firms with a positive level of debt from Compustat.</w:t>
      </w:r>
    </w:p>
    <w:p w14:paraId="57758C03" w14:textId="77777777" w:rsidR="00DE4E35" w:rsidRPr="00361437" w:rsidRDefault="00DE4E35" w:rsidP="006F2556">
      <w:pPr>
        <w:spacing w:line="480" w:lineRule="auto"/>
        <w:ind w:firstLine="720"/>
        <w:rPr>
          <w:rFonts w:cs="Times New Roman"/>
        </w:rPr>
      </w:pPr>
      <w:r w:rsidRPr="00361437">
        <w:rPr>
          <w:rFonts w:cs="Times New Roman"/>
        </w:rPr>
        <w:t xml:space="preserve">In the analysis of the voting behavior of mutual funds, the dependent variable is an indicator whether the mutual fund votes in alignment with creditors on a specific proposal. The key independent variable is the fraction of debt held by the fund's family. As traditionally done, we include a number of control variables: a dummy variable that is set to one if ISS supports creditors for </w:t>
      </w:r>
      <w:r w:rsidRPr="00361437">
        <w:rPr>
          <w:rFonts w:cs="Times New Roman"/>
        </w:rPr>
        <w:lastRenderedPageBreak/>
        <w:t xml:space="preserve">the proposal concerned; a set of firm characteristics (log size, leverage, market-to-book ratio and return on assets); the equity stake owned by the fund family; and the log of the number of funds in the fund family. We also include proposal type times year fixed effects. </w:t>
      </w:r>
    </w:p>
    <w:p w14:paraId="53893D29" w14:textId="7D0ADB5A" w:rsidR="00DE4E35" w:rsidRPr="00361437" w:rsidRDefault="00DE4E35" w:rsidP="006F2556">
      <w:pPr>
        <w:spacing w:line="480" w:lineRule="auto"/>
        <w:ind w:firstLine="720"/>
        <w:rPr>
          <w:rFonts w:cs="Times New Roman"/>
        </w:rPr>
      </w:pPr>
      <w:r w:rsidRPr="00361437">
        <w:rPr>
          <w:rFonts w:cs="Times New Roman"/>
        </w:rPr>
        <w:t>The basic result shows a positive correlation between family debt fraction and the propensity to vote with creditors. However, the economic effect is small. Intuitively, there is limited conflict between debt and equity when a firm is far from financial distress: what is in the interests of creditors is likely also to be in the interests of shareholders and changes in firm policy have a very small effect on the value of debt holders’ stakes. However, we would expect this conflict to be magnified close to financial distress, when corporate policies are likely to have a larger effect on the market value of debt. Therefore, we augment the analysis by including an indicator of financial distress. Our definition of distress is based on the Bharath and Shumway (2008) distance to default measure</w:t>
      </w:r>
      <w:r w:rsidR="00F761C5" w:rsidRPr="00361437">
        <w:rPr>
          <w:rFonts w:cs="Times New Roman"/>
        </w:rPr>
        <w:t>. W</w:t>
      </w:r>
      <w:r w:rsidRPr="00361437">
        <w:rPr>
          <w:rFonts w:cs="Times New Roman"/>
        </w:rPr>
        <w:t xml:space="preserve">e define distress (0,1) in this case to be one if the firm’s default probability is at least 75% in the year concerned. We interact the family debt fraction with the financial distress indicator and find that the interaction term is statistically significant, positive and large in magnitude. </w:t>
      </w:r>
    </w:p>
    <w:p w14:paraId="52FC2137" w14:textId="77777777" w:rsidR="00DE4E35" w:rsidRPr="00361437" w:rsidRDefault="00DE4E35" w:rsidP="006F2556">
      <w:pPr>
        <w:spacing w:line="480" w:lineRule="auto"/>
        <w:ind w:firstLine="720"/>
        <w:rPr>
          <w:rFonts w:cs="Times New Roman"/>
        </w:rPr>
      </w:pPr>
      <w:r w:rsidRPr="00361437">
        <w:rPr>
          <w:rFonts w:cs="Times New Roman"/>
        </w:rPr>
        <w:t>The correlation is stronger when the vote is in alignment with management and/or the ISS recommendation but is still statistically significant even when creditors' interests are in conflict with these recommendations. As a placebo test, we also look at proposals for which we do not expect much conflict between debt and equity, such as director elections. In those instances we would not expect to find any effect of family debt fraction on voting policy. Our results confirm this prediction. Therefore, overall, the analysis of voting suggests that fund family debt holdings affect how fund families vote on these conflict proposals.</w:t>
      </w:r>
    </w:p>
    <w:p w14:paraId="2D931439" w14:textId="77777777" w:rsidR="00DE4E35" w:rsidRPr="00361437" w:rsidRDefault="00DE4E35" w:rsidP="006F2556">
      <w:pPr>
        <w:spacing w:line="480" w:lineRule="auto"/>
        <w:ind w:firstLine="720"/>
        <w:rPr>
          <w:rFonts w:cs="Times New Roman"/>
        </w:rPr>
      </w:pPr>
      <w:r w:rsidRPr="00361437">
        <w:rPr>
          <w:rFonts w:cs="Times New Roman"/>
        </w:rPr>
        <w:t xml:space="preserve">What is the relevance of the voting channel for firm policy? To understand this we follow a two-step procedure. We first determine the total effect of joint debt-equity holdings on firm policy by relating the average debt equity fraction of institutional investors in a given firm to its policy. In the second stage, we measure the importance of the voting channel by relating the votes cast in favor of creditors on a given firm to its policy. We find that there is a significant effect of the voting channel on both firm investment and payout policy and that in terms of economic significance, the voting </w:t>
      </w:r>
      <w:r w:rsidRPr="00361437">
        <w:rPr>
          <w:rFonts w:cs="Times New Roman"/>
        </w:rPr>
        <w:lastRenderedPageBreak/>
        <w:t xml:space="preserve">channel is responsible for about 20% of the link between the debt equity holdings of institutional investors in a firm and its investment policy and about 10% for payout policy. </w:t>
      </w:r>
    </w:p>
    <w:p w14:paraId="7E7B8EFE" w14:textId="77777777" w:rsidR="00DE4E35" w:rsidRPr="00361437" w:rsidRDefault="00DE4E35" w:rsidP="006F2556">
      <w:pPr>
        <w:spacing w:line="480" w:lineRule="auto"/>
        <w:ind w:firstLine="720"/>
        <w:rPr>
          <w:rFonts w:cs="Times New Roman"/>
        </w:rPr>
      </w:pPr>
      <w:r w:rsidRPr="00361437">
        <w:rPr>
          <w:rFonts w:cs="Times New Roman"/>
        </w:rPr>
        <w:t>As a note of caution, the results described so far should be interpreted as simple correlations: mutual fund families with a long position in both corporate debt and equity tend to vote more in line with the interests of debt holders rather than shareholders, compared with families with only equity positions. In an attempt to move closer to the identification of a causality link between institutional debt holdings and corporate governance, we use an instrumental variable approach and a quasi-natural experiment.</w:t>
      </w:r>
    </w:p>
    <w:p w14:paraId="6529A0A1" w14:textId="77777777" w:rsidR="00DE4E35" w:rsidRPr="00361437" w:rsidRDefault="00DE4E35" w:rsidP="006F2556">
      <w:pPr>
        <w:spacing w:line="480" w:lineRule="auto"/>
        <w:ind w:firstLine="720"/>
        <w:rPr>
          <w:rFonts w:cs="Times New Roman"/>
        </w:rPr>
      </w:pPr>
      <w:r w:rsidRPr="00361437">
        <w:rPr>
          <w:rFonts w:cs="Times New Roman"/>
        </w:rPr>
        <w:t>For our instrumental variable approach, we use the introduction of a new debt fund by a fund family as an instrument in our first stage models. Opening a new debt fund is likely to be driven by the desire to satisfy market demand rather than because a fund family wants to hold more debt in a particular firm. The creation of a new debt fund mechanically increases the fraction of debt that the fund family holds. Furthermore, we show that the choice of debt securities by fund families when they introduce a new debt fund is virtually “passive” as on average of 86% of the time fund families invest in firms in which they already hold either debt or equity. When we instrument the family debt fraction and its interaction with distress using the new debt fund indicator, we confirm our basic findings: family debt fraction has a significant effect on the propensity to vote with creditors on proposals when firms are in financial distress.</w:t>
      </w:r>
    </w:p>
    <w:p w14:paraId="09043228" w14:textId="0BF52504" w:rsidR="00DE4E35" w:rsidRPr="00361437" w:rsidRDefault="00DE4E35" w:rsidP="006F2556">
      <w:pPr>
        <w:spacing w:line="480" w:lineRule="auto"/>
        <w:ind w:firstLine="720"/>
        <w:rPr>
          <w:rFonts w:cs="Times New Roman"/>
        </w:rPr>
      </w:pPr>
      <w:r w:rsidRPr="00361437">
        <w:rPr>
          <w:rFonts w:cs="Times New Roman"/>
        </w:rPr>
        <w:t xml:space="preserve">We also use mergers between fund families for a difference-in-differences test. For identification purposes, </w:t>
      </w:r>
      <w:r w:rsidR="00C614EB" w:rsidRPr="00361437">
        <w:rPr>
          <w:rFonts w:cs="Times New Roman"/>
        </w:rPr>
        <w:t>we use cases either in which the acquirer fund family holds no debt in the firm concerned but the ta</w:t>
      </w:r>
      <w:r w:rsidR="00FD4ADB" w:rsidRPr="00361437">
        <w:rPr>
          <w:rFonts w:cs="Times New Roman"/>
        </w:rPr>
        <w:t xml:space="preserve">rget fund family does (acquirer has no debt and target has only debt) or vice versa (acquirer has only debt and target has </w:t>
      </w:r>
      <w:r w:rsidR="00C614EB" w:rsidRPr="00361437">
        <w:rPr>
          <w:rFonts w:cs="Times New Roman"/>
        </w:rPr>
        <w:t xml:space="preserve">no debt) but we exclude cases where both acquirer and target hold debt and equity in the same firm </w:t>
      </w:r>
      <w:bookmarkStart w:id="0" w:name="_Hlk37165127"/>
      <w:r w:rsidR="00C614EB" w:rsidRPr="00361437">
        <w:rPr>
          <w:rFonts w:cs="Times New Roman"/>
        </w:rPr>
        <w:t xml:space="preserve">pre-merger. This allows us to </w:t>
      </w:r>
      <w:r w:rsidR="00FD4ADB" w:rsidRPr="00361437">
        <w:rPr>
          <w:rFonts w:cs="Times New Roman"/>
        </w:rPr>
        <w:t>identify</w:t>
      </w:r>
      <w:r w:rsidR="00C614EB" w:rsidRPr="00361437">
        <w:rPr>
          <w:rFonts w:cs="Times New Roman"/>
        </w:rPr>
        <w:t xml:space="preserve"> </w:t>
      </w:r>
      <w:r w:rsidR="00FD4ADB" w:rsidRPr="00361437">
        <w:rPr>
          <w:rFonts w:cs="Times New Roman"/>
        </w:rPr>
        <w:t xml:space="preserve">more clearly </w:t>
      </w:r>
      <w:r w:rsidR="00C614EB" w:rsidRPr="00361437">
        <w:rPr>
          <w:rFonts w:cs="Times New Roman"/>
        </w:rPr>
        <w:t>the debt-equity position of the merged entity relative to the two initial firms resulting in a cleaner test.</w:t>
      </w:r>
      <w:bookmarkEnd w:id="0"/>
      <w:r w:rsidR="00C614EB" w:rsidRPr="00361437">
        <w:rPr>
          <w:rFonts w:cs="Times New Roman"/>
        </w:rPr>
        <w:t xml:space="preserve"> </w:t>
      </w:r>
      <w:r w:rsidRPr="00361437">
        <w:rPr>
          <w:rFonts w:cs="Times New Roman"/>
        </w:rPr>
        <w:t xml:space="preserve">As these mergers are likely to be the result of strategic considerations at the fund family level, these serve as quasi-exogenous shocks to the debt equity ratio of fund families. When we take this approach, our basic results remain unchanged. While these results cannot alleviate all concerns of endogeneity, they offer some reassurance about the robustness of our findings. </w:t>
      </w:r>
    </w:p>
    <w:p w14:paraId="22FB5CD4" w14:textId="06D4F34D" w:rsidR="00587793" w:rsidRPr="00361437" w:rsidRDefault="00DE4E35" w:rsidP="006F2556">
      <w:pPr>
        <w:spacing w:line="480" w:lineRule="auto"/>
        <w:ind w:firstLine="720"/>
        <w:rPr>
          <w:rFonts w:cs="Times New Roman"/>
        </w:rPr>
      </w:pPr>
      <w:r w:rsidRPr="00361437">
        <w:rPr>
          <w:rFonts w:cs="Times New Roman"/>
        </w:rPr>
        <w:lastRenderedPageBreak/>
        <w:t xml:space="preserve">We conduct several further robustness checks. First, we consider alternative measures of financial distress. Our main measure of financial distress is the </w:t>
      </w:r>
      <w:r w:rsidR="00587793" w:rsidRPr="00361437">
        <w:rPr>
          <w:rFonts w:cs="Times New Roman"/>
        </w:rPr>
        <w:t>distance to default</w:t>
      </w:r>
      <w:r w:rsidRPr="00361437">
        <w:rPr>
          <w:rFonts w:cs="Times New Roman"/>
        </w:rPr>
        <w:t xml:space="preserve">. We show that the results extend to the case </w:t>
      </w:r>
      <w:r w:rsidR="00587793" w:rsidRPr="00361437">
        <w:rPr>
          <w:rFonts w:cs="Times New Roman"/>
        </w:rPr>
        <w:t xml:space="preserve">in which we measure financial distress using the debt rating and also to the case where we measure financial distress at the industry level, based on the Opler and Titman (1994) definition. </w:t>
      </w:r>
    </w:p>
    <w:p w14:paraId="0104F111" w14:textId="452F7878" w:rsidR="00DE4E35" w:rsidRPr="00361437" w:rsidRDefault="00DE4E35" w:rsidP="006F2556">
      <w:pPr>
        <w:spacing w:line="480" w:lineRule="auto"/>
        <w:ind w:firstLine="720"/>
        <w:rPr>
          <w:rFonts w:cs="Times New Roman"/>
        </w:rPr>
      </w:pPr>
      <w:r w:rsidRPr="00361437">
        <w:rPr>
          <w:rFonts w:cs="Times New Roman"/>
        </w:rPr>
        <w:t>Second, in our main analysis we compute the fraction of corporate debt held by mutual fund families as the total value of debt held by a fund family over the total value of debt and equity held by the family. We obtain similar results if we use the number of debt funds over the total number of funds held by a mutual fund family. Third, we demonstrate that when we exclude funds that use credit default swap (CDS) contracts to hedge the credit risk of the debt securities they hold, that our results are unaffected.</w:t>
      </w:r>
    </w:p>
    <w:p w14:paraId="6AF3E523" w14:textId="79D7E885" w:rsidR="000D23C7" w:rsidRPr="00361437" w:rsidRDefault="00DE4E35" w:rsidP="000D23C7">
      <w:pPr>
        <w:spacing w:line="480" w:lineRule="auto"/>
        <w:ind w:firstLine="720"/>
        <w:rPr>
          <w:rFonts w:cs="Times New Roman"/>
        </w:rPr>
      </w:pPr>
      <w:r w:rsidRPr="00361437">
        <w:rPr>
          <w:rFonts w:cs="Times New Roman"/>
        </w:rPr>
        <w:t>Our contribution is to highlight that voting may be affected by joint debt-equity holdings and it is a channel through which these holdings affect policy. This is particularly important as institutional investors commonly hold both debt and equity in the same firm. Our findings suggest that debt holdings change the way institutional investors vote and generally engage with portfolio firms and thus should not be ignored when examining the governance role of institutional investors</w:t>
      </w:r>
      <w:r w:rsidR="000D23C7" w:rsidRPr="00361437">
        <w:rPr>
          <w:rFonts w:cs="Times New Roman"/>
        </w:rPr>
        <w:t>.</w:t>
      </w:r>
    </w:p>
    <w:p w14:paraId="73DAFFB8" w14:textId="2E4ED7FF" w:rsidR="00DE4E35" w:rsidRPr="00361437" w:rsidRDefault="004D23C7" w:rsidP="000D23C7">
      <w:pPr>
        <w:spacing w:line="480" w:lineRule="auto"/>
        <w:ind w:firstLine="720"/>
        <w:rPr>
          <w:rFonts w:cs="Times New Roman"/>
        </w:rPr>
      </w:pPr>
      <w:bookmarkStart w:id="1" w:name="_Hlk46388553"/>
      <w:r w:rsidRPr="00361437">
        <w:rPr>
          <w:rFonts w:cs="Times New Roman"/>
        </w:rPr>
        <w:t xml:space="preserve">While </w:t>
      </w:r>
      <w:r w:rsidRPr="00361437">
        <w:t>institutional</w:t>
      </w:r>
      <w:r w:rsidRPr="00361437">
        <w:rPr>
          <w:rFonts w:cs="Times New Roman"/>
        </w:rPr>
        <w:t xml:space="preserve"> </w:t>
      </w:r>
      <w:r w:rsidRPr="00361437">
        <w:t xml:space="preserve">joint ownership of equity </w:t>
      </w:r>
      <w:r w:rsidR="00552B99" w:rsidRPr="00361437">
        <w:t xml:space="preserve">in non-aligned firms </w:t>
      </w:r>
      <w:r w:rsidRPr="00361437">
        <w:t xml:space="preserve">has been examined by </w:t>
      </w:r>
      <w:r w:rsidR="00552B99" w:rsidRPr="00361437">
        <w:t xml:space="preserve">Matvos and Ostrovsky (2008) and </w:t>
      </w:r>
      <w:r w:rsidRPr="00361437">
        <w:t xml:space="preserve">Azar, Schmalz and Tecu (2018), </w:t>
      </w:r>
      <w:r w:rsidRPr="00361437">
        <w:rPr>
          <w:rFonts w:cs="Times New Roman"/>
        </w:rPr>
        <w:t>t</w:t>
      </w:r>
      <w:r w:rsidR="00DE4E35" w:rsidRPr="00361437">
        <w:rPr>
          <w:rFonts w:cs="Times New Roman"/>
        </w:rPr>
        <w:t>here is a growing literature on the joint holdings of debt and equity of institutional investors.</w:t>
      </w:r>
      <w:bookmarkEnd w:id="1"/>
      <w:r w:rsidR="00DE4E35" w:rsidRPr="00361437">
        <w:rPr>
          <w:rFonts w:cs="Times New Roman"/>
        </w:rPr>
        <w:t xml:space="preserve"> </w:t>
      </w:r>
      <w:bookmarkStart w:id="2" w:name="_Hlk46388575"/>
      <w:r w:rsidR="00DE4E35" w:rsidRPr="00361437">
        <w:rPr>
          <w:rFonts w:cs="Times New Roman"/>
        </w:rPr>
        <w:t xml:space="preserve">Most papers in this area focus on the impact of these joint holdings on target firm conduct. </w:t>
      </w:r>
      <w:bookmarkStart w:id="3" w:name="_Hlk29814335"/>
      <w:r w:rsidR="00DE4E35" w:rsidRPr="00361437">
        <w:rPr>
          <w:rFonts w:cs="Times New Roman"/>
        </w:rPr>
        <w:t>Chu (2018) shows that joint debt equity holdings influence payout policy while Chu, Nguyen, Wang, Wang,</w:t>
      </w:r>
      <w:r w:rsidR="007A1AEB" w:rsidRPr="00361437">
        <w:rPr>
          <w:rFonts w:cs="Times New Roman"/>
        </w:rPr>
        <w:t xml:space="preserve"> and</w:t>
      </w:r>
      <w:r w:rsidR="00DE4E35" w:rsidRPr="00361437">
        <w:rPr>
          <w:rFonts w:cs="Times New Roman"/>
        </w:rPr>
        <w:t xml:space="preserve"> Wang (2019) suggest that these joint holdings allow easier resolution of financial distress. As regards investment policy, Yang (2019) and Chava, Wang</w:t>
      </w:r>
      <w:r w:rsidR="007A1AEB" w:rsidRPr="00361437">
        <w:rPr>
          <w:rFonts w:cs="Times New Roman"/>
        </w:rPr>
        <w:t>,</w:t>
      </w:r>
      <w:r w:rsidR="00DE4E35" w:rsidRPr="00361437">
        <w:rPr>
          <w:rFonts w:cs="Times New Roman"/>
        </w:rPr>
        <w:t xml:space="preserve"> and Zhou (2019) </w:t>
      </w:r>
      <w:bookmarkEnd w:id="3"/>
      <w:r w:rsidR="00DE4E35" w:rsidRPr="00361437">
        <w:rPr>
          <w:rFonts w:cs="Times New Roman"/>
        </w:rPr>
        <w:t>both show that joint holdings may have an effect on innovation and capital expenditure, respectively. Jiang, Li, and Shao (2010) examine the effect on loan interest rates when banks also hold equity in a given firm. What differentiates our paper is that we focus on the impact of these joint debt and equity holdings on voting behavior and the consequences of these votes.</w:t>
      </w:r>
    </w:p>
    <w:bookmarkEnd w:id="2"/>
    <w:p w14:paraId="33912C15" w14:textId="77777777" w:rsidR="00DE4E35" w:rsidRPr="00361437" w:rsidRDefault="00DE4E35" w:rsidP="006F2556">
      <w:pPr>
        <w:spacing w:line="480" w:lineRule="auto"/>
        <w:ind w:firstLine="720"/>
        <w:rPr>
          <w:rFonts w:cs="Times New Roman"/>
        </w:rPr>
      </w:pPr>
      <w:r w:rsidRPr="00361437">
        <w:rPr>
          <w:rFonts w:cs="Times New Roman"/>
        </w:rPr>
        <w:lastRenderedPageBreak/>
        <w:t>The most closely related paper to ours is Bodnaruk and Rossi (2016), who look at the effect of institutional investors holding both debt and equity in M&amp;A targets. They examine the implications for the takeover premium, the returns that bondholders receive and the propensity of dual holders to vote in favor of the takeover bid. The scope of our paper is broader as it looks at the effects of institutional investors holding both debt and equity on voting on all types of firm policies not just M&amp;A decisions. Furthermore, we show that the voting channel has implications for subsequent firm conduct while Bodnaruk and Rossi (2016) do not. Therefore, it extends and complements their work.</w:t>
      </w:r>
    </w:p>
    <w:p w14:paraId="6354ED61" w14:textId="089E7EB5" w:rsidR="00DE4E35" w:rsidRPr="00361437" w:rsidRDefault="00DE4E35" w:rsidP="006F2556">
      <w:pPr>
        <w:spacing w:line="480" w:lineRule="auto"/>
        <w:ind w:firstLine="720"/>
        <w:rPr>
          <w:rFonts w:cs="Times New Roman"/>
        </w:rPr>
      </w:pPr>
      <w:r w:rsidRPr="00361437">
        <w:rPr>
          <w:rFonts w:cs="Times New Roman"/>
        </w:rPr>
        <w:t xml:space="preserve">Our paper has the following structure. Section </w:t>
      </w:r>
      <w:r w:rsidR="00763DF6" w:rsidRPr="00361437">
        <w:rPr>
          <w:rFonts w:cs="Times New Roman"/>
        </w:rPr>
        <w:t>II</w:t>
      </w:r>
      <w:r w:rsidRPr="00361437">
        <w:rPr>
          <w:rFonts w:cs="Times New Roman"/>
        </w:rPr>
        <w:t xml:space="preserve"> develops our hypotheses and reviews the related literature. In Section </w:t>
      </w:r>
      <w:r w:rsidR="00763DF6" w:rsidRPr="00361437">
        <w:rPr>
          <w:rFonts w:cs="Times New Roman"/>
        </w:rPr>
        <w:t>III</w:t>
      </w:r>
      <w:r w:rsidRPr="00361437">
        <w:rPr>
          <w:rFonts w:cs="Times New Roman"/>
        </w:rPr>
        <w:t xml:space="preserve"> we introduce our data and discuss our sample’s descriptive statistics. In Section </w:t>
      </w:r>
      <w:r w:rsidR="00763DF6" w:rsidRPr="00361437">
        <w:rPr>
          <w:rFonts w:cs="Times New Roman"/>
        </w:rPr>
        <w:t>IV</w:t>
      </w:r>
      <w:r w:rsidRPr="00361437">
        <w:rPr>
          <w:rFonts w:cs="Times New Roman"/>
        </w:rPr>
        <w:t xml:space="preserve"> we present our empirical results on the effects of debt holdings on voting. Section </w:t>
      </w:r>
      <w:r w:rsidR="00763DF6" w:rsidRPr="00361437">
        <w:rPr>
          <w:rFonts w:cs="Times New Roman"/>
        </w:rPr>
        <w:t>V</w:t>
      </w:r>
      <w:r w:rsidRPr="00361437">
        <w:rPr>
          <w:rFonts w:cs="Times New Roman"/>
        </w:rPr>
        <w:t xml:space="preserve"> examines the consequences of voting for firm policy. Section </w:t>
      </w:r>
      <w:r w:rsidR="00763DF6" w:rsidRPr="00361437">
        <w:rPr>
          <w:rFonts w:cs="Times New Roman"/>
        </w:rPr>
        <w:t>VI</w:t>
      </w:r>
      <w:r w:rsidRPr="00361437">
        <w:rPr>
          <w:rFonts w:cs="Times New Roman"/>
        </w:rPr>
        <w:t xml:space="preserve"> presents our robustness tests. Section </w:t>
      </w:r>
      <w:r w:rsidR="00763DF6" w:rsidRPr="00361437">
        <w:rPr>
          <w:rFonts w:cs="Times New Roman"/>
        </w:rPr>
        <w:t>VII</w:t>
      </w:r>
      <w:r w:rsidRPr="00361437">
        <w:rPr>
          <w:rFonts w:cs="Times New Roman"/>
        </w:rPr>
        <w:t xml:space="preserve"> concludes. </w:t>
      </w:r>
    </w:p>
    <w:p w14:paraId="4C239494" w14:textId="40238C7B" w:rsidR="00DE4E35" w:rsidRPr="00361437" w:rsidRDefault="00763DF6" w:rsidP="006F2556">
      <w:pPr>
        <w:pStyle w:val="Heading1"/>
        <w:spacing w:line="480" w:lineRule="auto"/>
        <w:jc w:val="left"/>
      </w:pPr>
      <w:r w:rsidRPr="00361437">
        <w:t>II</w:t>
      </w:r>
      <w:r w:rsidR="00DE4E35" w:rsidRPr="00361437">
        <w:t>. Hypotheses</w:t>
      </w:r>
    </w:p>
    <w:p w14:paraId="0C07D2A7" w14:textId="77777777" w:rsidR="00DE4E35" w:rsidRPr="00361437" w:rsidRDefault="00DE4E35" w:rsidP="006F2556">
      <w:pPr>
        <w:spacing w:line="480" w:lineRule="auto"/>
        <w:ind w:firstLine="720"/>
        <w:rPr>
          <w:rFonts w:cs="Times New Roman"/>
        </w:rPr>
      </w:pPr>
      <w:r w:rsidRPr="00361437">
        <w:rPr>
          <w:rFonts w:cs="Times New Roman"/>
        </w:rPr>
        <w:t xml:space="preserve">Institutional investors that hold equity in a firm can influence its corporate policy in two ways. They can publicly engage with the target firm, initiating a proxy fight and voting for their proposals at the shareholder meetings. Alternatively, they can privately persuade the management to act in their interests, using the possibility of public engagement or sale of their shares as a threat. </w:t>
      </w:r>
    </w:p>
    <w:p w14:paraId="2328FED3" w14:textId="61E11C9B" w:rsidR="00DE4E35" w:rsidRPr="00361437" w:rsidRDefault="00DE4E35" w:rsidP="006F2556">
      <w:pPr>
        <w:spacing w:line="480" w:lineRule="auto"/>
        <w:ind w:firstLine="720"/>
        <w:rPr>
          <w:rFonts w:cs="Times New Roman"/>
        </w:rPr>
      </w:pPr>
      <w:r w:rsidRPr="00361437">
        <w:rPr>
          <w:rFonts w:cs="Times New Roman"/>
        </w:rPr>
        <w:t>The literature on institutional investor activism seems to indicate a large heterogeneity in activity and effectiveness across investors and over time. Wahal (1996) studies 356 public engagements by 9 pension funds between 1987 and 1993 and shows that pension funds are successful in changing the governance structure of targeted firms but their activity is not associated with a significant short-term or long-term improvement in either stock price or accounting measures of performance. Smith (1996) studies a comprehensive set of 51 public activism targets of</w:t>
      </w:r>
      <w:r w:rsidR="00F100BA" w:rsidRPr="00361437">
        <w:rPr>
          <w:rFonts w:cs="Times New Roman"/>
        </w:rPr>
        <w:t xml:space="preserve"> the California Public Employees' Retirement System</w:t>
      </w:r>
      <w:r w:rsidRPr="00361437">
        <w:rPr>
          <w:rFonts w:cs="Times New Roman"/>
        </w:rPr>
        <w:t xml:space="preserve"> </w:t>
      </w:r>
      <w:r w:rsidR="00F100BA" w:rsidRPr="00361437">
        <w:rPr>
          <w:rFonts w:cs="Times New Roman"/>
        </w:rPr>
        <w:t>(</w:t>
      </w:r>
      <w:r w:rsidRPr="00361437">
        <w:rPr>
          <w:rFonts w:cs="Times New Roman"/>
        </w:rPr>
        <w:t>CalPERS</w:t>
      </w:r>
      <w:r w:rsidR="00F100BA" w:rsidRPr="00361437">
        <w:rPr>
          <w:rFonts w:cs="Times New Roman"/>
        </w:rPr>
        <w:t>)</w:t>
      </w:r>
      <w:r w:rsidRPr="00361437">
        <w:rPr>
          <w:rFonts w:cs="Times New Roman"/>
        </w:rPr>
        <w:t xml:space="preserve"> from 1987 to 1993 and finds more promising results: CalPERS seems to target underperforming companies and it has a high success rate (72%) of adopting governance structure changes. The paper shows that shareholder wealth increases for firms that adopt/settle and decreases for firms that resist. </w:t>
      </w:r>
    </w:p>
    <w:p w14:paraId="76C4BA4B" w14:textId="6D32FA26" w:rsidR="00DE4E35" w:rsidRPr="00361437" w:rsidRDefault="00DE4E35" w:rsidP="00B240C1">
      <w:pPr>
        <w:spacing w:line="480" w:lineRule="auto"/>
        <w:ind w:firstLine="720"/>
      </w:pPr>
      <w:r w:rsidRPr="00361437">
        <w:rPr>
          <w:rFonts w:cs="Times New Roman"/>
        </w:rPr>
        <w:lastRenderedPageBreak/>
        <w:t>Carleton, Nelson, and Weisbach (1998) examine the private correspondence between</w:t>
      </w:r>
      <w:r w:rsidR="00F100BA" w:rsidRPr="00361437">
        <w:rPr>
          <w:rFonts w:cs="Times New Roman"/>
        </w:rPr>
        <w:t xml:space="preserve"> the Teachers Insurance and Annuity Association of America and College Retirement Equities Fund</w:t>
      </w:r>
      <w:r w:rsidRPr="00361437">
        <w:rPr>
          <w:rFonts w:cs="Times New Roman"/>
        </w:rPr>
        <w:t xml:space="preserve"> </w:t>
      </w:r>
      <w:r w:rsidR="00F100BA" w:rsidRPr="00361437">
        <w:rPr>
          <w:rFonts w:cs="Times New Roman"/>
        </w:rPr>
        <w:t>(</w:t>
      </w:r>
      <w:r w:rsidRPr="00361437">
        <w:rPr>
          <w:rFonts w:cs="Times New Roman"/>
        </w:rPr>
        <w:t>TIAA-CREF</w:t>
      </w:r>
      <w:r w:rsidR="00F100BA" w:rsidRPr="00361437">
        <w:rPr>
          <w:rFonts w:cs="Times New Roman"/>
        </w:rPr>
        <w:t>)</w:t>
      </w:r>
      <w:r w:rsidRPr="00361437">
        <w:rPr>
          <w:rFonts w:cs="Times New Roman"/>
        </w:rPr>
        <w:t xml:space="preserve"> and 45 firms it contacted between 1992 and 1996. The results indicate that TIAA-CREF reaches agreement with target companies more than 95% of the time; in more than 70% of the cases, the agreement reached without shareholders voting on the proposal (and even without shareholders knowing about TIAA-CREF involvement); 87% of the targets subsequently took actions to comply with these agreements. A similar study for the </w:t>
      </w:r>
      <w:r w:rsidR="00F100BA" w:rsidRPr="00361437">
        <w:rPr>
          <w:rFonts w:cs="Times New Roman"/>
        </w:rPr>
        <w:t>United Kingdom (</w:t>
      </w:r>
      <w:r w:rsidRPr="00361437">
        <w:rPr>
          <w:rFonts w:cs="Times New Roman"/>
        </w:rPr>
        <w:t>UK</w:t>
      </w:r>
      <w:r w:rsidR="00F100BA" w:rsidRPr="00361437">
        <w:rPr>
          <w:rFonts w:cs="Times New Roman"/>
        </w:rPr>
        <w:t>)</w:t>
      </w:r>
      <w:r w:rsidRPr="00361437">
        <w:rPr>
          <w:rFonts w:cs="Times New Roman"/>
        </w:rPr>
        <w:t xml:space="preserve"> by Becht, Franks, Mayer, and Rossi (2010) examines the activity of the activist fund Hermes UK Focus Fund</w:t>
      </w:r>
      <w:r w:rsidR="00F100BA" w:rsidRPr="00361437">
        <w:rPr>
          <w:rFonts w:cs="Times New Roman"/>
        </w:rPr>
        <w:t xml:space="preserve"> (HUKFF)</w:t>
      </w:r>
      <w:r w:rsidRPr="00361437">
        <w:rPr>
          <w:rFonts w:cs="Times New Roman"/>
        </w:rPr>
        <w:t>, which was part of the British Telecom pension fund, over the period 1998-2004. The engagement of this fund tends to take a private rather than public form and seeks to restructure firms, focusing their activities, limiting acquisitions and capital expenditure, changing boards and altering financial policy. While there is no positive market reaction to public notification of HUKFF's stake, there is a substantial share price reaction to engagement outcomes of between 3 and 4%.</w:t>
      </w:r>
      <w:r w:rsidR="00CA35A7" w:rsidRPr="00361437">
        <w:t xml:space="preserve"> </w:t>
      </w:r>
      <w:bookmarkStart w:id="4" w:name="_Hlk46387719"/>
      <w:r w:rsidR="00B240C1" w:rsidRPr="00361437">
        <w:t>As regards hedge funds</w:t>
      </w:r>
      <w:r w:rsidR="00CA35A7" w:rsidRPr="00361437">
        <w:t>, Brav, Jiang, Partnoy, and Thomas (2008) find that the announcement of hedge fund activism results in 5-7% abnormal return</w:t>
      </w:r>
      <w:r w:rsidR="00B240C1" w:rsidRPr="00361437">
        <w:t>s</w:t>
      </w:r>
      <w:r w:rsidR="00CA35A7" w:rsidRPr="00361437">
        <w:t xml:space="preserve"> during the announcement window with no subsequent</w:t>
      </w:r>
      <w:r w:rsidR="00B240C1" w:rsidRPr="00361437">
        <w:t xml:space="preserve"> reversal</w:t>
      </w:r>
      <w:r w:rsidR="007246A5" w:rsidRPr="00361437">
        <w:rPr>
          <w:lang w:val="en-GB"/>
        </w:rPr>
        <w:t xml:space="preserve"> </w:t>
      </w:r>
      <w:r w:rsidR="004D23C7" w:rsidRPr="00361437">
        <w:rPr>
          <w:lang w:val="en-GB"/>
        </w:rPr>
        <w:t>while</w:t>
      </w:r>
      <w:r w:rsidR="007246A5" w:rsidRPr="00361437">
        <w:rPr>
          <w:lang w:val="en-GB"/>
        </w:rPr>
        <w:t xml:space="preserve"> </w:t>
      </w:r>
      <w:r w:rsidR="00CA35A7" w:rsidRPr="00361437">
        <w:t>Brav, Jiang, and Kim (2015)</w:t>
      </w:r>
      <w:r w:rsidR="00B240C1" w:rsidRPr="00361437">
        <w:t xml:space="preserve"> study</w:t>
      </w:r>
      <w:r w:rsidR="00CA35A7" w:rsidRPr="00361437">
        <w:t xml:space="preserve"> t</w:t>
      </w:r>
      <w:r w:rsidR="00CA35A7" w:rsidRPr="00361437">
        <w:rPr>
          <w:lang w:val="en-GB"/>
        </w:rPr>
        <w:t xml:space="preserve">he effects of hedge fund activism on productivity, investment and </w:t>
      </w:r>
      <w:r w:rsidR="00CA35A7" w:rsidRPr="00361437">
        <w:t>labor</w:t>
      </w:r>
      <w:r w:rsidR="00CA35A7" w:rsidRPr="00361437">
        <w:rPr>
          <w:lang w:val="en-GB"/>
        </w:rPr>
        <w:t xml:space="preserve"> policies.</w:t>
      </w:r>
    </w:p>
    <w:bookmarkEnd w:id="4"/>
    <w:p w14:paraId="742BC0AF" w14:textId="77777777" w:rsidR="00DE4E35" w:rsidRPr="00361437" w:rsidRDefault="00DE4E35" w:rsidP="006F2556">
      <w:pPr>
        <w:spacing w:line="480" w:lineRule="auto"/>
        <w:ind w:firstLine="720"/>
        <w:rPr>
          <w:rFonts w:cs="Times New Roman"/>
        </w:rPr>
      </w:pPr>
      <w:r w:rsidRPr="00361437">
        <w:rPr>
          <w:rFonts w:cs="Times New Roman"/>
        </w:rPr>
        <w:t xml:space="preserve">The papers mentioned so far focus on the performance of very special funds. More recently, attention has shifted towards the general category of institutional investors. Aggarwal, Erel, Ferreira, and Matos (2011) show that international institutional investors are positively associated with firm-level corporate governance in a large sample of firms from 23 countries during the 2003–2008 period. They find that firms with higher institutional ownership are more likely to terminate poorly performing CEOs and exhibit improvements in valuation over time. Iliev and Lowry (2015) emphasize that there is a large heterogeneity across mutual funds and find that over a quarter of the funds rely almost entirely on Institutional Shareholder Services recommendations, while other funds place little weight on them. </w:t>
      </w:r>
    </w:p>
    <w:p w14:paraId="4D8BFA13" w14:textId="77777777" w:rsidR="00DE4E35" w:rsidRPr="00361437" w:rsidRDefault="00DE4E35" w:rsidP="006F2556">
      <w:pPr>
        <w:spacing w:line="480" w:lineRule="auto"/>
        <w:ind w:firstLine="720"/>
        <w:rPr>
          <w:rFonts w:cs="Times New Roman"/>
        </w:rPr>
      </w:pPr>
      <w:r w:rsidRPr="00361437">
        <w:rPr>
          <w:rFonts w:cs="Times New Roman"/>
        </w:rPr>
        <w:t xml:space="preserve">We extend this literature by focusing not only on the equity holdings of institutional investors but also on their debt holdings. As a matter of fact, mutual fund companies often also hold debt in the </w:t>
      </w:r>
      <w:r w:rsidRPr="00361437">
        <w:rPr>
          <w:rFonts w:cs="Times New Roman"/>
        </w:rPr>
        <w:lastRenderedPageBreak/>
        <w:t xml:space="preserve">same firms in which they hold equity. This may be through their debt only funds or their mixed funds that hold both debt and equity. What is the governance role (if any) of these debt holdings? </w:t>
      </w:r>
    </w:p>
    <w:p w14:paraId="0E059887" w14:textId="3ADAFEBF" w:rsidR="00DE4E35" w:rsidRPr="00361437" w:rsidRDefault="00DE4E35" w:rsidP="006F2556">
      <w:pPr>
        <w:spacing w:line="480" w:lineRule="auto"/>
        <w:ind w:firstLine="720"/>
        <w:rPr>
          <w:rFonts w:cs="Times New Roman"/>
        </w:rPr>
      </w:pPr>
      <w:r w:rsidRPr="00361437">
        <w:rPr>
          <w:rFonts w:cs="Times New Roman"/>
        </w:rPr>
        <w:t xml:space="preserve">First consider the public channel, the voting decisions. To measure the extent to which fund families hold debt as a share of the total holdings we define </w:t>
      </w:r>
      <w:r w:rsidR="006F2556" w:rsidRPr="00361437">
        <w:rPr>
          <w:rFonts w:cs="Times New Roman"/>
        </w:rPr>
        <w:t>FAMILY_DEBT_FRACTION</w:t>
      </w:r>
      <w:r w:rsidRPr="00361437">
        <w:rPr>
          <w:rFonts w:cs="Times New Roman"/>
          <w:i/>
        </w:rPr>
        <w:t xml:space="preserve"> </w:t>
      </w:r>
      <w:r w:rsidRPr="00361437">
        <w:rPr>
          <w:rFonts w:cs="Times New Roman"/>
        </w:rPr>
        <w:t>as:</w:t>
      </w:r>
    </w:p>
    <w:p w14:paraId="07B91C8F" w14:textId="77777777" w:rsidR="00DE4E35" w:rsidRPr="00361437" w:rsidRDefault="00DE4E35" w:rsidP="006F2556">
      <w:pPr>
        <w:spacing w:line="480" w:lineRule="auto"/>
        <w:rPr>
          <w:rFonts w:cs="Times New Roman"/>
          <w:sz w:val="4"/>
          <w:szCs w:val="4"/>
        </w:rPr>
      </w:pPr>
    </w:p>
    <w:p w14:paraId="63893F30" w14:textId="4CF3C045" w:rsidR="00DE4E35" w:rsidRPr="00361437" w:rsidRDefault="00763DF6" w:rsidP="006F2556">
      <w:pPr>
        <w:spacing w:line="480" w:lineRule="auto"/>
        <w:rPr>
          <w:rFonts w:cs="Times New Roman"/>
        </w:rPr>
      </w:pPr>
      <w:r w:rsidRPr="00361437">
        <w:rPr>
          <w:rFonts w:eastAsiaTheme="minorEastAsia" w:cs="Times New Roman"/>
        </w:rPr>
        <w:t>(1)</w:t>
      </w:r>
      <w:r w:rsidR="00DE4E35" w:rsidRPr="00361437">
        <w:rPr>
          <w:rFonts w:cs="Times New Roman"/>
        </w:rPr>
        <w:t xml:space="preserve"> </w:t>
      </w:r>
      <m:oMath>
        <m:sSub>
          <m:sSubPr>
            <m:ctrlPr>
              <w:rPr>
                <w:rFonts w:ascii="Cambria Math" w:hAnsi="Cambria Math" w:cs="Times New Roman"/>
              </w:rPr>
            </m:ctrlPr>
          </m:sSubPr>
          <m:e>
            <m:r>
              <m:rPr>
                <m:sty m:val="p"/>
              </m:rPr>
              <w:rPr>
                <w:rFonts w:ascii="Cambria Math" w:hAnsi="Cambria Math" w:cs="Times New Roman"/>
              </w:rPr>
              <m:t>FAMILY_DEBT_FRACTION</m:t>
            </m:r>
          </m:e>
          <m:sub>
            <m:r>
              <m:rPr>
                <m:sty m:val="p"/>
              </m:rPr>
              <w:rPr>
                <w:rFonts w:ascii="Cambria Math" w:hAnsi="Cambria Math" w:cs="Times New Roman"/>
              </w:rPr>
              <m:t>i,j,t</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 xml:space="preserve">Total value family </m:t>
            </m:r>
            <m:d>
              <m:dPr>
                <m:ctrlPr>
                  <w:rPr>
                    <w:rFonts w:ascii="Cambria Math" w:hAnsi="Cambria Math" w:cs="Times New Roman"/>
                  </w:rPr>
                </m:ctrlPr>
              </m:dPr>
              <m:e>
                <m:r>
                  <m:rPr>
                    <m:sty m:val="p"/>
                  </m:rPr>
                  <w:rPr>
                    <w:rFonts w:ascii="Cambria Math" w:hAnsi="Cambria Math" w:cs="Times New Roman"/>
                  </w:rPr>
                  <m:t>i</m:t>
                </m:r>
              </m:e>
            </m:d>
            <m:r>
              <m:rPr>
                <m:sty m:val="p"/>
              </m:rPr>
              <w:rPr>
                <w:rFonts w:ascii="Cambria Math" w:hAnsi="Cambria Math" w:cs="Times New Roman"/>
              </w:rPr>
              <m:t xml:space="preserve">debt holdings in firm </m:t>
            </m:r>
            <m:d>
              <m:dPr>
                <m:ctrlPr>
                  <w:rPr>
                    <w:rFonts w:ascii="Cambria Math" w:hAnsi="Cambria Math" w:cs="Times New Roman"/>
                  </w:rPr>
                </m:ctrlPr>
              </m:dPr>
              <m:e>
                <m:r>
                  <m:rPr>
                    <m:sty m:val="p"/>
                  </m:rPr>
                  <w:rPr>
                    <w:rFonts w:ascii="Cambria Math" w:hAnsi="Cambria Math" w:cs="Times New Roman"/>
                  </w:rPr>
                  <m:t>j</m:t>
                </m:r>
              </m:e>
            </m:d>
            <m:r>
              <m:rPr>
                <m:sty m:val="p"/>
              </m:rPr>
              <w:rPr>
                <w:rFonts w:ascii="Cambria Math" w:hAnsi="Cambria Math" w:cs="Times New Roman"/>
              </w:rPr>
              <m:t>at (t)</m:t>
            </m:r>
          </m:num>
          <m:den>
            <m:r>
              <m:rPr>
                <m:sty m:val="p"/>
              </m:rPr>
              <w:rPr>
                <w:rFonts w:ascii="Cambria Math" w:hAnsi="Cambria Math" w:cs="Times New Roman"/>
              </w:rPr>
              <m:t xml:space="preserve">Total value family </m:t>
            </m:r>
            <m:d>
              <m:dPr>
                <m:ctrlPr>
                  <w:rPr>
                    <w:rFonts w:ascii="Cambria Math" w:hAnsi="Cambria Math" w:cs="Times New Roman"/>
                  </w:rPr>
                </m:ctrlPr>
              </m:dPr>
              <m:e>
                <m:r>
                  <m:rPr>
                    <m:sty m:val="p"/>
                  </m:rPr>
                  <w:rPr>
                    <w:rFonts w:ascii="Cambria Math" w:hAnsi="Cambria Math" w:cs="Times New Roman"/>
                  </w:rPr>
                  <m:t>i</m:t>
                </m:r>
              </m:e>
            </m:d>
            <m:r>
              <m:rPr>
                <m:sty m:val="p"/>
              </m:rPr>
              <w:rPr>
                <w:rFonts w:ascii="Cambria Math" w:hAnsi="Cambria Math" w:cs="Times New Roman"/>
              </w:rPr>
              <m:t xml:space="preserve">debt and equity holdings in firm </m:t>
            </m:r>
            <m:d>
              <m:dPr>
                <m:ctrlPr>
                  <w:rPr>
                    <w:rFonts w:ascii="Cambria Math" w:hAnsi="Cambria Math" w:cs="Times New Roman"/>
                  </w:rPr>
                </m:ctrlPr>
              </m:dPr>
              <m:e>
                <m:r>
                  <m:rPr>
                    <m:sty m:val="p"/>
                  </m:rPr>
                  <w:rPr>
                    <w:rFonts w:ascii="Cambria Math" w:hAnsi="Cambria Math" w:cs="Times New Roman"/>
                  </w:rPr>
                  <m:t>j</m:t>
                </m:r>
              </m:e>
            </m:d>
            <m:r>
              <m:rPr>
                <m:sty m:val="p"/>
              </m:rPr>
              <w:rPr>
                <w:rFonts w:ascii="Cambria Math" w:hAnsi="Cambria Math" w:cs="Times New Roman"/>
              </w:rPr>
              <m:t>at (t)</m:t>
            </m:r>
          </m:den>
        </m:f>
      </m:oMath>
      <w:r w:rsidR="00DE4E35" w:rsidRPr="00361437">
        <w:rPr>
          <w:rFonts w:eastAsiaTheme="minorEastAsia" w:cs="Times New Roman"/>
        </w:rPr>
        <w:t xml:space="preserve">  </w:t>
      </w:r>
    </w:p>
    <w:p w14:paraId="2349F8D8" w14:textId="77777777" w:rsidR="00DE4E35" w:rsidRPr="00361437" w:rsidRDefault="00DE4E35" w:rsidP="006F2556">
      <w:pPr>
        <w:spacing w:line="480" w:lineRule="auto"/>
        <w:rPr>
          <w:rFonts w:cs="Times New Roman"/>
          <w:sz w:val="4"/>
          <w:szCs w:val="4"/>
        </w:rPr>
      </w:pPr>
    </w:p>
    <w:p w14:paraId="67DC393A" w14:textId="77777777" w:rsidR="00DE4E35" w:rsidRPr="00361437" w:rsidRDefault="00DE4E35" w:rsidP="006F2556">
      <w:pPr>
        <w:spacing w:line="480" w:lineRule="auto"/>
        <w:ind w:firstLine="720"/>
        <w:rPr>
          <w:rFonts w:cs="Times New Roman"/>
        </w:rPr>
      </w:pPr>
      <w:r w:rsidRPr="00361437">
        <w:rPr>
          <w:rFonts w:cs="Times New Roman"/>
        </w:rPr>
        <w:t>If mutual fund companies have no debt in a firm, and their family debt fraction is zero we would expect them to vote so as to maximize the value of their equity share. However, when the family debt fraction</w:t>
      </w:r>
      <w:r w:rsidRPr="00361437">
        <w:rPr>
          <w:rFonts w:cs="Times New Roman"/>
          <w:b/>
        </w:rPr>
        <w:t xml:space="preserve"> </w:t>
      </w:r>
      <w:r w:rsidRPr="00361437">
        <w:rPr>
          <w:rFonts w:cs="Times New Roman"/>
        </w:rPr>
        <w:t>is positive we would expect the mutual fund family to take into consideration the interests of their debt stake in the same firm and therefore to vote, thus evaluating not only the consequences for the value of their equity stake in the firm but also the consequences for their debt stake. From this we get our first hypothesis:</w:t>
      </w:r>
    </w:p>
    <w:p w14:paraId="068C6035" w14:textId="7BBE38FF" w:rsidR="00DE4E35" w:rsidRPr="00361437" w:rsidRDefault="00DE4E35" w:rsidP="006F2556">
      <w:pPr>
        <w:spacing w:line="480" w:lineRule="auto"/>
        <w:ind w:firstLine="720"/>
        <w:rPr>
          <w:rFonts w:cs="Times New Roman"/>
        </w:rPr>
      </w:pPr>
      <w:r w:rsidRPr="00361437">
        <w:rPr>
          <w:rFonts w:cs="Times New Roman"/>
        </w:rPr>
        <w:t>Hypothesis 1</w:t>
      </w:r>
      <w:r w:rsidR="001046BF" w:rsidRPr="00361437">
        <w:rPr>
          <w:rFonts w:cs="Times New Roman"/>
        </w:rPr>
        <w:t xml:space="preserve"> (Debt</w:t>
      </w:r>
      <w:r w:rsidR="0083222B" w:rsidRPr="00361437">
        <w:rPr>
          <w:rFonts w:cs="Times New Roman"/>
        </w:rPr>
        <w:t xml:space="preserve"> </w:t>
      </w:r>
      <w:r w:rsidR="001046BF" w:rsidRPr="00361437">
        <w:rPr>
          <w:rFonts w:cs="Times New Roman"/>
        </w:rPr>
        <w:t xml:space="preserve">holder governance): </w:t>
      </w:r>
      <w:r w:rsidRPr="00361437">
        <w:rPr>
          <w:rFonts w:cs="Times New Roman"/>
        </w:rPr>
        <w:t xml:space="preserve">The greater the family debt fraction held by a given fund management company in a given firm, the greater the tendency of that fund management company to vote according to the interests of debt holders. </w:t>
      </w:r>
    </w:p>
    <w:p w14:paraId="698506B0" w14:textId="77777777" w:rsidR="00DE4E35" w:rsidRPr="00361437" w:rsidRDefault="00DE4E35" w:rsidP="006F2556">
      <w:pPr>
        <w:spacing w:line="480" w:lineRule="auto"/>
        <w:ind w:firstLine="720"/>
        <w:rPr>
          <w:rFonts w:cs="Times New Roman"/>
        </w:rPr>
      </w:pPr>
      <w:r w:rsidRPr="00361437">
        <w:rPr>
          <w:rFonts w:cs="Times New Roman"/>
        </w:rPr>
        <w:t xml:space="preserve">Consider next the private engagement channel. If institutional investors hold only equity, we would expect them to not only vote in the interests of equity but to also push firm policy in the interests of equity through the direct communication channel. However, if institutional investors hold both a mix of debt and equity, then we would expect them to take the interests of debt into account to a greater extent when voting on firm policy and also directly communicating with firms. </w:t>
      </w:r>
    </w:p>
    <w:p w14:paraId="2F5E8A8B" w14:textId="3C11EB8D" w:rsidR="00DE4E35" w:rsidRPr="00361437" w:rsidRDefault="00DE4E35" w:rsidP="006F2556">
      <w:pPr>
        <w:spacing w:line="480" w:lineRule="auto"/>
        <w:ind w:firstLine="720"/>
        <w:rPr>
          <w:rFonts w:cs="Times New Roman"/>
        </w:rPr>
      </w:pPr>
      <w:r w:rsidRPr="00361437">
        <w:rPr>
          <w:rFonts w:cs="Times New Roman"/>
        </w:rPr>
        <w:t xml:space="preserve">Therefore we would expect there to be two channels through which joint debt equity holdings affect firm policy. The first is through the voting channel and the second is through the private engagement channel. While we cannot observe the private communication channel, we can observe the voting channel, and therefore it is possible to test for its relative importance. </w:t>
      </w:r>
    </w:p>
    <w:p w14:paraId="58F5D2F5" w14:textId="77777777" w:rsidR="00DE4E35" w:rsidRPr="00361437" w:rsidRDefault="00DE4E35" w:rsidP="006F2556">
      <w:pPr>
        <w:spacing w:line="480" w:lineRule="auto"/>
        <w:ind w:firstLine="720"/>
        <w:rPr>
          <w:rFonts w:cs="Times New Roman"/>
          <w:i/>
        </w:rPr>
      </w:pPr>
      <w:r w:rsidRPr="00361437">
        <w:rPr>
          <w:rFonts w:cs="Times New Roman"/>
        </w:rPr>
        <w:t>If firms observe that institutional investors vote to a greater extent in the interests of creditors then we would expect firms to respond to this by acting more in the interests of creditors as well. Therefore our second hypothesis is:</w:t>
      </w:r>
    </w:p>
    <w:p w14:paraId="69AAE063" w14:textId="72FCC833" w:rsidR="00DE4E35" w:rsidRPr="00361437" w:rsidRDefault="00DE4E35" w:rsidP="006F2556">
      <w:pPr>
        <w:spacing w:line="480" w:lineRule="auto"/>
        <w:ind w:firstLine="720"/>
        <w:rPr>
          <w:rFonts w:cs="Times New Roman"/>
        </w:rPr>
      </w:pPr>
      <w:r w:rsidRPr="00361437">
        <w:rPr>
          <w:rFonts w:cs="Times New Roman"/>
        </w:rPr>
        <w:lastRenderedPageBreak/>
        <w:t>Hypothesis 2</w:t>
      </w:r>
      <w:r w:rsidR="001046BF" w:rsidRPr="00361437">
        <w:rPr>
          <w:rFonts w:cs="Times New Roman"/>
        </w:rPr>
        <w:t xml:space="preserve"> (Impact of debt</w:t>
      </w:r>
      <w:r w:rsidR="0083222B" w:rsidRPr="00361437">
        <w:rPr>
          <w:rFonts w:cs="Times New Roman"/>
        </w:rPr>
        <w:t xml:space="preserve"> </w:t>
      </w:r>
      <w:r w:rsidR="001046BF" w:rsidRPr="00361437">
        <w:rPr>
          <w:rFonts w:cs="Times New Roman"/>
        </w:rPr>
        <w:t>holder governance)</w:t>
      </w:r>
      <w:r w:rsidRPr="00361437">
        <w:rPr>
          <w:rFonts w:cs="Times New Roman"/>
        </w:rPr>
        <w:t>: The greater the propensity of institutional investors to vote in favor of creditors on the proposals of a given firm, the more the firm will be managed in the interests of debt holders.</w:t>
      </w:r>
    </w:p>
    <w:p w14:paraId="1D4CE9B6" w14:textId="55253FB4" w:rsidR="00771159" w:rsidRPr="00361437" w:rsidRDefault="00771159" w:rsidP="006F2556">
      <w:pPr>
        <w:spacing w:line="480" w:lineRule="auto"/>
        <w:ind w:firstLine="720"/>
        <w:rPr>
          <w:rFonts w:cs="Times New Roman"/>
          <w:lang w:val="en-GB"/>
        </w:rPr>
      </w:pPr>
      <w:r w:rsidRPr="00361437">
        <w:rPr>
          <w:rFonts w:cs="Times New Roman"/>
          <w:lang w:val="en-GB"/>
        </w:rPr>
        <w:t>We expect to detect the debt governance role of institutional investors in firms close to financial distress. This is because, when a firm is in financial distress, its decisions are likely to have large effects on the value of its bonds as well as the value of its shares. So, when holding a long position in a firm in financial distress, it is worthwhile for a fund family to coordinate the voting of its equity and debt funds, and invest resources to develop their own view on the firm’s strategy. Conversely, away from financial distress, bond prices are hardly affected by firms’ decisions. Therefore, there is no need to coordinate the voting decisions on debt and equity funds.</w:t>
      </w:r>
    </w:p>
    <w:p w14:paraId="5B6F1892" w14:textId="1122AB75" w:rsidR="00DE4E35" w:rsidRPr="00361437" w:rsidRDefault="00763DF6" w:rsidP="006F2556">
      <w:pPr>
        <w:pStyle w:val="Heading1"/>
        <w:spacing w:line="480" w:lineRule="auto"/>
        <w:jc w:val="left"/>
      </w:pPr>
      <w:r w:rsidRPr="00361437">
        <w:t>III</w:t>
      </w:r>
      <w:r w:rsidR="00DE4E35" w:rsidRPr="00361437">
        <w:t>. Data</w:t>
      </w:r>
    </w:p>
    <w:p w14:paraId="500E7460" w14:textId="7B159089" w:rsidR="00DE4E35" w:rsidRPr="00361437" w:rsidRDefault="00DE4E35" w:rsidP="006F2556">
      <w:pPr>
        <w:spacing w:line="480" w:lineRule="auto"/>
        <w:ind w:firstLine="720"/>
        <w:rPr>
          <w:rFonts w:cs="Times New Roman"/>
        </w:rPr>
      </w:pPr>
      <w:r w:rsidRPr="00361437">
        <w:rPr>
          <w:rFonts w:cs="Times New Roman"/>
        </w:rPr>
        <w:t xml:space="preserve">To conduct our analysis we </w:t>
      </w:r>
      <w:r w:rsidR="00415DC1" w:rsidRPr="00361437">
        <w:rPr>
          <w:rFonts w:cs="Times New Roman"/>
        </w:rPr>
        <w:t>merge</w:t>
      </w:r>
      <w:r w:rsidRPr="00361437">
        <w:rPr>
          <w:rFonts w:cs="Times New Roman"/>
        </w:rPr>
        <w:t xml:space="preserve"> together datasets from various sources. The first dataset consists of the holdings of </w:t>
      </w:r>
      <w:r w:rsidR="00F100BA" w:rsidRPr="00361437">
        <w:rPr>
          <w:rFonts w:cs="Times New Roman"/>
        </w:rPr>
        <w:t>US</w:t>
      </w:r>
      <w:r w:rsidRPr="00361437">
        <w:rPr>
          <w:rFonts w:cs="Times New Roman"/>
        </w:rPr>
        <w:t xml:space="preserve"> fund families in </w:t>
      </w:r>
      <w:r w:rsidR="00F100BA" w:rsidRPr="00361437">
        <w:rPr>
          <w:rFonts w:cs="Times New Roman"/>
        </w:rPr>
        <w:t>US</w:t>
      </w:r>
      <w:r w:rsidRPr="00361437">
        <w:rPr>
          <w:rFonts w:cs="Times New Roman"/>
        </w:rPr>
        <w:t xml:space="preserve"> listed firms, which allow us to calculate fund family debt fractions by all families in each firm. We gather data on the holdings of both debt and equity of all funds sold in the </w:t>
      </w:r>
      <w:r w:rsidR="00F100BA" w:rsidRPr="00361437">
        <w:rPr>
          <w:rFonts w:cs="Times New Roman"/>
        </w:rPr>
        <w:t>US</w:t>
      </w:r>
      <w:r w:rsidRPr="00361437">
        <w:rPr>
          <w:rFonts w:cs="Times New Roman"/>
        </w:rPr>
        <w:t xml:space="preserve"> between 2009 and 2013 from the Morningstar Direct database, which includes not only funds that hold domestic securities but also global funds that hold a mixture of domestic and international assets. </w:t>
      </w:r>
    </w:p>
    <w:p w14:paraId="559370D3" w14:textId="29146426" w:rsidR="00DE4E35" w:rsidRPr="00361437" w:rsidRDefault="00DE4E35" w:rsidP="006F2556">
      <w:pPr>
        <w:spacing w:line="480" w:lineRule="auto"/>
        <w:ind w:firstLine="720"/>
        <w:rPr>
          <w:rFonts w:cs="Times New Roman"/>
        </w:rPr>
      </w:pPr>
      <w:r w:rsidRPr="00361437">
        <w:rPr>
          <w:rFonts w:cs="Times New Roman"/>
        </w:rPr>
        <w:t xml:space="preserve">As we wish to relate fund family debt fractions to how fund families vote, the second set of data </w:t>
      </w:r>
      <w:r w:rsidR="00415DC1" w:rsidRPr="00361437">
        <w:rPr>
          <w:rFonts w:cs="Times New Roman"/>
        </w:rPr>
        <w:t>describes</w:t>
      </w:r>
      <w:r w:rsidRPr="00361437">
        <w:rPr>
          <w:rFonts w:cs="Times New Roman"/>
        </w:rPr>
        <w:t xml:space="preserve"> how mutual funds vote. </w:t>
      </w:r>
      <w:r w:rsidR="00F100BA" w:rsidRPr="00361437">
        <w:rPr>
          <w:rFonts w:cs="Times New Roman"/>
        </w:rPr>
        <w:t>US</w:t>
      </w:r>
      <w:r w:rsidRPr="00361437">
        <w:rPr>
          <w:rFonts w:cs="Times New Roman"/>
        </w:rPr>
        <w:t xml:space="preserve"> mutual fund companies have been required by law to make public how they vote on proposals at the annual meetings of </w:t>
      </w:r>
      <w:r w:rsidR="00F100BA" w:rsidRPr="00361437">
        <w:rPr>
          <w:rFonts w:cs="Times New Roman"/>
        </w:rPr>
        <w:t>US</w:t>
      </w:r>
      <w:r w:rsidRPr="00361437">
        <w:rPr>
          <w:rFonts w:cs="Times New Roman"/>
        </w:rPr>
        <w:t xml:space="preserve"> companies since 2003. We obtain data on fund voting from 2009 to 2013 from Institutional Shareholder Services (ISS). As we wish to relate votes cast in favor of creditors on firms to firm investment and payout policy, we require investment and payout data at the firm level. We gather this data on all publicly traded firms alive with any outstanding debt between 2009 and 2013 from Compustat. We only include firms with a positive amount of debt as these are the only firms that can possibly have a positive debt fraction and therefore allow us to test our hypotheses. We also require data available from </w:t>
      </w:r>
      <w:r w:rsidR="00A2510A" w:rsidRPr="00361437">
        <w:rPr>
          <w:rFonts w:cs="Times New Roman"/>
        </w:rPr>
        <w:t>the Center for Research in Security Prices (</w:t>
      </w:r>
      <w:r w:rsidRPr="00361437">
        <w:rPr>
          <w:rFonts w:cs="Times New Roman"/>
        </w:rPr>
        <w:t>CRSP</w:t>
      </w:r>
      <w:r w:rsidR="00A2510A" w:rsidRPr="00361437">
        <w:rPr>
          <w:rFonts w:cs="Times New Roman"/>
        </w:rPr>
        <w:t>)</w:t>
      </w:r>
      <w:r w:rsidRPr="00361437">
        <w:rPr>
          <w:rFonts w:cs="Times New Roman"/>
        </w:rPr>
        <w:t xml:space="preserve"> and Compustat to be able to calculate the firm’s key financial </w:t>
      </w:r>
      <w:r w:rsidRPr="00361437">
        <w:rPr>
          <w:rFonts w:cs="Times New Roman"/>
        </w:rPr>
        <w:lastRenderedPageBreak/>
        <w:t xml:space="preserve">characteristics such as market cap, Tobin’s q, leverage, return on assets (ROA), and default probability using </w:t>
      </w:r>
      <w:r w:rsidR="00347887" w:rsidRPr="00361437">
        <w:rPr>
          <w:rFonts w:cs="Times New Roman"/>
        </w:rPr>
        <w:t xml:space="preserve">the </w:t>
      </w:r>
      <w:r w:rsidRPr="00361437">
        <w:rPr>
          <w:rFonts w:cs="Times New Roman"/>
        </w:rPr>
        <w:t>Bharat and Shumway (2008) distance to default model.</w:t>
      </w:r>
    </w:p>
    <w:p w14:paraId="145C225A" w14:textId="58692168" w:rsidR="00DE4E35" w:rsidRPr="00361437" w:rsidRDefault="00DE4E35" w:rsidP="006F2556">
      <w:pPr>
        <w:spacing w:line="480" w:lineRule="auto"/>
        <w:ind w:firstLine="720"/>
        <w:rPr>
          <w:rFonts w:cs="Times New Roman"/>
        </w:rPr>
      </w:pPr>
      <w:r w:rsidRPr="00361437">
        <w:rPr>
          <w:rFonts w:cs="Times New Roman"/>
        </w:rPr>
        <w:t>We then match these three datasets together for the period 2009 to 2013 to give us a sample of 12,327 firm-year observations containing 571 fund families.</w:t>
      </w:r>
      <w:r w:rsidRPr="00361437">
        <w:rPr>
          <w:rStyle w:val="FootnoteReference"/>
        </w:rPr>
        <w:footnoteReference w:id="3"/>
      </w:r>
      <w:r w:rsidRPr="00361437">
        <w:rPr>
          <w:rFonts w:cs="Times New Roman"/>
        </w:rPr>
        <w:t xml:space="preserve"> Table 1 contains data on the fund family debt-equity holdings mix. Of the 571 fund families in our dataset, 8 families hold only debt, 315 families hold only equity, and 248 families hold both debt and equity. Conditional on fund families holding both debt and equity in a given firm, the average value of (debt and equity) holdings in each firm are $43 million and the average debt fraction </w:t>
      </w:r>
      <w:r w:rsidR="00FC27E0" w:rsidRPr="00361437">
        <w:rPr>
          <w:rFonts w:cs="Times New Roman"/>
        </w:rPr>
        <w:t xml:space="preserve">held by fund families </w:t>
      </w:r>
      <w:r w:rsidRPr="00361437">
        <w:rPr>
          <w:rFonts w:cs="Times New Roman"/>
        </w:rPr>
        <w:t xml:space="preserve">is 35%. </w:t>
      </w:r>
    </w:p>
    <w:p w14:paraId="13C7D446" w14:textId="0A483D10" w:rsidR="0095594C" w:rsidRPr="00361437" w:rsidRDefault="0095594C" w:rsidP="00541BF8">
      <w:pPr>
        <w:spacing w:line="480" w:lineRule="auto"/>
        <w:ind w:firstLine="720"/>
        <w:jc w:val="center"/>
        <w:rPr>
          <w:rFonts w:cs="Times New Roman"/>
        </w:rPr>
      </w:pPr>
      <w:r w:rsidRPr="00361437">
        <w:rPr>
          <w:rFonts w:ascii="TimesNewRomanPSMT" w:hAnsi="TimesNewRomanPSMT" w:cs="TimesNewRomanPSMT"/>
          <w:lang w:val="en-GB"/>
        </w:rPr>
        <w:t>[Insert Table 1 about here]</w:t>
      </w:r>
    </w:p>
    <w:p w14:paraId="2D9E860D" w14:textId="559E2D21" w:rsidR="00DE4E35" w:rsidRPr="00361437" w:rsidRDefault="00DE4E35" w:rsidP="006F2556">
      <w:pPr>
        <w:spacing w:line="480" w:lineRule="auto"/>
        <w:ind w:firstLine="720"/>
        <w:rPr>
          <w:rFonts w:cs="Times New Roman"/>
        </w:rPr>
      </w:pPr>
      <w:r w:rsidRPr="00361437">
        <w:rPr>
          <w:rFonts w:cs="Times New Roman"/>
        </w:rPr>
        <w:t xml:space="preserve">To test whether the debt fraction held by fund families affects the way they vote on corporate proposals we need to examine proposals where creditors and equity holders have conflicted interests. Otherwise there would be no relation between </w:t>
      </w:r>
      <w:r w:rsidR="00FC27E0" w:rsidRPr="00361437">
        <w:rPr>
          <w:rFonts w:cs="Times New Roman"/>
        </w:rPr>
        <w:t>FAMILY_DEBT_FRACTION</w:t>
      </w:r>
      <w:r w:rsidRPr="00361437">
        <w:rPr>
          <w:rFonts w:cs="Times New Roman"/>
        </w:rPr>
        <w:t xml:space="preserve"> and how fund families vote. We therefore use this criterion to select proposals that we examine. We read each proposal’s description to determine if the proposal is for or against the interests of creditors and categorize the proposals into five groups.</w:t>
      </w:r>
    </w:p>
    <w:p w14:paraId="358972C5" w14:textId="77777777" w:rsidR="00DE4E35" w:rsidRPr="00361437" w:rsidRDefault="00DE4E35" w:rsidP="006F2556">
      <w:pPr>
        <w:spacing w:line="480" w:lineRule="auto"/>
        <w:ind w:firstLine="720"/>
        <w:rPr>
          <w:rFonts w:cs="Times New Roman"/>
        </w:rPr>
      </w:pPr>
      <w:r w:rsidRPr="00361437">
        <w:rPr>
          <w:rFonts w:cs="Times New Roman"/>
        </w:rPr>
        <w:t>The first group consists of proposals linked with dividend and share repurchases. We would expect that any proposal to increase special dividends or share repurchases is in the interests of shareholders but is against the interests of debt holders as there is now less cash in the firm which reduces the likelihood that debt holders will be paid. Likewise any proposal to decrease dividends or share purchases is classified as being in the interests of debt holders but against the interests of equity holders. Dhillon and Johnson (1994) confirm our priors by showing that bond prices fall significantly in response to large dividend increases and rise significantly in response to large dividend decreases while equity prices change significantly in the opposite direction.</w:t>
      </w:r>
    </w:p>
    <w:p w14:paraId="7504C56E" w14:textId="77777777" w:rsidR="00DE4E35" w:rsidRPr="00361437" w:rsidRDefault="00DE4E35" w:rsidP="006F2556">
      <w:pPr>
        <w:spacing w:line="480" w:lineRule="auto"/>
        <w:ind w:firstLine="720"/>
        <w:rPr>
          <w:rFonts w:cs="Times New Roman"/>
        </w:rPr>
      </w:pPr>
      <w:r w:rsidRPr="00361437">
        <w:rPr>
          <w:rFonts w:cs="Times New Roman"/>
        </w:rPr>
        <w:t xml:space="preserve">The second group of proposals concerns equity issuance. Equity issues bring more cash into the firm, which is good for debt holders as there is more money to pay them while at the same time it </w:t>
      </w:r>
      <w:r w:rsidRPr="00361437">
        <w:rPr>
          <w:rFonts w:cs="Times New Roman"/>
        </w:rPr>
        <w:lastRenderedPageBreak/>
        <w:t xml:space="preserve">dilutes the holdings of equity holders and therefore may be contrary to the interests of equity holders. Eberhart and Siddique (2002), confirming this view, find that long-term equity returns are significantly negative and long-term bond returns are significantly positive following seasoned equity offerings. </w:t>
      </w:r>
    </w:p>
    <w:p w14:paraId="5317134E" w14:textId="77777777" w:rsidR="00DE4E35" w:rsidRPr="00361437" w:rsidRDefault="00DE4E35" w:rsidP="006F2556">
      <w:pPr>
        <w:spacing w:line="480" w:lineRule="auto"/>
        <w:ind w:firstLine="720"/>
        <w:rPr>
          <w:rFonts w:cs="Times New Roman"/>
        </w:rPr>
      </w:pPr>
      <w:r w:rsidRPr="00361437">
        <w:rPr>
          <w:rFonts w:cs="Times New Roman"/>
        </w:rPr>
        <w:t>The third group of proposals concerns anti-takeover provisions. Takeovers are generally good for target shareholders. Takeovers however often involve the acquirer borrowing heavily to buy the target particularly in the case that the acquirer is a private equity company. Therefore, takeovers may be bad for debt holders. Seen from this perspective, any proposal that seeks to introduce anti-takeover provisions will reduce the likelihood of takeovers and therefore be bad for shareholders and good for creditors. In contrast, any proposal that seeks to remove anti-takeover provisions will increase the likelihood of takeovers and therefore will be in the interests of shareholders and against the interests of debt holders.</w:t>
      </w:r>
    </w:p>
    <w:p w14:paraId="374C8B67" w14:textId="77777777" w:rsidR="00DE4E35" w:rsidRPr="00361437" w:rsidRDefault="00DE4E35" w:rsidP="006F2556">
      <w:pPr>
        <w:spacing w:line="480" w:lineRule="auto"/>
        <w:ind w:firstLine="720"/>
        <w:rPr>
          <w:rFonts w:cs="Times New Roman"/>
        </w:rPr>
      </w:pPr>
      <w:r w:rsidRPr="00361437">
        <w:rPr>
          <w:rFonts w:cs="Times New Roman"/>
        </w:rPr>
        <w:t>The fourth category of proposals concerns executive compensation. If a given proposal increases the sensitivity of management pay to firm performance then this is in the interests of equity holders as it aligns executive interests with shareholder interests. For this same reason, greater pay to firm performance sensitivity may be against the interests of creditors: for instance, management with an executive compensation that is fully aligned with equity may engage in risk shifting when close to financial distress. DeFusco, Johnson, and Zorn (1990) show that approval of an executive stock option plan which increases the sensitivity of management pay to performance is accompanied by a significant positive stock reaction and a significant negative bond reaction which is consistent with a wealth transfer from bondholders to stockholders.</w:t>
      </w:r>
    </w:p>
    <w:p w14:paraId="0E8CAFC2" w14:textId="105B38C7" w:rsidR="00DE4E35" w:rsidRPr="00361437" w:rsidRDefault="00DE4E35" w:rsidP="006F2556">
      <w:pPr>
        <w:spacing w:line="480" w:lineRule="auto"/>
        <w:ind w:firstLine="720"/>
        <w:rPr>
          <w:rFonts w:cs="Times New Roman"/>
        </w:rPr>
      </w:pPr>
      <w:r w:rsidRPr="00361437">
        <w:rPr>
          <w:rFonts w:cs="Times New Roman"/>
        </w:rPr>
        <w:t xml:space="preserve">The fifth category of proposals concerns restructuring activities. Whether a particular restructuring activity is in the interests of debt holders or equity holders depends on the type of restructuring activity concerned and can be gauged by the stock market reaction to their announcement. The positive equity market reaction to asset sales in Clayton and Reisel (2013) and to spin-offs shown by Maxwell and Rao (2003) tell us that these are typically good for shareholders and bad for creditors. The negative market reaction to acquisitions of assets, indicates that the market interprets these as being bad for shareholders if there is overpayment or equity issuance. Lastly, in the </w:t>
      </w:r>
      <w:r w:rsidRPr="00361437">
        <w:rPr>
          <w:rFonts w:cs="Times New Roman"/>
        </w:rPr>
        <w:lastRenderedPageBreak/>
        <w:t>case of liquidations of assets, these are generally good for creditors and bad for shareholders as they get little or nothing.</w:t>
      </w:r>
    </w:p>
    <w:p w14:paraId="169DD2FB" w14:textId="1D1AAA65" w:rsidR="0095594C" w:rsidRPr="00361437" w:rsidRDefault="0095594C" w:rsidP="00541BF8">
      <w:pPr>
        <w:spacing w:line="480" w:lineRule="auto"/>
        <w:ind w:firstLine="720"/>
        <w:jc w:val="center"/>
        <w:rPr>
          <w:rFonts w:cs="Times New Roman"/>
        </w:rPr>
      </w:pPr>
      <w:r w:rsidRPr="00361437">
        <w:rPr>
          <w:rFonts w:ascii="TimesNewRomanPSMT" w:hAnsi="TimesNewRomanPSMT" w:cs="TimesNewRomanPSMT"/>
          <w:lang w:val="en-GB"/>
        </w:rPr>
        <w:t>[Insert Table 2 about here]</w:t>
      </w:r>
    </w:p>
    <w:p w14:paraId="463F67F0" w14:textId="0729FBC9" w:rsidR="00DE4E35" w:rsidRPr="00361437" w:rsidRDefault="00DE4E35" w:rsidP="006F2556">
      <w:pPr>
        <w:spacing w:line="480" w:lineRule="auto"/>
        <w:ind w:firstLine="720"/>
        <w:rPr>
          <w:rFonts w:cs="Times New Roman"/>
        </w:rPr>
      </w:pPr>
      <w:r w:rsidRPr="00361437">
        <w:rPr>
          <w:rFonts w:cs="Times New Roman"/>
        </w:rPr>
        <w:t xml:space="preserve">Table 2 Panel A presents statistics on the set of proposals that we analyze grouped into the five categories discussed above. Our conflict proposal sample consists of 2,081 proposals. The average number of families voting within each of these categories of proposals is between 15 and 35 families. Table 2 Panel B presents the statistics on our voting sample. </w:t>
      </w:r>
      <w:bookmarkStart w:id="5" w:name="_Hlk28868604"/>
      <w:r w:rsidRPr="00361437">
        <w:rPr>
          <w:rFonts w:cs="Times New Roman"/>
        </w:rPr>
        <w:t xml:space="preserve">Our voting sample consists of 52,745 for or against decisions by fund families on 2,081 conflict proposals, and as a result is at the fund family-proposal level. For each of the proposals subject to a vote, we calculate </w:t>
      </w:r>
      <w:r w:rsidR="006F2556" w:rsidRPr="00361437">
        <w:rPr>
          <w:rFonts w:cs="Times New Roman"/>
        </w:rPr>
        <w:t>VOTE_WITH_CREDITORS_(0,1)</w:t>
      </w:r>
      <w:r w:rsidRPr="00361437">
        <w:rPr>
          <w:rFonts w:cs="Times New Roman"/>
        </w:rPr>
        <w:t xml:space="preserve"> which is set equal to one if a given fund family casts more than 50% of the votes of its funds in favor of creditors for the given proposal and zero otherwise. </w:t>
      </w:r>
      <w:bookmarkEnd w:id="5"/>
      <w:r w:rsidRPr="00361437">
        <w:rPr>
          <w:rFonts w:cs="Times New Roman"/>
        </w:rPr>
        <w:t xml:space="preserve">In our voting sample, fund families vote with creditors about 30% of the time. If we average fraction of votes cast in the interests of creditors across all fund families this is 25%. </w:t>
      </w:r>
      <w:r w:rsidR="00F767C8" w:rsidRPr="00361437">
        <w:rPr>
          <w:rFonts w:cs="Times New Roman"/>
        </w:rPr>
        <w:t xml:space="preserve">ISS support for creditors may affect how fund families vote on a given policy and the proportion of proposals for which ISS supports creditors is on average 30.1%. </w:t>
      </w:r>
      <w:r w:rsidRPr="00361437">
        <w:rPr>
          <w:rFonts w:cs="Times New Roman"/>
        </w:rPr>
        <w:t xml:space="preserve">Panel B also presents the firm characteristics that serve as control variables when we analyze the relation between a fund family’s debt fraction and its voting policy. </w:t>
      </w:r>
    </w:p>
    <w:p w14:paraId="09834073" w14:textId="7718FB1B" w:rsidR="00DE4E35" w:rsidRPr="00361437" w:rsidRDefault="00763DF6" w:rsidP="006F2556">
      <w:pPr>
        <w:pStyle w:val="Heading1"/>
        <w:spacing w:line="480" w:lineRule="auto"/>
        <w:jc w:val="left"/>
      </w:pPr>
      <w:r w:rsidRPr="00361437">
        <w:t>IV</w:t>
      </w:r>
      <w:r w:rsidR="00DE4E35" w:rsidRPr="00361437">
        <w:t xml:space="preserve">. Empirical </w:t>
      </w:r>
      <w:r w:rsidR="0083222B" w:rsidRPr="00361437">
        <w:t>R</w:t>
      </w:r>
      <w:r w:rsidR="00DE4E35" w:rsidRPr="00361437">
        <w:t>esults</w:t>
      </w:r>
    </w:p>
    <w:p w14:paraId="2A61D69D" w14:textId="680A3657" w:rsidR="001046BF" w:rsidRPr="00361437" w:rsidRDefault="001046BF" w:rsidP="006F2556">
      <w:pPr>
        <w:spacing w:line="480" w:lineRule="auto"/>
        <w:ind w:firstLine="720"/>
      </w:pPr>
      <w:r w:rsidRPr="00361437">
        <w:t>In this section, we present our main findings on the governance role of debt holdings by institutional investors. First,</w:t>
      </w:r>
      <w:r w:rsidR="00056026" w:rsidRPr="00361437">
        <w:t xml:space="preserve"> we examine whether the family debt fraction held by a given fund management compa</w:t>
      </w:r>
      <w:r w:rsidR="006551AA" w:rsidRPr="00361437">
        <w:t>ny in a given firm is</w:t>
      </w:r>
      <w:r w:rsidR="00056026" w:rsidRPr="00361437">
        <w:t xml:space="preserve"> correlated with the tendency of that fund management company to vote according to the interests of debt holders. </w:t>
      </w:r>
      <w:r w:rsidRPr="00361437">
        <w:t xml:space="preserve">Second, we consider how </w:t>
      </w:r>
      <w:r w:rsidR="00056026" w:rsidRPr="00361437">
        <w:t xml:space="preserve">active and passive investors differ and </w:t>
      </w:r>
      <w:r w:rsidRPr="00361437">
        <w:t xml:space="preserve">whether the maturity of the debt holdings matters. </w:t>
      </w:r>
      <w:r w:rsidR="00056026" w:rsidRPr="00361437">
        <w:t xml:space="preserve">Third, </w:t>
      </w:r>
      <w:r w:rsidRPr="00361437">
        <w:rPr>
          <w:rFonts w:cs="Times New Roman"/>
        </w:rPr>
        <w:t xml:space="preserve">we adopt both instrumental variable and difference in differences tests </w:t>
      </w:r>
      <w:r w:rsidR="00056026" w:rsidRPr="00361437">
        <w:rPr>
          <w:rFonts w:cs="Times New Roman"/>
        </w:rPr>
        <w:t>as part of an identification strategy to proceed beyond simple correlations</w:t>
      </w:r>
      <w:r w:rsidRPr="00361437">
        <w:rPr>
          <w:rFonts w:cs="Times New Roman"/>
        </w:rPr>
        <w:t>.</w:t>
      </w:r>
    </w:p>
    <w:p w14:paraId="0B4C4297" w14:textId="300F9DFB" w:rsidR="00DE4E35" w:rsidRPr="00361437" w:rsidRDefault="00763DF6" w:rsidP="006F2556">
      <w:pPr>
        <w:pStyle w:val="Heading2"/>
        <w:jc w:val="left"/>
      </w:pPr>
      <w:r w:rsidRPr="00361437">
        <w:lastRenderedPageBreak/>
        <w:t>A</w:t>
      </w:r>
      <w:r w:rsidR="00DE4E35" w:rsidRPr="00361437">
        <w:t xml:space="preserve">. Main </w:t>
      </w:r>
      <w:r w:rsidR="0083222B" w:rsidRPr="00361437">
        <w:t>F</w:t>
      </w:r>
      <w:r w:rsidR="00DE4E35" w:rsidRPr="00361437">
        <w:t>indings</w:t>
      </w:r>
    </w:p>
    <w:p w14:paraId="07A340EC" w14:textId="0A5261F0" w:rsidR="00DE4E35" w:rsidRPr="00361437" w:rsidRDefault="00DE4E35" w:rsidP="006F2556">
      <w:pPr>
        <w:spacing w:line="480" w:lineRule="auto"/>
        <w:ind w:firstLine="720"/>
        <w:rPr>
          <w:rFonts w:cs="Times New Roman"/>
        </w:rPr>
      </w:pPr>
      <w:r w:rsidRPr="00361437">
        <w:rPr>
          <w:rFonts w:cs="Times New Roman"/>
        </w:rPr>
        <w:t>We use the sample of 52,745 votes by fund families in support or against creditors’ interests on 2,081 conflict proposals described above to analyze whether the fraction of debt held by fund families affects their propensity to vote with creditors. We regress our vote with creditors dummy on the fraction of debt held by fund families. In our regressions we include a number of control variables. First, we include a dummy variable that is set to one if ISS supports creditors for the proposal concerned. Second, we control for the characteristics of the firm being voted on. In particular, we control for the logarithm of its total assets, its leverage ratio, its market-to-book ratio, and its return on assets.</w:t>
      </w:r>
      <w:r w:rsidRPr="00361437">
        <w:rPr>
          <w:rStyle w:val="FootnoteReference"/>
        </w:rPr>
        <w:footnoteReference w:id="4"/>
      </w:r>
      <w:r w:rsidRPr="00361437">
        <w:rPr>
          <w:rFonts w:cs="Times New Roman"/>
        </w:rPr>
        <w:t xml:space="preserve"> Third, motivated by Fich, Harford, and Tran (2015), we control for whether the fund family has a large stake in the company concerned. We would expect that if the fund family has a trivial stake in the firm concerned it might not be worthwhile for the fund family to think much on the direction it wishes to vote; whereas, if its stake is large, it might be more compelled to reflect further on these issues. We therefore include a dummy variable, which we label </w:t>
      </w:r>
      <w:r w:rsidR="006F2556" w:rsidRPr="00361437">
        <w:rPr>
          <w:rFonts w:cs="Times New Roman"/>
        </w:rPr>
        <w:t>BIG_HOLDING_(0,1)</w:t>
      </w:r>
      <w:r w:rsidRPr="00361437">
        <w:rPr>
          <w:rFonts w:cs="Times New Roman"/>
          <w:i/>
        </w:rPr>
        <w:t xml:space="preserve"> </w:t>
      </w:r>
      <w:r w:rsidRPr="00361437">
        <w:rPr>
          <w:rFonts w:cs="Times New Roman"/>
        </w:rPr>
        <w:t>that is one if the investment of the fund family in the firm concerned is above the size of its 75th percentile investment in the year concerned and zero otherwise. Fourth, we also include the log of the number of funds in the fund family as a control, as the size of the fund family may have a bearing on the propensity to vote with creditors.</w:t>
      </w:r>
    </w:p>
    <w:p w14:paraId="773A0636" w14:textId="318CDC2E" w:rsidR="0095594C" w:rsidRPr="00361437" w:rsidRDefault="0095594C" w:rsidP="00541BF8">
      <w:pPr>
        <w:spacing w:line="480" w:lineRule="auto"/>
        <w:ind w:firstLine="720"/>
        <w:jc w:val="center"/>
        <w:rPr>
          <w:rFonts w:cs="Times New Roman"/>
        </w:rPr>
      </w:pPr>
      <w:r w:rsidRPr="00361437">
        <w:rPr>
          <w:rFonts w:ascii="TimesNewRomanPSMT" w:hAnsi="TimesNewRomanPSMT" w:cs="TimesNewRomanPSMT"/>
          <w:lang w:val="en-GB"/>
        </w:rPr>
        <w:t>[Insert Table 3 about here]</w:t>
      </w:r>
    </w:p>
    <w:p w14:paraId="1CFE5BB4" w14:textId="28E4C28B" w:rsidR="00DE4E35" w:rsidRPr="00361437" w:rsidRDefault="00DE4E35" w:rsidP="006F2556">
      <w:pPr>
        <w:spacing w:line="480" w:lineRule="auto"/>
        <w:ind w:firstLine="720"/>
        <w:rPr>
          <w:rFonts w:cs="Times New Roman"/>
        </w:rPr>
      </w:pPr>
      <w:r w:rsidRPr="00361437">
        <w:rPr>
          <w:rFonts w:cs="Times New Roman"/>
        </w:rPr>
        <w:t xml:space="preserve">Table 3 Panel A models 1 and 2 show the results of regressing </w:t>
      </w:r>
      <w:r w:rsidR="006F2556" w:rsidRPr="00361437">
        <w:rPr>
          <w:rFonts w:cs="Times New Roman"/>
        </w:rPr>
        <w:t>VOTE_WITH_CREDITORS_(0,1)</w:t>
      </w:r>
      <w:r w:rsidRPr="00361437">
        <w:rPr>
          <w:rFonts w:cs="Times New Roman"/>
          <w:b/>
        </w:rPr>
        <w:t xml:space="preserve"> </w:t>
      </w:r>
      <w:r w:rsidRPr="00361437">
        <w:rPr>
          <w:rFonts w:cs="Times New Roman"/>
        </w:rPr>
        <w:t xml:space="preserve">on </w:t>
      </w:r>
      <w:r w:rsidR="006F2556" w:rsidRPr="00361437">
        <w:rPr>
          <w:rFonts w:cs="Times New Roman"/>
        </w:rPr>
        <w:t>FAMILY_DEBT_FRACTION</w:t>
      </w:r>
      <w:r w:rsidRPr="00361437">
        <w:rPr>
          <w:rFonts w:cs="Times New Roman"/>
          <w:i/>
        </w:rPr>
        <w:t xml:space="preserve"> </w:t>
      </w:r>
      <w:r w:rsidRPr="00361437">
        <w:rPr>
          <w:rFonts w:cs="Times New Roman"/>
        </w:rPr>
        <w:t xml:space="preserve">plus the controls defined above. Due to a large number of fixed effects, we use </w:t>
      </w:r>
      <w:r w:rsidR="00A2510A" w:rsidRPr="00361437">
        <w:rPr>
          <w:rFonts w:cs="Times New Roman"/>
        </w:rPr>
        <w:t>Ordinary Least Squares (</w:t>
      </w:r>
      <w:r w:rsidRPr="00361437">
        <w:rPr>
          <w:rFonts w:cs="Times New Roman"/>
        </w:rPr>
        <w:t>OLS</w:t>
      </w:r>
      <w:r w:rsidR="00A2510A" w:rsidRPr="00361437">
        <w:rPr>
          <w:rFonts w:cs="Times New Roman"/>
        </w:rPr>
        <w:t>)</w:t>
      </w:r>
      <w:r w:rsidRPr="00361437">
        <w:rPr>
          <w:rFonts w:cs="Times New Roman"/>
        </w:rPr>
        <w:t xml:space="preserve"> regressions. We include fund family </w:t>
      </w:r>
      <w:r w:rsidR="00A2510A" w:rsidRPr="00361437">
        <w:rPr>
          <w:rFonts w:cs="Times New Roman"/>
        </w:rPr>
        <w:t>and</w:t>
      </w:r>
      <w:r w:rsidRPr="00361437">
        <w:rPr>
          <w:rFonts w:cs="Times New Roman"/>
        </w:rPr>
        <w:t xml:space="preserve"> proposal type x year fixed effects and our standard errors are clustered at the family level. Consistent with our expectations, Model 1 shows that as the family debt fraction goes up the propensity to vote with creditors goes up as well. A one standard deviation increase (0.15) in </w:t>
      </w:r>
      <w:r w:rsidR="00FC27E0" w:rsidRPr="00361437">
        <w:rPr>
          <w:rFonts w:cs="Times New Roman"/>
        </w:rPr>
        <w:t>FAMILY_DEBT_FRACTION</w:t>
      </w:r>
      <w:r w:rsidRPr="00361437">
        <w:rPr>
          <w:rFonts w:cs="Times New Roman"/>
        </w:rPr>
        <w:t xml:space="preserve"> is associated with an increase of 0.3% in the probability of voting in </w:t>
      </w:r>
      <w:r w:rsidRPr="00361437">
        <w:rPr>
          <w:rFonts w:cs="Times New Roman"/>
        </w:rPr>
        <w:lastRenderedPageBreak/>
        <w:t>the interests of creditors. This economic effect is small given that the unconditional probability of voting with creditors is 30%.</w:t>
      </w:r>
    </w:p>
    <w:p w14:paraId="6510C42E" w14:textId="77777777" w:rsidR="00DE4E35" w:rsidRPr="00361437" w:rsidRDefault="00DE4E35" w:rsidP="006F2556">
      <w:pPr>
        <w:spacing w:line="480" w:lineRule="auto"/>
        <w:ind w:firstLine="720"/>
        <w:rPr>
          <w:rFonts w:cs="Times New Roman"/>
        </w:rPr>
      </w:pPr>
      <w:r w:rsidRPr="00361437">
        <w:rPr>
          <w:rFonts w:cs="Times New Roman"/>
        </w:rPr>
        <w:t xml:space="preserve">If firms are in financial distress then small changes in firm policy may have serious consequences for the value of debt holders’ stakes in the firm. However, if firms are away from the bankruptcy threshold, changes in firm policy should have a much more muted effect on the value of debt holders’ stakes. As a result if fund families are voting on a firm in which they hold both debt and equity we would expect that the closer the firm is to financial distress the more the fund family would care about the value of their debt holdings in that firm. This discussion suggests that whether or not the firm being voted on is in financial distress may be material in determining the extent to which fund families vote with the interests of debt holders. We therefore augment the analysis of model 1 by including the influence of financial distress. </w:t>
      </w:r>
    </w:p>
    <w:p w14:paraId="4F4316F7" w14:textId="44D50906" w:rsidR="00DE4E35" w:rsidRPr="00361437" w:rsidRDefault="00DE4E35" w:rsidP="006F2556">
      <w:pPr>
        <w:spacing w:line="480" w:lineRule="auto"/>
        <w:ind w:firstLine="720"/>
        <w:rPr>
          <w:rFonts w:cs="Times New Roman"/>
        </w:rPr>
      </w:pPr>
      <w:r w:rsidRPr="00361437">
        <w:rPr>
          <w:rFonts w:cs="Times New Roman"/>
        </w:rPr>
        <w:t xml:space="preserve">To see whether financial distress affects the impact of debt fraction on voting, we interact </w:t>
      </w:r>
      <w:r w:rsidR="00B002D2" w:rsidRPr="00361437">
        <w:rPr>
          <w:rFonts w:cs="Times New Roman"/>
        </w:rPr>
        <w:t>FAMILY_DEBT_FRACTION</w:t>
      </w:r>
      <w:r w:rsidRPr="00361437">
        <w:rPr>
          <w:rFonts w:cs="Times New Roman"/>
        </w:rPr>
        <w:t xml:space="preserve"> with a dummy variable that equals one if the target firm is in financial distress in that year and zero otherwise. Our definition of distress is based on the Bharath and Shumway (2008) distance to default measure and we define a firm to be in distress if its default probability is at least 75% in the year concerned. The results of our analysis are presented in Model 2. The interaction between </w:t>
      </w:r>
      <w:r w:rsidR="00FC27E0" w:rsidRPr="00361437">
        <w:rPr>
          <w:rFonts w:cs="Times New Roman"/>
        </w:rPr>
        <w:t>DISTRESS_(0,1)</w:t>
      </w:r>
      <w:r w:rsidRPr="00361437">
        <w:rPr>
          <w:rFonts w:cs="Times New Roman"/>
        </w:rPr>
        <w:t xml:space="preserve"> and </w:t>
      </w:r>
      <w:r w:rsidR="00B002D2" w:rsidRPr="00361437">
        <w:rPr>
          <w:rFonts w:cs="Times New Roman"/>
        </w:rPr>
        <w:t>FAMILY_DEBT_FRACTION</w:t>
      </w:r>
      <w:r w:rsidRPr="00361437">
        <w:rPr>
          <w:rFonts w:cs="Times New Roman"/>
        </w:rPr>
        <w:t xml:space="preserve"> has a statistically significant and positive effect on the propensity to vote with creditors. A one standard deviation increase in </w:t>
      </w:r>
      <w:r w:rsidR="00B002D2" w:rsidRPr="00361437">
        <w:rPr>
          <w:rFonts w:cs="Times New Roman"/>
        </w:rPr>
        <w:t>FAMILY_DEBT_FRACTION</w:t>
      </w:r>
      <w:r w:rsidRPr="00361437">
        <w:rPr>
          <w:rFonts w:cs="Times New Roman"/>
        </w:rPr>
        <w:t xml:space="preserve"> is associated with an increase of 2.5% in the probability of voting in the interests of creditors when the firm is in financial distress (which represents an increase of 8.3 percentage points from the unconditional probability of voting with creditors). If we compare Model 2 with Model 1, it is clear that the impact of </w:t>
      </w:r>
      <w:r w:rsidR="00B002D2" w:rsidRPr="00361437">
        <w:rPr>
          <w:rFonts w:cs="Times New Roman"/>
        </w:rPr>
        <w:t>FAMILY_DEBT_FRACTION</w:t>
      </w:r>
      <w:r w:rsidRPr="00361437">
        <w:rPr>
          <w:rFonts w:cs="Times New Roman"/>
        </w:rPr>
        <w:t xml:space="preserve"> is greater when a given firm is in financial distress. This is consistent with the idea that, the closer fund families are to financial distress, the more they care about the interests of their debt holdings in firms. </w:t>
      </w:r>
    </w:p>
    <w:p w14:paraId="346109E3" w14:textId="5BC6F72B" w:rsidR="00476AE6" w:rsidRPr="00361437" w:rsidRDefault="00DE4E35" w:rsidP="006F2556">
      <w:pPr>
        <w:spacing w:line="480" w:lineRule="auto"/>
        <w:ind w:firstLine="720"/>
        <w:rPr>
          <w:rFonts w:cs="Times New Roman"/>
        </w:rPr>
      </w:pPr>
      <w:r w:rsidRPr="00361437">
        <w:rPr>
          <w:rFonts w:cs="Times New Roman"/>
        </w:rPr>
        <w:t xml:space="preserve">In Table 3 Panel A models 3 and 4, we replace </w:t>
      </w:r>
      <w:r w:rsidR="00B002D2" w:rsidRPr="00361437">
        <w:rPr>
          <w:rFonts w:cs="Times New Roman"/>
        </w:rPr>
        <w:t>VOTE_WITH_CREDITORS_(0,1)</w:t>
      </w:r>
      <w:r w:rsidRPr="00361437">
        <w:rPr>
          <w:rFonts w:cs="Times New Roman"/>
        </w:rPr>
        <w:t xml:space="preserve"> with a continuous measure of the fraction of votes cast by funds within the family in support of creditors. </w:t>
      </w:r>
      <w:r w:rsidR="003B50BE" w:rsidRPr="00361437">
        <w:rPr>
          <w:rFonts w:cs="Times New Roman"/>
        </w:rPr>
        <w:t xml:space="preserve">The results are consistent with those in models 1 and 2. </w:t>
      </w:r>
      <w:r w:rsidR="003B50BE" w:rsidRPr="00361437">
        <w:t>In model 4, t</w:t>
      </w:r>
      <w:r w:rsidR="003B50BE" w:rsidRPr="00361437">
        <w:rPr>
          <w:lang w:val="en-GB"/>
        </w:rPr>
        <w:t xml:space="preserve">he total value of </w:t>
      </w:r>
      <w:r w:rsidR="00B002D2" w:rsidRPr="00361437">
        <w:rPr>
          <w:rFonts w:cs="Times New Roman"/>
        </w:rPr>
        <w:t>FAMILY_DEBT_FRACTION</w:t>
      </w:r>
      <w:r w:rsidR="00476AE6" w:rsidRPr="00361437">
        <w:rPr>
          <w:lang w:val="en-GB"/>
        </w:rPr>
        <w:t xml:space="preserve"> (</w:t>
      </w:r>
      <w:r w:rsidR="00BE7A79" w:rsidRPr="00361437">
        <w:rPr>
          <w:lang w:val="en-GB"/>
        </w:rPr>
        <w:t>0.099)</w:t>
      </w:r>
      <w:r w:rsidR="003B50BE" w:rsidRPr="00361437">
        <w:rPr>
          <w:lang w:val="en-GB"/>
        </w:rPr>
        <w:t xml:space="preserve"> + </w:t>
      </w:r>
      <w:r w:rsidR="00B002D2" w:rsidRPr="00361437">
        <w:rPr>
          <w:rFonts w:cs="Times New Roman"/>
        </w:rPr>
        <w:t>FAMILY_DEBT_FRACTION</w:t>
      </w:r>
      <w:r w:rsidR="003B50BE" w:rsidRPr="00361437">
        <w:rPr>
          <w:lang w:val="en-GB"/>
        </w:rPr>
        <w:t xml:space="preserve"> × </w:t>
      </w:r>
      <w:r w:rsidR="00B002D2" w:rsidRPr="00361437">
        <w:rPr>
          <w:lang w:val="en-GB"/>
        </w:rPr>
        <w:t>DISTRESS_(0,1)</w:t>
      </w:r>
      <w:r w:rsidR="00476AE6" w:rsidRPr="00361437">
        <w:rPr>
          <w:lang w:val="en-GB"/>
        </w:rPr>
        <w:t xml:space="preserve"> (0.1898</w:t>
      </w:r>
      <w:r w:rsidR="003B50BE" w:rsidRPr="00361437">
        <w:rPr>
          <w:lang w:val="en-GB"/>
        </w:rPr>
        <w:t xml:space="preserve">) </w:t>
      </w:r>
      <w:r w:rsidR="003B50BE" w:rsidRPr="00361437">
        <w:rPr>
          <w:lang w:val="en-GB"/>
        </w:rPr>
        <w:lastRenderedPageBreak/>
        <w:t>is 0.1997, which is significant at the 1% level.</w:t>
      </w:r>
      <w:r w:rsidR="003B50BE" w:rsidRPr="00361437">
        <w:rPr>
          <w:rFonts w:cs="Times New Roman"/>
        </w:rPr>
        <w:t xml:space="preserve"> </w:t>
      </w:r>
      <w:r w:rsidR="0084022C" w:rsidRPr="00361437">
        <w:rPr>
          <w:lang w:val="en-GB"/>
        </w:rPr>
        <w:t xml:space="preserve">For distressed firms, we estimate that a one standard deviation increase in </w:t>
      </w:r>
      <w:r w:rsidR="0071346C" w:rsidRPr="00361437">
        <w:rPr>
          <w:rFonts w:cs="Times New Roman"/>
        </w:rPr>
        <w:t>FAMILY_DEBT_FRACTION</w:t>
      </w:r>
      <w:r w:rsidR="0084022C" w:rsidRPr="00361437">
        <w:rPr>
          <w:lang w:val="en-GB"/>
        </w:rPr>
        <w:t xml:space="preserve"> is associated with an increase of 3% in the fraction of votes in the interest of creditors. This effect represents an increase of 12 percentage point</w:t>
      </w:r>
      <w:r w:rsidR="008F53D4" w:rsidRPr="00361437">
        <w:rPr>
          <w:lang w:val="en-GB"/>
        </w:rPr>
        <w:t>s</w:t>
      </w:r>
      <w:r w:rsidR="0084022C" w:rsidRPr="00361437">
        <w:rPr>
          <w:lang w:val="en-GB"/>
        </w:rPr>
        <w:t xml:space="preserve"> in the fraction of votes in the interest of creditors for the average distressed firm in our sample. For non-distressed firms, a one standard deviation </w:t>
      </w:r>
      <w:r w:rsidR="0071346C" w:rsidRPr="00361437">
        <w:rPr>
          <w:lang w:val="en-GB"/>
        </w:rPr>
        <w:t xml:space="preserve">increase </w:t>
      </w:r>
      <w:r w:rsidR="0084022C" w:rsidRPr="00361437">
        <w:rPr>
          <w:lang w:val="en-GB"/>
        </w:rPr>
        <w:t xml:space="preserve">in </w:t>
      </w:r>
      <w:r w:rsidR="0071346C" w:rsidRPr="00361437">
        <w:rPr>
          <w:rFonts w:cs="Times New Roman"/>
        </w:rPr>
        <w:t>FAMILY_DEBT_FRACTION</w:t>
      </w:r>
      <w:r w:rsidR="0084022C" w:rsidRPr="00361437">
        <w:rPr>
          <w:lang w:val="en-GB"/>
        </w:rPr>
        <w:t xml:space="preserve"> is associated with an increase of 0.15% in the fraction of votes in the interests of creditors. This effect represents an increase of 1 percentage point in the fraction of votes in the interest of creditors for the average non-distressed firm in our sample.</w:t>
      </w:r>
      <w:r w:rsidR="008F53D4" w:rsidRPr="00361437">
        <w:rPr>
          <w:lang w:val="en-GB"/>
        </w:rPr>
        <w:t xml:space="preserve"> Therefore, </w:t>
      </w:r>
      <w:r w:rsidR="008F53D4" w:rsidRPr="00361437">
        <w:rPr>
          <w:rFonts w:cs="Times New Roman"/>
        </w:rPr>
        <w:t xml:space="preserve">a one standard deviation increase in </w:t>
      </w:r>
      <w:r w:rsidR="0071346C" w:rsidRPr="00361437">
        <w:rPr>
          <w:rFonts w:cs="Times New Roman"/>
        </w:rPr>
        <w:t>FAMILY_DEBT_FRACTION</w:t>
      </w:r>
      <w:r w:rsidR="008F53D4" w:rsidRPr="00361437">
        <w:rPr>
          <w:rFonts w:cs="Times New Roman"/>
        </w:rPr>
        <w:t xml:space="preserve"> is associated with an increase of </w:t>
      </w:r>
      <w:r w:rsidR="00476AE6" w:rsidRPr="00361437">
        <w:rPr>
          <w:rFonts w:cs="Times New Roman"/>
        </w:rPr>
        <w:t>3%</w:t>
      </w:r>
      <w:r w:rsidR="00E50F0C" w:rsidRPr="00361437">
        <w:rPr>
          <w:rFonts w:cs="Times New Roman"/>
        </w:rPr>
        <w:t xml:space="preserve"> – </w:t>
      </w:r>
      <w:r w:rsidR="00476AE6" w:rsidRPr="00361437">
        <w:rPr>
          <w:rFonts w:cs="Times New Roman"/>
        </w:rPr>
        <w:t>0.15%</w:t>
      </w:r>
      <w:r w:rsidR="00E50F0C" w:rsidRPr="00361437">
        <w:rPr>
          <w:rFonts w:cs="Times New Roman"/>
        </w:rPr>
        <w:t xml:space="preserve"> </w:t>
      </w:r>
      <w:r w:rsidR="00476AE6" w:rsidRPr="00361437">
        <w:rPr>
          <w:rFonts w:cs="Times New Roman"/>
        </w:rPr>
        <w:t>=</w:t>
      </w:r>
      <w:r w:rsidR="00E50F0C" w:rsidRPr="00361437">
        <w:rPr>
          <w:rFonts w:cs="Times New Roman"/>
        </w:rPr>
        <w:t xml:space="preserve"> </w:t>
      </w:r>
      <w:r w:rsidR="008F53D4" w:rsidRPr="00361437">
        <w:rPr>
          <w:rFonts w:cs="Times New Roman"/>
        </w:rPr>
        <w:t>2.85% in the fraction of votes in the interest of creditors when the firm is in financial distress compared to non-financial distress.</w:t>
      </w:r>
    </w:p>
    <w:p w14:paraId="10571D72" w14:textId="215E293F" w:rsidR="00DE4E35" w:rsidRPr="00361437" w:rsidRDefault="00DE4E35" w:rsidP="006F2556">
      <w:pPr>
        <w:spacing w:line="480" w:lineRule="auto"/>
        <w:ind w:firstLine="720"/>
        <w:rPr>
          <w:rFonts w:cs="Times New Roman"/>
        </w:rPr>
      </w:pPr>
      <w:r w:rsidRPr="00361437">
        <w:rPr>
          <w:rFonts w:cs="Times New Roman"/>
        </w:rPr>
        <w:t xml:space="preserve">It might be argued that fund families would find it easier to vote with creditors on proposals where creditor interests align with management interests or ISS interests but find it harder to vote with creditors on proposals where voting with creditors involves voting against management or ISS. To test this idea we separate out proposals where creditors interests are either (a) aligned with the management interests or (b) opposite to the interests of management. Panel B presents the analysis of Panel A Model 2 except that we now separately analyze in Panel B Model 1 only proposals where management interests are aligned with creditors interests and in Panel B Model 2 we separately analyze proposals where management interests are contrary to creditor interests. </w:t>
      </w:r>
    </w:p>
    <w:p w14:paraId="791162E5" w14:textId="1E90F020" w:rsidR="00DE4E35" w:rsidRPr="00361437" w:rsidRDefault="00DE4E35" w:rsidP="006F2556">
      <w:pPr>
        <w:spacing w:line="480" w:lineRule="auto"/>
        <w:ind w:firstLine="720"/>
        <w:rPr>
          <w:rFonts w:cs="Times New Roman"/>
        </w:rPr>
      </w:pPr>
      <w:r w:rsidRPr="00361437">
        <w:rPr>
          <w:rFonts w:cs="Times New Roman"/>
        </w:rPr>
        <w:t xml:space="preserve">In Panel B Model 1, a one standard deviation increase in </w:t>
      </w:r>
      <w:r w:rsidR="00520E55" w:rsidRPr="00361437">
        <w:rPr>
          <w:rFonts w:cs="Times New Roman"/>
        </w:rPr>
        <w:t>FAMILY_DEBT_FRACTION</w:t>
      </w:r>
      <w:r w:rsidRPr="00361437">
        <w:rPr>
          <w:rFonts w:cs="Times New Roman"/>
        </w:rPr>
        <w:t xml:space="preserve"> is associated with an increase of 6.9% in the probability of voting in the interests of creditors when the firm is in distress (which represents an increase of 9.8 percentage points from the unconditional probability of voting with creditors). In Panel B Model 2, the same increase is associated with an increase of 2.6% in the probability of voting in the interests of creditors when the firm is in distress (which represents an increase of 29.2 percentage points from the unconditional probability of voting with creditors).</w:t>
      </w:r>
    </w:p>
    <w:p w14:paraId="2B0BEC25" w14:textId="7E283B75" w:rsidR="00DE4E35" w:rsidRPr="00361437" w:rsidRDefault="00DE4E35" w:rsidP="006F2556">
      <w:pPr>
        <w:spacing w:line="480" w:lineRule="auto"/>
        <w:ind w:firstLine="720"/>
        <w:rPr>
          <w:rFonts w:cs="Times New Roman"/>
        </w:rPr>
      </w:pPr>
      <w:r w:rsidRPr="00361437">
        <w:rPr>
          <w:rFonts w:cs="Times New Roman"/>
        </w:rPr>
        <w:t xml:space="preserve">Likewise, we then separate out proposals depending on whether creditors interests line up with ISS or not and these are presented in Panel C. </w:t>
      </w:r>
      <w:r w:rsidR="004F17F6" w:rsidRPr="00361437">
        <w:rPr>
          <w:rFonts w:cs="Times New Roman"/>
        </w:rPr>
        <w:t xml:space="preserve">We do not include the dummy variable indicating </w:t>
      </w:r>
      <w:r w:rsidR="004F17F6" w:rsidRPr="00361437">
        <w:rPr>
          <w:rFonts w:cs="Times New Roman"/>
        </w:rPr>
        <w:lastRenderedPageBreak/>
        <w:t xml:space="preserve">whether ISS votes in support of creditors as one of our independent variables since that dummy variable is our sample separation criterion in this panel. </w:t>
      </w:r>
      <w:r w:rsidRPr="00361437">
        <w:rPr>
          <w:rFonts w:cs="Times New Roman"/>
        </w:rPr>
        <w:t xml:space="preserve">In Model 1, </w:t>
      </w:r>
      <w:r w:rsidR="00EE6B08" w:rsidRPr="00361437">
        <w:rPr>
          <w:rFonts w:cs="Times New Roman"/>
        </w:rPr>
        <w:t xml:space="preserve">when ISS’s interests align with those by creditors, </w:t>
      </w:r>
      <w:r w:rsidRPr="00361437">
        <w:rPr>
          <w:rFonts w:cs="Times New Roman"/>
        </w:rPr>
        <w:t xml:space="preserve">a one standard deviation increase in </w:t>
      </w:r>
      <w:r w:rsidR="00520E55" w:rsidRPr="00361437">
        <w:rPr>
          <w:rFonts w:cs="Times New Roman"/>
        </w:rPr>
        <w:t>FAMILY_DEBT_FRACTION</w:t>
      </w:r>
      <w:r w:rsidRPr="00361437">
        <w:rPr>
          <w:rFonts w:cs="Times New Roman"/>
        </w:rPr>
        <w:t xml:space="preserve"> is associated with an increase of 1.9% in the probability of voting in the interests of creditors when the firm is in financial distress (which represents an increase of 2.1 percentage points from the unconditional probability of voting with creditors/ISS). In Model 2,</w:t>
      </w:r>
      <w:r w:rsidR="00EE6B08" w:rsidRPr="00361437">
        <w:rPr>
          <w:rFonts w:cs="Times New Roman"/>
        </w:rPr>
        <w:t xml:space="preserve"> when ISS’s interests go against those by creditors,</w:t>
      </w:r>
      <w:r w:rsidRPr="00361437">
        <w:rPr>
          <w:rFonts w:cs="Times New Roman"/>
        </w:rPr>
        <w:t xml:space="preserve"> the same increase is associated with an increase of 0.8% in the probability of voting in the interests of creditors when the firm is in financial distress (which represents an increase of 26.5 percentage points from the unconditional probability of voting with creditors).</w:t>
      </w:r>
      <w:r w:rsidR="004F17F6" w:rsidRPr="00361437">
        <w:rPr>
          <w:rFonts w:cs="Times New Roman"/>
        </w:rPr>
        <w:t xml:space="preserve"> The specification used in Model 2 </w:t>
      </w:r>
      <w:r w:rsidR="00EE6B08" w:rsidRPr="00361437">
        <w:rPr>
          <w:rFonts w:cs="Times New Roman"/>
        </w:rPr>
        <w:t>alleviate</w:t>
      </w:r>
      <w:r w:rsidR="0083222B" w:rsidRPr="00361437">
        <w:rPr>
          <w:rFonts w:cs="Times New Roman"/>
        </w:rPr>
        <w:t>s</w:t>
      </w:r>
      <w:r w:rsidR="00EE6B08" w:rsidRPr="00361437">
        <w:rPr>
          <w:rFonts w:cs="Times New Roman"/>
        </w:rPr>
        <w:t xml:space="preserve"> the concern that </w:t>
      </w:r>
      <w:r w:rsidR="004F17F6" w:rsidRPr="00361437">
        <w:t>voting decisions</w:t>
      </w:r>
      <w:r w:rsidR="00EE6B08" w:rsidRPr="00361437">
        <w:t xml:space="preserve"> of ISS and fund companies are correlated</w:t>
      </w:r>
      <w:r w:rsidR="004F17F6" w:rsidRPr="00361437">
        <w:t>.</w:t>
      </w:r>
    </w:p>
    <w:p w14:paraId="036F1226" w14:textId="77777777" w:rsidR="00DE4E35" w:rsidRPr="00361437" w:rsidRDefault="00DE4E35" w:rsidP="006F2556">
      <w:pPr>
        <w:spacing w:line="480" w:lineRule="auto"/>
        <w:ind w:firstLine="720"/>
        <w:rPr>
          <w:rFonts w:cs="Times New Roman"/>
        </w:rPr>
      </w:pPr>
      <w:r w:rsidRPr="00361437">
        <w:rPr>
          <w:rFonts w:cs="Times New Roman"/>
        </w:rPr>
        <w:t>Overall, the results in Panels B and C show that fund families find it easier to vote with creditors on proposals where creditors interests align with management interests or ISS interests but find it harder to vote with creditors on proposals where voting with creditors involves voting against management or ISS in which the economic effects are much larger. What is noteworthy when we look at our results is that there is still a statistically significant effect of the interaction of debt fraction with financial distress on the propensity to vote with creditors – even if voting with creditors requires fund families to vote against management or ISS. Therefore, overall, when firms are in financial distress, family debt fraction affects how fund families vote on these firms.</w:t>
      </w:r>
    </w:p>
    <w:p w14:paraId="5717F2F3" w14:textId="02B1EB49" w:rsidR="00DE4E35" w:rsidRPr="00361437" w:rsidRDefault="00DE4E35" w:rsidP="006F2556">
      <w:pPr>
        <w:spacing w:line="480" w:lineRule="auto"/>
        <w:ind w:firstLine="720"/>
        <w:rPr>
          <w:rFonts w:cs="Times New Roman"/>
        </w:rPr>
      </w:pPr>
      <w:r w:rsidRPr="00361437">
        <w:rPr>
          <w:rFonts w:cs="Times New Roman"/>
        </w:rPr>
        <w:t xml:space="preserve">Table 3 Panel D performs a placebo test. If our intuition concerning the impact of </w:t>
      </w:r>
      <w:r w:rsidR="00520E55" w:rsidRPr="00361437">
        <w:rPr>
          <w:rFonts w:cs="Times New Roman"/>
        </w:rPr>
        <w:t>FAMILY_DEBT_FRACTION</w:t>
      </w:r>
      <w:r w:rsidRPr="00361437">
        <w:rPr>
          <w:rFonts w:cs="Times New Roman"/>
        </w:rPr>
        <w:t xml:space="preserve"> on voting policy is correct then we would expect that for proposals where debt and equity holders have no conflict that there will be no effect of </w:t>
      </w:r>
      <w:r w:rsidR="00520E55" w:rsidRPr="00361437">
        <w:rPr>
          <w:rFonts w:cs="Times New Roman"/>
        </w:rPr>
        <w:t>FAMILY_DEBT_FRACTION</w:t>
      </w:r>
      <w:r w:rsidRPr="00361437">
        <w:rPr>
          <w:rFonts w:cs="Times New Roman"/>
        </w:rPr>
        <w:t xml:space="preserve"> on voting policy. To test this we take all proposals and remove all “conflict” proposals that have been used to perform the tests in Table 3 Panels A, B, and C. Panel D shows that for all non-conflict proposals there is no link between voting propensities and </w:t>
      </w:r>
      <w:r w:rsidR="00FC27E0" w:rsidRPr="00361437">
        <w:rPr>
          <w:rFonts w:cs="Times New Roman"/>
        </w:rPr>
        <w:t>FAMILY_DEBT_FRACTION</w:t>
      </w:r>
      <w:r w:rsidRPr="00361437">
        <w:rPr>
          <w:rFonts w:cs="Times New Roman"/>
        </w:rPr>
        <w:t xml:space="preserve">, as one would expect. It might be argued that director elections are the non-conflict proposals where there is most clearly no conflict of interest between debt and equity holders. We therefore conduct further test using director election proposals alone (and for completeness we also run our analysis for the remaining non-conflict but non-director election </w:t>
      </w:r>
      <w:r w:rsidRPr="00361437">
        <w:rPr>
          <w:rFonts w:cs="Times New Roman"/>
        </w:rPr>
        <w:lastRenderedPageBreak/>
        <w:t xml:space="preserve">proposals). Our results confirm that however we split our sample of non-conflict proposals that </w:t>
      </w:r>
      <w:r w:rsidR="00520E55" w:rsidRPr="00361437">
        <w:rPr>
          <w:rFonts w:cs="Times New Roman"/>
        </w:rPr>
        <w:t>FAMILY_DEBT_FRACTION</w:t>
      </w:r>
      <w:r w:rsidRPr="00361437">
        <w:rPr>
          <w:rFonts w:cs="Times New Roman"/>
        </w:rPr>
        <w:t xml:space="preserve"> interacted with </w:t>
      </w:r>
      <w:r w:rsidR="00520E55" w:rsidRPr="00361437">
        <w:rPr>
          <w:rFonts w:cs="Times New Roman"/>
        </w:rPr>
        <w:t>DISTRESS_(0,1)</w:t>
      </w:r>
      <w:r w:rsidRPr="00361437">
        <w:rPr>
          <w:rFonts w:cs="Times New Roman"/>
        </w:rPr>
        <w:t xml:space="preserve"> remains insignificant.</w:t>
      </w:r>
    </w:p>
    <w:p w14:paraId="4CD0487E" w14:textId="78438286" w:rsidR="00DE4E35" w:rsidRPr="00361437" w:rsidRDefault="00DE4E35" w:rsidP="00F67067">
      <w:pPr>
        <w:spacing w:line="480" w:lineRule="auto"/>
        <w:ind w:firstLine="720"/>
        <w:rPr>
          <w:rFonts w:cs="Times New Roman"/>
        </w:rPr>
      </w:pPr>
      <w:r w:rsidRPr="00361437">
        <w:rPr>
          <w:rFonts w:cs="Times New Roman"/>
        </w:rPr>
        <w:t xml:space="preserve">Our tests in Table 3 assume that fund families make their voting decisions at the family level as most fund families have centralized governance offices that handle the voting and engagement functions for all of their funds. </w:t>
      </w:r>
      <w:bookmarkStart w:id="6" w:name="_Hlk46389398"/>
      <w:r w:rsidR="00F67067" w:rsidRPr="00361437">
        <w:rPr>
          <w:rFonts w:cs="Times New Roman"/>
        </w:rPr>
        <w:t>This is suggested by the Vanguard</w:t>
      </w:r>
      <w:r w:rsidR="00552B99" w:rsidRPr="00361437">
        <w:rPr>
          <w:rFonts w:cs="Times New Roman"/>
        </w:rPr>
        <w:t xml:space="preserve"> April 2017 Statement of Additional Informatio</w:t>
      </w:r>
      <w:r w:rsidR="00F67067" w:rsidRPr="00361437">
        <w:rPr>
          <w:rFonts w:cs="Times New Roman"/>
        </w:rPr>
        <w:t xml:space="preserve">n and by the </w:t>
      </w:r>
      <w:r w:rsidR="00F67067" w:rsidRPr="00361437">
        <w:t>July 2017 BlackRock Investment Stewardship report</w:t>
      </w:r>
      <w:r w:rsidR="00F67067" w:rsidRPr="00361437">
        <w:rPr>
          <w:rFonts w:cs="Times New Roman"/>
        </w:rPr>
        <w:t xml:space="preserve"> that both </w:t>
      </w:r>
      <w:r w:rsidR="00552B99" w:rsidRPr="00361437">
        <w:rPr>
          <w:rFonts w:cs="Times New Roman"/>
        </w:rPr>
        <w:t>describe the centralized nature of their proxy oversight committee</w:t>
      </w:r>
      <w:r w:rsidR="00F67067" w:rsidRPr="00361437">
        <w:rPr>
          <w:rFonts w:cs="Times New Roman"/>
        </w:rPr>
        <w:t>s</w:t>
      </w:r>
      <w:r w:rsidR="00552B99" w:rsidRPr="00361437">
        <w:rPr>
          <w:rFonts w:cs="Times New Roman"/>
        </w:rPr>
        <w:t>.</w:t>
      </w:r>
      <w:r w:rsidR="00F67067" w:rsidRPr="00361437">
        <w:rPr>
          <w:rFonts w:cs="Times New Roman"/>
        </w:rPr>
        <w:t xml:space="preserve"> </w:t>
      </w:r>
      <w:bookmarkEnd w:id="6"/>
      <w:r w:rsidRPr="00361437">
        <w:rPr>
          <w:rFonts w:cs="Times New Roman"/>
        </w:rPr>
        <w:t>To examine the validity of this assumption we examine the average fraction of votes within a fund family that are different for the same proposal. Panel E of the same table shows that the percentage of funds that vote differently within a given fund family across all proposals is on average very small and typically under 2% which justifies our assumption. This is consistent with Keswani, Stolin, and Tran (2017), who find that funds within a family vote in the same direction almost 99% of the time. The same panel also shows that when we focus on less clear-cut proposals where ISS recommends voting against management,</w:t>
      </w:r>
      <w:r w:rsidRPr="00361437">
        <w:rPr>
          <w:rFonts w:cs="Times New Roman"/>
          <w:color w:val="FF0000"/>
        </w:rPr>
        <w:t xml:space="preserve"> </w:t>
      </w:r>
      <w:r w:rsidRPr="00361437">
        <w:rPr>
          <w:rFonts w:cs="Times New Roman"/>
        </w:rPr>
        <w:t>we find that the level of disagreement within fund families increases. This evidence is consistent with Illiev and Lowry (2015) who find that disagreement within fund families goes up for more contentious proposals.</w:t>
      </w:r>
      <w:r w:rsidRPr="00361437">
        <w:rPr>
          <w:rFonts w:cs="Times New Roman"/>
          <w:color w:val="FF0000"/>
        </w:rPr>
        <w:t xml:space="preserve"> </w:t>
      </w:r>
      <w:r w:rsidRPr="00361437">
        <w:rPr>
          <w:rFonts w:cs="Times New Roman"/>
        </w:rPr>
        <w:t xml:space="preserve">Table 3 Panel E also breaks down the percentage of funds that vote differently within a family according to whether families hold only equity or both debt and equity. As fund families that hold both debt and equity are likely to have funds with a greater number of viewpoints, we might expect these fund families to vote more differently across their funds than pure equity fund families and it confirms that this is indeed the case. </w:t>
      </w:r>
    </w:p>
    <w:p w14:paraId="6D79D90C" w14:textId="07C63B00" w:rsidR="00DE4E35" w:rsidRPr="00361437" w:rsidRDefault="00EE6B08" w:rsidP="006F2556">
      <w:pPr>
        <w:pStyle w:val="Heading2"/>
        <w:jc w:val="left"/>
      </w:pPr>
      <w:r w:rsidRPr="00361437">
        <w:t>B</w:t>
      </w:r>
      <w:r w:rsidR="00DE4E35" w:rsidRPr="00361437">
        <w:t xml:space="preserve">. Additional </w:t>
      </w:r>
      <w:r w:rsidR="0083222B" w:rsidRPr="00361437">
        <w:t>A</w:t>
      </w:r>
      <w:r w:rsidR="00DE4E35" w:rsidRPr="00361437">
        <w:t>nalyses</w:t>
      </w:r>
    </w:p>
    <w:p w14:paraId="768881F0" w14:textId="7B187FE8" w:rsidR="00DE4E35" w:rsidRPr="00361437" w:rsidRDefault="00DE4E35" w:rsidP="006F2556">
      <w:pPr>
        <w:spacing w:line="480" w:lineRule="auto"/>
        <w:ind w:firstLine="720"/>
      </w:pPr>
      <w:r w:rsidRPr="00361437">
        <w:t>In this section, we present additional analyses to help understand the governance role of debt holdings by institutional investors. First</w:t>
      </w:r>
      <w:r w:rsidR="00E50F0C" w:rsidRPr="00361437">
        <w:t>,</w:t>
      </w:r>
      <w:r w:rsidRPr="00361437" w:rsidDel="00327FB4">
        <w:t xml:space="preserve"> </w:t>
      </w:r>
      <w:r w:rsidRPr="00361437">
        <w:t xml:space="preserve">we distinguish between active and passive investors to find out which type of investor is more </w:t>
      </w:r>
      <w:r w:rsidR="008E5266" w:rsidRPr="00361437">
        <w:t>engaged in debt</w:t>
      </w:r>
      <w:r w:rsidR="0083222B" w:rsidRPr="00361437">
        <w:t xml:space="preserve"> </w:t>
      </w:r>
      <w:r w:rsidR="008E5266" w:rsidRPr="00361437">
        <w:t xml:space="preserve">holder </w:t>
      </w:r>
      <w:r w:rsidRPr="00361437">
        <w:t xml:space="preserve">governance. Second, we consider whether the maturity of </w:t>
      </w:r>
      <w:r w:rsidR="008E5266" w:rsidRPr="00361437">
        <w:t xml:space="preserve">the </w:t>
      </w:r>
      <w:r w:rsidRPr="00361437">
        <w:t xml:space="preserve">debt holdings matters. </w:t>
      </w:r>
    </w:p>
    <w:p w14:paraId="6DEDD9A2" w14:textId="4AE8EF56" w:rsidR="00DE4E35" w:rsidRPr="00361437" w:rsidRDefault="00DE4E35" w:rsidP="006F2556">
      <w:pPr>
        <w:pStyle w:val="Heading2"/>
        <w:spacing w:line="240" w:lineRule="auto"/>
        <w:jc w:val="left"/>
      </w:pPr>
      <w:r w:rsidRPr="00361437">
        <w:lastRenderedPageBreak/>
        <w:t xml:space="preserve">1. Active vs. </w:t>
      </w:r>
      <w:r w:rsidR="0083222B" w:rsidRPr="00361437">
        <w:t>Passive F</w:t>
      </w:r>
      <w:r w:rsidRPr="00361437">
        <w:t>unds</w:t>
      </w:r>
    </w:p>
    <w:p w14:paraId="58C30905" w14:textId="03E7B0FF" w:rsidR="00DE4E35" w:rsidRPr="00361437" w:rsidRDefault="00DE4E35" w:rsidP="006F2556">
      <w:pPr>
        <w:spacing w:before="240" w:line="480" w:lineRule="auto"/>
        <w:ind w:firstLine="720"/>
        <w:rPr>
          <w:rFonts w:cs="Times New Roman"/>
        </w:rPr>
      </w:pPr>
      <w:r w:rsidRPr="00361437">
        <w:rPr>
          <w:rFonts w:cs="Times New Roman"/>
        </w:rPr>
        <w:t>It might be argued that the fraction of stock owned by passive rather than active funds may significantly affect the governance of the firms concerned. To test whether this is the case in our dataset, we first use the names of each of the 6,874 funds in our database to manually classify them into passive versus active funds.</w:t>
      </w:r>
      <w:r w:rsidRPr="00361437">
        <w:rPr>
          <w:rStyle w:val="FootnoteReference"/>
        </w:rPr>
        <w:footnoteReference w:id="5"/>
      </w:r>
      <w:r w:rsidRPr="00361437">
        <w:rPr>
          <w:rFonts w:cs="Times New Roman"/>
        </w:rPr>
        <w:t xml:space="preserve"> We find that in our sample 6,096 (88.68%) of the funds are active while 778 (11.32%) are passive. For each family we calculate the debt fraction separately for the active funds and for the passive funds alone. Table 4 Panel A shows that the mean fraction of debt held by active funds in fund families that hold any debt is 39% while the mean debt fraction of passive funds (for fund families that hold some debt) is 13%. Panel B shows that while the debt fraction held </w:t>
      </w:r>
      <w:r w:rsidR="008E5266" w:rsidRPr="00361437">
        <w:rPr>
          <w:rFonts w:cs="Times New Roman"/>
        </w:rPr>
        <w:t xml:space="preserve">by </w:t>
      </w:r>
      <w:r w:rsidRPr="00361437">
        <w:rPr>
          <w:rFonts w:cs="Times New Roman"/>
        </w:rPr>
        <w:t xml:space="preserve">active funds plays a significant role on voting policy, in contrast the debt fraction of passive funds plays no significant role at all. These results suggest that the channel through which the debt holdings of institutional investors affect voting </w:t>
      </w:r>
      <w:r w:rsidR="008E5266" w:rsidRPr="00361437">
        <w:rPr>
          <w:rFonts w:cs="Times New Roman"/>
        </w:rPr>
        <w:t xml:space="preserve">operates via </w:t>
      </w:r>
      <w:r w:rsidRPr="00361437">
        <w:rPr>
          <w:rFonts w:cs="Times New Roman"/>
        </w:rPr>
        <w:t>active rather than passive funds.</w:t>
      </w:r>
    </w:p>
    <w:p w14:paraId="6A7DE9C5" w14:textId="42EF65C4" w:rsidR="0095594C" w:rsidRPr="00361437" w:rsidRDefault="0095594C" w:rsidP="00541BF8">
      <w:pPr>
        <w:spacing w:before="240" w:line="480" w:lineRule="auto"/>
        <w:ind w:firstLine="720"/>
        <w:jc w:val="center"/>
        <w:rPr>
          <w:rFonts w:cs="Times New Roman"/>
        </w:rPr>
      </w:pPr>
      <w:r w:rsidRPr="00361437">
        <w:rPr>
          <w:rFonts w:ascii="TimesNewRomanPSMT" w:hAnsi="TimesNewRomanPSMT" w:cs="TimesNewRomanPSMT"/>
          <w:lang w:val="en-GB"/>
        </w:rPr>
        <w:t>[Insert Table 4 about here]</w:t>
      </w:r>
    </w:p>
    <w:p w14:paraId="4D3DF7AE" w14:textId="60807F48" w:rsidR="00DE4E35" w:rsidRPr="00361437" w:rsidRDefault="00DE4E35" w:rsidP="006F2556">
      <w:pPr>
        <w:pStyle w:val="Heading2"/>
        <w:jc w:val="left"/>
      </w:pPr>
      <w:r w:rsidRPr="00361437">
        <w:t xml:space="preserve">2. Debt </w:t>
      </w:r>
      <w:r w:rsidR="0083222B" w:rsidRPr="00361437">
        <w:t>M</w:t>
      </w:r>
      <w:r w:rsidRPr="00361437">
        <w:t>aturity</w:t>
      </w:r>
    </w:p>
    <w:p w14:paraId="5D53B982" w14:textId="751FE073" w:rsidR="00DE4E35" w:rsidRPr="00361437" w:rsidRDefault="00DE4E35" w:rsidP="006F2556">
      <w:pPr>
        <w:spacing w:line="480" w:lineRule="auto"/>
        <w:ind w:firstLine="720"/>
        <w:rPr>
          <w:rFonts w:cs="Times New Roman"/>
        </w:rPr>
      </w:pPr>
      <w:r w:rsidRPr="00361437">
        <w:rPr>
          <w:rFonts w:cs="Times New Roman"/>
        </w:rPr>
        <w:t>Funds may hold debt of a range of maturities. If funds hold more short-term debt in a given firm</w:t>
      </w:r>
      <w:r w:rsidR="008E5266" w:rsidRPr="00361437">
        <w:rPr>
          <w:rFonts w:cs="Times New Roman"/>
        </w:rPr>
        <w:t>,</w:t>
      </w:r>
      <w:r w:rsidRPr="00361437">
        <w:rPr>
          <w:rFonts w:cs="Times New Roman"/>
        </w:rPr>
        <w:t xml:space="preserve"> then they may feel less compelled to influence that firm’s policy </w:t>
      </w:r>
      <w:r w:rsidR="008E5266" w:rsidRPr="00361437">
        <w:rPr>
          <w:rFonts w:cs="Times New Roman"/>
        </w:rPr>
        <w:t>(</w:t>
      </w:r>
      <w:r w:rsidRPr="00361437">
        <w:rPr>
          <w:rFonts w:cs="Times New Roman"/>
        </w:rPr>
        <w:t>particularly if the effects of changes in firm policy are only likely to be manifest in the longer term</w:t>
      </w:r>
      <w:r w:rsidR="008E5266" w:rsidRPr="00361437">
        <w:rPr>
          <w:rFonts w:cs="Times New Roman"/>
        </w:rPr>
        <w:t>)</w:t>
      </w:r>
      <w:r w:rsidRPr="00361437">
        <w:rPr>
          <w:rFonts w:cs="Times New Roman"/>
        </w:rPr>
        <w:t xml:space="preserve">. We define bonds of less than five years to maturity as being short-term bonds and the remainder as medium and long-term debt. This allows us to calculate a family debt fraction using either just short-term debt or just the combined total of medium and long-term debt. Table 5 Panel A shows that fund families hold significantly more mid and long-term debt rather than short-term debt with the mid and long-term debt fraction among families being 29% while the short-term debt fraction is only 23%. In Panel B when we examine the effect of the short-term debt fraction on voting policy and we find that it is insignificant while the </w:t>
      </w:r>
      <w:r w:rsidRPr="00361437">
        <w:rPr>
          <w:rFonts w:cs="Times New Roman"/>
        </w:rPr>
        <w:lastRenderedPageBreak/>
        <w:t xml:space="preserve">effect of the fraction of mid and long-term debt does play a significant role. Therefore, our prior beliefs that </w:t>
      </w:r>
      <w:r w:rsidR="008E5266" w:rsidRPr="00361437">
        <w:rPr>
          <w:rFonts w:cs="Times New Roman"/>
        </w:rPr>
        <w:t xml:space="preserve">holdings of </w:t>
      </w:r>
      <w:r w:rsidRPr="00361437">
        <w:rPr>
          <w:rFonts w:cs="Times New Roman"/>
        </w:rPr>
        <w:t xml:space="preserve">short-term debt </w:t>
      </w:r>
      <w:r w:rsidR="008E5266" w:rsidRPr="00361437">
        <w:rPr>
          <w:rFonts w:cs="Times New Roman"/>
        </w:rPr>
        <w:t>are</w:t>
      </w:r>
      <w:r w:rsidRPr="00361437">
        <w:rPr>
          <w:rFonts w:cs="Times New Roman"/>
        </w:rPr>
        <w:t xml:space="preserve"> less likely to </w:t>
      </w:r>
      <w:r w:rsidR="008E5266" w:rsidRPr="00361437">
        <w:rPr>
          <w:rFonts w:cs="Times New Roman"/>
        </w:rPr>
        <w:t>be associated to debt</w:t>
      </w:r>
      <w:r w:rsidR="0083222B" w:rsidRPr="00361437">
        <w:rPr>
          <w:rFonts w:cs="Times New Roman"/>
        </w:rPr>
        <w:t xml:space="preserve"> </w:t>
      </w:r>
      <w:r w:rsidR="008E5266" w:rsidRPr="00361437">
        <w:rPr>
          <w:rFonts w:cs="Times New Roman"/>
        </w:rPr>
        <w:t>holder governance</w:t>
      </w:r>
      <w:r w:rsidRPr="00361437">
        <w:rPr>
          <w:rFonts w:cs="Times New Roman"/>
        </w:rPr>
        <w:t xml:space="preserve"> are confirmed in the data.</w:t>
      </w:r>
    </w:p>
    <w:p w14:paraId="62F28A38" w14:textId="53940B9A" w:rsidR="0095594C" w:rsidRPr="00361437" w:rsidRDefault="0095594C" w:rsidP="00541BF8">
      <w:pPr>
        <w:spacing w:line="480" w:lineRule="auto"/>
        <w:ind w:firstLine="720"/>
        <w:jc w:val="center"/>
        <w:rPr>
          <w:rFonts w:cs="Times New Roman"/>
        </w:rPr>
      </w:pPr>
      <w:r w:rsidRPr="00361437">
        <w:rPr>
          <w:rFonts w:ascii="TimesNewRomanPSMT" w:hAnsi="TimesNewRomanPSMT" w:cs="TimesNewRomanPSMT"/>
          <w:lang w:val="en-GB"/>
        </w:rPr>
        <w:t>[Insert Table 5 about here]</w:t>
      </w:r>
    </w:p>
    <w:p w14:paraId="70008E42" w14:textId="3D3C896A" w:rsidR="00DE4E35" w:rsidRPr="00361437" w:rsidRDefault="00EE6B08" w:rsidP="006F2556">
      <w:pPr>
        <w:pStyle w:val="Heading2"/>
        <w:jc w:val="left"/>
      </w:pPr>
      <w:r w:rsidRPr="00361437">
        <w:t>C</w:t>
      </w:r>
      <w:r w:rsidR="00DE4E35" w:rsidRPr="00361437">
        <w:t>. Identification</w:t>
      </w:r>
    </w:p>
    <w:p w14:paraId="605E789B" w14:textId="77777777" w:rsidR="00DE4E35" w:rsidRPr="00361437" w:rsidRDefault="00DE4E35" w:rsidP="006F2556">
      <w:pPr>
        <w:spacing w:line="480" w:lineRule="auto"/>
        <w:ind w:firstLine="720"/>
        <w:rPr>
          <w:rFonts w:cs="Times New Roman"/>
        </w:rPr>
      </w:pPr>
      <w:r w:rsidRPr="00361437">
        <w:rPr>
          <w:rFonts w:cs="Times New Roman"/>
        </w:rPr>
        <w:t xml:space="preserve">The results so far should be interpreted as simple correlations: mutual fund families with a long position in both corporate debt and equity tend to vote according to the interests of debt holders rather than shareholders. This correlation cannot be interpreted as causality because it could well be driven by omitted factors: for instance, higher degree of risk aversion by the fund management may lead to both joint investment in debt and equity, and a conservative choice of voting. In this section we adopt both instrumental variable and difference in differences tests to alleviate endogeneity problems. </w:t>
      </w:r>
    </w:p>
    <w:p w14:paraId="2345AB40" w14:textId="7B04F8A4" w:rsidR="00DE4E35" w:rsidRPr="00361437" w:rsidRDefault="00DE4E35" w:rsidP="006F2556">
      <w:pPr>
        <w:pStyle w:val="Heading2"/>
        <w:jc w:val="left"/>
      </w:pPr>
      <w:r w:rsidRPr="00361437">
        <w:t xml:space="preserve">1. Instrumental </w:t>
      </w:r>
      <w:r w:rsidR="0083222B" w:rsidRPr="00361437">
        <w:t>V</w:t>
      </w:r>
      <w:r w:rsidRPr="00361437">
        <w:t xml:space="preserve">ariable </w:t>
      </w:r>
      <w:r w:rsidR="0083222B" w:rsidRPr="00361437">
        <w:t>A</w:t>
      </w:r>
      <w:r w:rsidRPr="00361437">
        <w:t>nalysis</w:t>
      </w:r>
    </w:p>
    <w:p w14:paraId="42C78107" w14:textId="11D65921" w:rsidR="00DE4E35" w:rsidRPr="00361437" w:rsidRDefault="00DE4E35" w:rsidP="006F2556">
      <w:pPr>
        <w:spacing w:line="480" w:lineRule="auto"/>
        <w:ind w:firstLine="720"/>
        <w:rPr>
          <w:rFonts w:cs="Times New Roman"/>
        </w:rPr>
      </w:pPr>
      <w:r w:rsidRPr="00361437">
        <w:rPr>
          <w:rFonts w:cs="Times New Roman"/>
        </w:rPr>
        <w:t>To move closer to the identification of a causal link between institutional debt holdings and corporate governance, we adopt an instrumental variable approach. If a fund family decides to launch a new debt fund, this may affect the debt-to-equity fraction that this family holds in its portfolio firms.</w:t>
      </w:r>
      <w:r w:rsidRPr="00361437">
        <w:rPr>
          <w:rStyle w:val="FootnoteReference"/>
        </w:rPr>
        <w:footnoteReference w:id="6"/>
      </w:r>
      <w:r w:rsidRPr="00361437">
        <w:rPr>
          <w:rFonts w:cs="Times New Roman"/>
        </w:rPr>
        <w:t xml:space="preserve"> Opening a new debt fund is likely to be driven by the desire to satisfy market demand rather than because a fund family wants to hold more debt in a particular firm. Therefore, it might be argued that the opening of a debt fund is a valid instrument to estimate the effect of changes in the family debt fraction on voting. We check our database each year to see when a fund family creates a new debt fund under its management. We are able to find 197 incidents when this happens. We then create our instrument, </w:t>
      </w:r>
      <w:r w:rsidR="00520E55" w:rsidRPr="00361437">
        <w:rPr>
          <w:rFonts w:cs="Times New Roman"/>
        </w:rPr>
        <w:t>NEW_DEBT_FUND_(0,1)</w:t>
      </w:r>
      <w:r w:rsidRPr="00361437">
        <w:rPr>
          <w:rFonts w:cs="Times New Roman"/>
        </w:rPr>
        <w:t>, which equals one if a given fund family with an ownership stake in the firm opens a new debt fund in the year concerned for the family level test, and zero otherwise. We then use this instrument in our first stage models.</w:t>
      </w:r>
    </w:p>
    <w:p w14:paraId="7AADCE05" w14:textId="77777777" w:rsidR="00DE4E35" w:rsidRPr="00361437" w:rsidRDefault="00DE4E35" w:rsidP="006F2556">
      <w:pPr>
        <w:spacing w:line="480" w:lineRule="auto"/>
        <w:ind w:firstLine="720"/>
        <w:rPr>
          <w:rFonts w:cs="Times New Roman"/>
        </w:rPr>
      </w:pPr>
      <w:r w:rsidRPr="00361437">
        <w:rPr>
          <w:rFonts w:cs="Times New Roman"/>
        </w:rPr>
        <w:lastRenderedPageBreak/>
        <w:t>As a further cross check using these gathered incidents, we investigate whether fund families use these new fund openings to “actively” re-orientate their portfolios across securities. We find that this is not the case as on average 86% of the time investments that fund families make when they launch new funds in our sample are in the same firms in which they already own debt or equity securities, which suggests that the choice of the firms in which new funds invest is virtually “passive”.</w:t>
      </w:r>
    </w:p>
    <w:p w14:paraId="78C585E8" w14:textId="1B4898A3" w:rsidR="00DE4E35" w:rsidRPr="00361437" w:rsidRDefault="00DE4E35" w:rsidP="007A6590">
      <w:pPr>
        <w:spacing w:line="480" w:lineRule="auto"/>
        <w:ind w:firstLine="720"/>
        <w:rPr>
          <w:rFonts w:cs="Times New Roman"/>
        </w:rPr>
      </w:pPr>
      <w:r w:rsidRPr="00361437">
        <w:rPr>
          <w:rFonts w:cs="Times New Roman"/>
        </w:rPr>
        <w:t xml:space="preserve">To test whether the introduction of new debt funds significantly affects the family debt fraction, we regress </w:t>
      </w:r>
      <w:r w:rsidR="00520E55" w:rsidRPr="00361437">
        <w:rPr>
          <w:rFonts w:cs="Times New Roman"/>
        </w:rPr>
        <w:t>FAMILY_DEBT_FRACTION</w:t>
      </w:r>
      <w:r w:rsidRPr="00361437">
        <w:rPr>
          <w:rFonts w:cs="Times New Roman"/>
        </w:rPr>
        <w:t xml:space="preserve"> on a set of control variables and </w:t>
      </w:r>
      <w:r w:rsidR="00520E55" w:rsidRPr="00361437">
        <w:rPr>
          <w:rFonts w:cs="Times New Roman"/>
        </w:rPr>
        <w:t>NEW_DEBT_FUND_(0,1)</w:t>
      </w:r>
      <w:r w:rsidRPr="00361437">
        <w:rPr>
          <w:rFonts w:cs="Times New Roman"/>
        </w:rPr>
        <w:t xml:space="preserve"> and its interaction with </w:t>
      </w:r>
      <w:r w:rsidR="00520E55" w:rsidRPr="00361437">
        <w:rPr>
          <w:rFonts w:cs="Times New Roman"/>
        </w:rPr>
        <w:t>DISTRESS_(0,1)</w:t>
      </w:r>
      <w:r w:rsidRPr="00361437">
        <w:rPr>
          <w:rFonts w:cs="Times New Roman"/>
        </w:rPr>
        <w:t xml:space="preserve">. </w:t>
      </w:r>
      <w:bookmarkStart w:id="7" w:name="_Hlk46389717"/>
      <w:r w:rsidRPr="00361437">
        <w:rPr>
          <w:rFonts w:cs="Times New Roman"/>
        </w:rPr>
        <w:t>Wooldridge (</w:t>
      </w:r>
      <w:r w:rsidR="00541BF8" w:rsidRPr="00361437">
        <w:rPr>
          <w:rFonts w:cs="Times New Roman"/>
        </w:rPr>
        <w:t>(</w:t>
      </w:r>
      <w:r w:rsidRPr="00361437">
        <w:rPr>
          <w:rFonts w:cs="Times New Roman"/>
        </w:rPr>
        <w:t>2002</w:t>
      </w:r>
      <w:r w:rsidR="00541BF8" w:rsidRPr="00361437">
        <w:rPr>
          <w:rFonts w:cs="Times New Roman"/>
        </w:rPr>
        <w:t>)</w:t>
      </w:r>
      <w:r w:rsidRPr="00361437">
        <w:rPr>
          <w:rFonts w:cs="Times New Roman"/>
        </w:rPr>
        <w:t>, p.236)</w:t>
      </w:r>
      <w:r w:rsidR="007A6590" w:rsidRPr="00361437">
        <w:rPr>
          <w:rFonts w:cs="Times New Roman"/>
        </w:rPr>
        <w:t xml:space="preserve"> and </w:t>
      </w:r>
      <w:r w:rsidR="007A6590" w:rsidRPr="00361437">
        <w:rPr>
          <w:lang w:val="en-GB"/>
        </w:rPr>
        <w:t>Gopalan and Xie (2011)</w:t>
      </w:r>
      <w:r w:rsidR="007A6590" w:rsidRPr="00361437">
        <w:rPr>
          <w:rFonts w:cs="Times New Roman"/>
        </w:rPr>
        <w:t xml:space="preserve"> both suggest</w:t>
      </w:r>
      <w:r w:rsidRPr="00361437">
        <w:rPr>
          <w:rFonts w:cs="Times New Roman"/>
        </w:rPr>
        <w:t xml:space="preserve"> we instrument for both debt fraction and its interaction with </w:t>
      </w:r>
      <w:r w:rsidR="00520E55" w:rsidRPr="00361437">
        <w:rPr>
          <w:rFonts w:cs="Times New Roman"/>
        </w:rPr>
        <w:t>DISTRESS_(0,1)</w:t>
      </w:r>
      <w:r w:rsidRPr="00361437">
        <w:rPr>
          <w:rFonts w:cs="Times New Roman"/>
        </w:rPr>
        <w:t xml:space="preserve"> in two separate first stage models</w:t>
      </w:r>
      <w:r w:rsidR="00645091" w:rsidRPr="00361437">
        <w:rPr>
          <w:rFonts w:cs="Times New Roman"/>
        </w:rPr>
        <w:t xml:space="preserve"> and </w:t>
      </w:r>
      <w:r w:rsidR="00645091" w:rsidRPr="00361437">
        <w:rPr>
          <w:lang w:val="en-GB"/>
        </w:rPr>
        <w:t>use this approach to study conglomerates at times of industry distress.</w:t>
      </w:r>
      <w:bookmarkEnd w:id="7"/>
      <w:r w:rsidR="007A6590" w:rsidRPr="00361437">
        <w:rPr>
          <w:lang w:val="en-GB"/>
        </w:rPr>
        <w:t xml:space="preserve"> </w:t>
      </w:r>
      <w:r w:rsidRPr="00361437">
        <w:rPr>
          <w:rFonts w:cs="Times New Roman"/>
        </w:rPr>
        <w:t xml:space="preserve">The results of doing so are presented in Table 6 Models 1 and 2. Our first stage results show that </w:t>
      </w:r>
      <w:r w:rsidR="00520E55" w:rsidRPr="00361437">
        <w:rPr>
          <w:rFonts w:cs="Times New Roman"/>
        </w:rPr>
        <w:t>NEW_DEBT_FUND_(0,1)</w:t>
      </w:r>
      <w:r w:rsidRPr="00361437">
        <w:rPr>
          <w:rFonts w:cs="Times New Roman"/>
          <w:i/>
        </w:rPr>
        <w:t xml:space="preserve"> </w:t>
      </w:r>
      <w:r w:rsidRPr="00361437">
        <w:rPr>
          <w:rFonts w:cs="Times New Roman"/>
        </w:rPr>
        <w:t xml:space="preserve">interacted with </w:t>
      </w:r>
      <w:r w:rsidR="00520E55" w:rsidRPr="00361437">
        <w:rPr>
          <w:rFonts w:cs="Times New Roman"/>
        </w:rPr>
        <w:t>DISTRESS_(0,1)</w:t>
      </w:r>
      <w:r w:rsidRPr="00361437">
        <w:rPr>
          <w:rFonts w:cs="Times New Roman"/>
        </w:rPr>
        <w:t xml:space="preserve"> has a statistically significant positive effect on both the interaction of </w:t>
      </w:r>
      <w:r w:rsidR="00520E55" w:rsidRPr="00361437">
        <w:rPr>
          <w:rFonts w:cs="Times New Roman"/>
        </w:rPr>
        <w:t>FAMILY_DEBT_FRACTION</w:t>
      </w:r>
      <w:r w:rsidRPr="00361437">
        <w:rPr>
          <w:rFonts w:cs="Times New Roman"/>
        </w:rPr>
        <w:t xml:space="preserve"> with </w:t>
      </w:r>
      <w:r w:rsidR="00520E55" w:rsidRPr="00361437">
        <w:rPr>
          <w:rFonts w:cs="Times New Roman"/>
        </w:rPr>
        <w:t>DISTRESS_(0,1)</w:t>
      </w:r>
      <w:r w:rsidRPr="00361437">
        <w:rPr>
          <w:rFonts w:cs="Times New Roman"/>
        </w:rPr>
        <w:t>. To gauge the strength of our new debt fund instrument and its interaction with the distress variable, the Cragg-Donald statistics of the excluded instrument (against the null that the excluded instrument is irrelevant in the first-stage regression) are clearly above the critical value for the Stock-Yogo weak identification test. We employ the methods outlined by Stock and Watson (2010) to test the validity of our instrument and ensure that the relevance condition is satisfied.</w:t>
      </w:r>
    </w:p>
    <w:p w14:paraId="203DD50B" w14:textId="61E375F4" w:rsidR="0095594C" w:rsidRPr="00361437" w:rsidRDefault="0095594C" w:rsidP="00541BF8">
      <w:pPr>
        <w:spacing w:line="480" w:lineRule="auto"/>
        <w:ind w:firstLine="720"/>
        <w:jc w:val="center"/>
        <w:rPr>
          <w:rFonts w:cs="Times New Roman"/>
        </w:rPr>
      </w:pPr>
      <w:r w:rsidRPr="00361437">
        <w:rPr>
          <w:rFonts w:ascii="TimesNewRomanPSMT" w:hAnsi="TimesNewRomanPSMT" w:cs="TimesNewRomanPSMT"/>
          <w:lang w:val="en-GB"/>
        </w:rPr>
        <w:t>[Insert Table 6 about here]</w:t>
      </w:r>
    </w:p>
    <w:p w14:paraId="4CAF0B4B" w14:textId="186E2E23" w:rsidR="00DE4E35" w:rsidRPr="00361437" w:rsidRDefault="00DE4E35" w:rsidP="006F2556">
      <w:pPr>
        <w:spacing w:line="480" w:lineRule="auto"/>
        <w:ind w:firstLine="720"/>
        <w:rPr>
          <w:rFonts w:cs="Times New Roman"/>
        </w:rPr>
      </w:pPr>
      <w:r w:rsidRPr="00361437">
        <w:rPr>
          <w:rFonts w:cs="Times New Roman"/>
        </w:rPr>
        <w:t xml:space="preserve">We then use the family debt fraction and its interaction with distress instrumented as in models 1 and 2 to determine whether there is a significant effect of </w:t>
      </w:r>
      <w:r w:rsidR="00520E55" w:rsidRPr="00361437">
        <w:rPr>
          <w:rFonts w:cs="Times New Roman"/>
        </w:rPr>
        <w:t>FAMILY_DEBT_FRACTION</w:t>
      </w:r>
      <w:r w:rsidRPr="00361437">
        <w:rPr>
          <w:rFonts w:cs="Times New Roman"/>
        </w:rPr>
        <w:t xml:space="preserve"> on voting policy, especially when firms are in distress. Model 3 shows that </w:t>
      </w:r>
      <w:r w:rsidR="00520E55" w:rsidRPr="00361437">
        <w:rPr>
          <w:rFonts w:cs="Times New Roman"/>
        </w:rPr>
        <w:t>FAMILY_DEBT_FRACTION</w:t>
      </w:r>
      <w:r w:rsidRPr="00361437">
        <w:rPr>
          <w:rFonts w:cs="Times New Roman"/>
        </w:rPr>
        <w:t xml:space="preserve"> has a significant effect on the propensity to vote with creditors. </w:t>
      </w:r>
      <w:bookmarkStart w:id="8" w:name="_Hlk36627232"/>
      <w:r w:rsidRPr="00361437">
        <w:rPr>
          <w:rFonts w:cs="Times New Roman"/>
        </w:rPr>
        <w:t xml:space="preserve">A one standard deviation increase in the family debt fraction is associated with an increase of 3.1% in the probability of voting in the interests of creditors when the firm is in financial distress, </w:t>
      </w:r>
      <w:bookmarkStart w:id="9" w:name="_Hlk36627411"/>
      <w:r w:rsidRPr="00361437">
        <w:rPr>
          <w:rFonts w:cs="Times New Roman"/>
        </w:rPr>
        <w:t>which is similar in magnitude to that from the baseline model of 2.5% reported in Table 3 Panel A Model 2.</w:t>
      </w:r>
      <w:bookmarkEnd w:id="8"/>
      <w:bookmarkEnd w:id="9"/>
    </w:p>
    <w:p w14:paraId="72511961" w14:textId="485DEE6D" w:rsidR="00DE4E35" w:rsidRPr="00361437" w:rsidRDefault="00DE4E35" w:rsidP="006F2556">
      <w:pPr>
        <w:pStyle w:val="Heading2"/>
        <w:jc w:val="left"/>
      </w:pPr>
      <w:r w:rsidRPr="00361437">
        <w:lastRenderedPageBreak/>
        <w:t xml:space="preserve">2. Using </w:t>
      </w:r>
      <w:r w:rsidR="0083222B" w:rsidRPr="00361437">
        <w:t>Fund Family Mer</w:t>
      </w:r>
      <w:r w:rsidRPr="00361437">
        <w:t xml:space="preserve">gers as a </w:t>
      </w:r>
      <w:r w:rsidR="0083222B" w:rsidRPr="00361437">
        <w:t>Q</w:t>
      </w:r>
      <w:r w:rsidRPr="00361437">
        <w:t xml:space="preserve">uasi-natural </w:t>
      </w:r>
      <w:r w:rsidR="0083222B" w:rsidRPr="00361437">
        <w:t>E</w:t>
      </w:r>
      <w:r w:rsidRPr="00361437">
        <w:t>xperiment</w:t>
      </w:r>
    </w:p>
    <w:p w14:paraId="2C4795FA" w14:textId="4948E2E8" w:rsidR="00DE4E35" w:rsidRPr="00361437" w:rsidRDefault="00DE4E35" w:rsidP="006F2556">
      <w:pPr>
        <w:spacing w:line="480" w:lineRule="auto"/>
        <w:ind w:firstLine="720"/>
        <w:rPr>
          <w:rFonts w:cs="Times New Roman"/>
        </w:rPr>
      </w:pPr>
      <w:r w:rsidRPr="00361437">
        <w:rPr>
          <w:rFonts w:cs="Times New Roman"/>
        </w:rPr>
        <w:t xml:space="preserve">In this section we discuss a further identification test based on He and Huang (2017), which involves conducting a quasi-natural experiment using fund family mergers. As these mergers are unlikely to be motivated by fund family voting considerations or by the desire of a fund family to alter the debt fraction of a given firm, it might be argued that these mergers provide a quasi-exogenous change in the debt fraction of fund companies. We therefore conduct a difference-in-differences (DiD) regression analysis on how changes in debt fraction as a result of exogenous shocks from fund family mergers affect voting policies. </w:t>
      </w:r>
      <w:bookmarkStart w:id="10" w:name="_Hlk36626920"/>
      <w:r w:rsidRPr="00361437">
        <w:rPr>
          <w:rFonts w:eastAsia="Calibri" w:cs="Times New Roman"/>
        </w:rPr>
        <w:t>We identify fund family mergers completed during 2009-2012 from SDC’s M&amp;A database in which the merging parties own debt or equity stakes in our sample firms before the merger and can be matched to fund families in Morningstar. We are able to find four fund family mergers: Invesco acquiring Van Kampen in 2009</w:t>
      </w:r>
      <w:r w:rsidR="00942EA3" w:rsidRPr="00361437">
        <w:rPr>
          <w:rFonts w:eastAsia="Calibri" w:cs="Times New Roman"/>
        </w:rPr>
        <w:t xml:space="preserve"> (completed in 2010)</w:t>
      </w:r>
      <w:r w:rsidRPr="00361437">
        <w:rPr>
          <w:rFonts w:eastAsia="Calibri" w:cs="Times New Roman"/>
        </w:rPr>
        <w:t xml:space="preserve">, Affiliated Managers acquiring Highbury Financial in 2010, PNC Funds acquiring Allegiant in 2010, and Wells Fargo Funds acquiring Evergreen Funds in 2010. We keep only firms in which the merging parties own debt or equity stakes before the merger. </w:t>
      </w:r>
      <w:r w:rsidR="00894443" w:rsidRPr="00361437">
        <w:rPr>
          <w:rFonts w:eastAsia="Calibri" w:cs="Times New Roman"/>
        </w:rPr>
        <w:t>We also exclude firms in which fund families hold both deb</w:t>
      </w:r>
      <w:r w:rsidR="003E68B8" w:rsidRPr="00361437">
        <w:rPr>
          <w:rFonts w:eastAsia="Calibri" w:cs="Times New Roman"/>
        </w:rPr>
        <w:t xml:space="preserve">t and equity before the mergers, </w:t>
      </w:r>
      <w:r w:rsidR="00894443" w:rsidRPr="00361437">
        <w:rPr>
          <w:rFonts w:eastAsia="Calibri" w:cs="Times New Roman"/>
        </w:rPr>
        <w:t>which a</w:t>
      </w:r>
      <w:r w:rsidR="00FD4ADB" w:rsidRPr="00361437">
        <w:rPr>
          <w:rFonts w:eastAsia="Calibri" w:cs="Times New Roman"/>
        </w:rPr>
        <w:t>llows us to more clearly identify</w:t>
      </w:r>
      <w:r w:rsidR="00894443" w:rsidRPr="00361437">
        <w:rPr>
          <w:rFonts w:eastAsia="Calibri" w:cs="Times New Roman"/>
        </w:rPr>
        <w:t xml:space="preserve"> the debt equity position of the merged entity relative to the two initial firms resulting in a cleaner test.</w:t>
      </w:r>
      <w:r w:rsidRPr="00361437">
        <w:rPr>
          <w:rFonts w:eastAsia="Calibri" w:cs="Times New Roman"/>
        </w:rPr>
        <w:t xml:space="preserve"> To identify treated firms as a result of the merger, we require that (1) the acquirer holds only equity while the target holds only debt in the firm concerned in the year before merger completion or (2) the target holds only equity while the acquirer holds only debt in the firm concerned in the year before merger completion. </w:t>
      </w:r>
      <w:r w:rsidR="00F57C2F" w:rsidRPr="00361437">
        <w:rPr>
          <w:rFonts w:eastAsia="Calibri" w:cs="Times New Roman"/>
        </w:rPr>
        <w:t xml:space="preserve">We note that Chu (2018) excludes firms that are already treated by a merger between financial institutions but are later treated again by another merger between different financial institutions within three years. This does not apply in our sample because all of our mergers between fund families complete in 2010 and our debt and equity holdings are measured at the end of the calendar year. </w:t>
      </w:r>
      <w:r w:rsidRPr="00361437">
        <w:rPr>
          <w:rFonts w:eastAsia="Calibri" w:cs="Times New Roman"/>
        </w:rPr>
        <w:t xml:space="preserve">This procedure results in a sample of 27 treated firms involved in these four fund family mergers. Our voting sample has 19,173 observations meeting these criteria. We construct </w:t>
      </w:r>
      <w:r w:rsidR="00520E55" w:rsidRPr="00361437">
        <w:rPr>
          <w:rFonts w:eastAsia="Calibri" w:cs="Times New Roman"/>
        </w:rPr>
        <w:t>TREAT_(0,1)</w:t>
      </w:r>
      <w:r w:rsidRPr="00361437">
        <w:rPr>
          <w:rFonts w:eastAsia="Calibri" w:cs="Times New Roman"/>
        </w:rPr>
        <w:t xml:space="preserve"> to be one for voting observations involving the treated firms and </w:t>
      </w:r>
      <w:r w:rsidR="00520E55" w:rsidRPr="00361437">
        <w:rPr>
          <w:rFonts w:eastAsia="Calibri" w:cs="Times New Roman"/>
          <w:iCs/>
        </w:rPr>
        <w:t>POST_(0,1)</w:t>
      </w:r>
      <w:r w:rsidRPr="00361437">
        <w:rPr>
          <w:rFonts w:eastAsia="Calibri" w:cs="Times New Roman"/>
          <w:i/>
          <w:iCs/>
        </w:rPr>
        <w:t xml:space="preserve"> </w:t>
      </w:r>
      <w:r w:rsidRPr="00361437">
        <w:rPr>
          <w:rFonts w:eastAsia="Calibri" w:cs="Times New Roman"/>
        </w:rPr>
        <w:t xml:space="preserve">to be one if the firm-year of the </w:t>
      </w:r>
      <w:r w:rsidRPr="00361437">
        <w:rPr>
          <w:rFonts w:eastAsia="Calibri" w:cs="Times New Roman"/>
        </w:rPr>
        <w:lastRenderedPageBreak/>
        <w:t xml:space="preserve">observation is after the merger. All regressions control for fund family fixed effects and (proposal type × year) fixed effects. </w:t>
      </w:r>
      <w:r w:rsidR="00520E55" w:rsidRPr="00361437">
        <w:rPr>
          <w:rFonts w:eastAsia="Calibri" w:cs="Times New Roman"/>
          <w:iCs/>
        </w:rPr>
        <w:t>POST_(0,1)</w:t>
      </w:r>
      <w:r w:rsidRPr="00361437">
        <w:rPr>
          <w:rFonts w:eastAsia="Calibri" w:cs="Times New Roman"/>
        </w:rPr>
        <w:t xml:space="preserve"> is subsumed by the year fixed effects.</w:t>
      </w:r>
      <w:bookmarkEnd w:id="10"/>
      <w:r w:rsidRPr="00361437">
        <w:rPr>
          <w:rFonts w:cs="Times New Roman"/>
        </w:rPr>
        <w:t xml:space="preserve"> </w:t>
      </w:r>
    </w:p>
    <w:p w14:paraId="665938C2" w14:textId="29A4297B" w:rsidR="0095594C" w:rsidRPr="00361437" w:rsidRDefault="0095594C" w:rsidP="00541BF8">
      <w:pPr>
        <w:spacing w:line="480" w:lineRule="auto"/>
        <w:ind w:firstLine="720"/>
        <w:jc w:val="center"/>
        <w:rPr>
          <w:rFonts w:cs="Times New Roman"/>
        </w:rPr>
      </w:pPr>
      <w:r w:rsidRPr="00361437">
        <w:rPr>
          <w:rFonts w:ascii="TimesNewRomanPSMT" w:hAnsi="TimesNewRomanPSMT" w:cs="TimesNewRomanPSMT"/>
          <w:lang w:val="en-GB"/>
        </w:rPr>
        <w:t>[Insert Table 7 about here]</w:t>
      </w:r>
    </w:p>
    <w:p w14:paraId="5151557C" w14:textId="459C74D4" w:rsidR="00DE4E35" w:rsidRPr="00361437" w:rsidRDefault="00DE4E35" w:rsidP="006F2556">
      <w:pPr>
        <w:spacing w:line="480" w:lineRule="auto"/>
        <w:ind w:firstLine="720"/>
        <w:rPr>
          <w:rFonts w:cs="Times New Roman"/>
        </w:rPr>
      </w:pPr>
      <w:r w:rsidRPr="00361437">
        <w:rPr>
          <w:rFonts w:cs="Times New Roman"/>
        </w:rPr>
        <w:t>We present our DiD results in Table 7. Model 1 shows that</w:t>
      </w:r>
      <w:r w:rsidRPr="00361437">
        <w:rPr>
          <w:rFonts w:cs="Times New Roman"/>
          <w:i/>
        </w:rPr>
        <w:t xml:space="preserve"> </w:t>
      </w:r>
      <w:r w:rsidR="00520E55" w:rsidRPr="00361437">
        <w:rPr>
          <w:rFonts w:cs="Times New Roman"/>
        </w:rPr>
        <w:t>TREAT_(0,1)</w:t>
      </w:r>
      <w:r w:rsidR="00520E55" w:rsidRPr="00361437">
        <w:rPr>
          <w:rFonts w:cs="Times New Roman"/>
          <w:bCs/>
          <w:color w:val="000000" w:themeColor="text1"/>
        </w:rPr>
        <w:t xml:space="preserve"> ×</w:t>
      </w:r>
      <w:r w:rsidR="00520E55" w:rsidRPr="00361437">
        <w:rPr>
          <w:rFonts w:cs="Times New Roman"/>
        </w:rPr>
        <w:t xml:space="preserve"> POST_(0,1)</w:t>
      </w:r>
      <w:r w:rsidRPr="00361437">
        <w:rPr>
          <w:rFonts w:cs="Times New Roman"/>
        </w:rPr>
        <w:t xml:space="preserve"> is statistically significant and model 2 shows that this effect is magnified under financial distress. Overall</w:t>
      </w:r>
      <w:r w:rsidR="00415DC1" w:rsidRPr="00361437">
        <w:rPr>
          <w:rFonts w:cs="Times New Roman"/>
        </w:rPr>
        <w:t>,</w:t>
      </w:r>
      <w:r w:rsidRPr="00361437">
        <w:rPr>
          <w:rFonts w:cs="Times New Roman"/>
        </w:rPr>
        <w:t xml:space="preserve"> the results indicate that changes in fund family debt holdings as a result of a merger with another family has a significant effect on voting policy. Although we cannot completely rule out endogeneity concerns, our estimates being consistent across different methodologies offer some reassurance about the robustness of our findings. </w:t>
      </w:r>
    </w:p>
    <w:p w14:paraId="384962B2" w14:textId="04684AAC" w:rsidR="00DE4E35" w:rsidRPr="00361437" w:rsidRDefault="00EE6B08" w:rsidP="006F2556">
      <w:pPr>
        <w:pStyle w:val="Heading1"/>
        <w:spacing w:line="480" w:lineRule="auto"/>
        <w:jc w:val="left"/>
      </w:pPr>
      <w:r w:rsidRPr="00361437">
        <w:t>V</w:t>
      </w:r>
      <w:r w:rsidR="00DE4E35" w:rsidRPr="00361437">
        <w:t xml:space="preserve">. The </w:t>
      </w:r>
      <w:r w:rsidR="0083222B" w:rsidRPr="00361437">
        <w:t>C</w:t>
      </w:r>
      <w:r w:rsidR="00DE4E35" w:rsidRPr="00361437">
        <w:t xml:space="preserve">onsequences of </w:t>
      </w:r>
      <w:r w:rsidR="0083222B" w:rsidRPr="00361437">
        <w:t>V</w:t>
      </w:r>
      <w:r w:rsidR="00DE4E35" w:rsidRPr="00361437">
        <w:t xml:space="preserve">oting for </w:t>
      </w:r>
      <w:r w:rsidR="0083222B" w:rsidRPr="00361437">
        <w:t>F</w:t>
      </w:r>
      <w:r w:rsidR="00DE4E35" w:rsidRPr="00361437">
        <w:t xml:space="preserve">irm </w:t>
      </w:r>
      <w:r w:rsidR="0083222B" w:rsidRPr="00361437">
        <w:t>P</w:t>
      </w:r>
      <w:r w:rsidR="00DE4E35" w:rsidRPr="00361437">
        <w:t>olicy</w:t>
      </w:r>
    </w:p>
    <w:p w14:paraId="725C08AC" w14:textId="5EFE34CD" w:rsidR="00DE4E35" w:rsidRPr="00361437" w:rsidRDefault="00DE4E35" w:rsidP="006F2556">
      <w:pPr>
        <w:spacing w:line="480" w:lineRule="auto"/>
        <w:ind w:firstLine="720"/>
        <w:rPr>
          <w:rFonts w:cs="Times New Roman"/>
        </w:rPr>
      </w:pPr>
      <w:r w:rsidRPr="00361437">
        <w:rPr>
          <w:rFonts w:cs="Times New Roman"/>
        </w:rPr>
        <w:t xml:space="preserve">Our results suggest that joint debt-equity holdings by institutional investors increase the likelihood that they will vote with creditors. In this section we turn to the economic implications of this result. Institutional investors can communicate with firms either directly or by voting. While we cannot generally observe the direct communication, we can see the voting behavior of mutual fund companies and therefore </w:t>
      </w:r>
      <w:r w:rsidR="00B96FB7" w:rsidRPr="00361437">
        <w:rPr>
          <w:rFonts w:cs="Times New Roman"/>
        </w:rPr>
        <w:t xml:space="preserve">we </w:t>
      </w:r>
      <w:r w:rsidRPr="00361437">
        <w:rPr>
          <w:rFonts w:cs="Times New Roman"/>
        </w:rPr>
        <w:t xml:space="preserve">can examine if these votes have consequences for firm policy. To shed light on the economic importance of voting </w:t>
      </w:r>
      <w:r w:rsidR="00B96FB7" w:rsidRPr="00361437">
        <w:rPr>
          <w:rFonts w:cs="Times New Roman"/>
        </w:rPr>
        <w:t xml:space="preserve">as the </w:t>
      </w:r>
      <w:r w:rsidRPr="00361437">
        <w:rPr>
          <w:rFonts w:cs="Times New Roman"/>
        </w:rPr>
        <w:t xml:space="preserve">channel through which debt equity holdings affect firm policy we follow a two-step approach. We first calculate the total impact of joint debt-equity holdings on policy, by directly relating the average joint debt-equity holdings across investors in a given firm to its policy. Then we calculate how much of this effect is due to the voting channel by relating votes cast in favor of creditors on that firm to its policy. This allows us to </w:t>
      </w:r>
      <w:r w:rsidR="009D6531" w:rsidRPr="00361437">
        <w:rPr>
          <w:rFonts w:cs="Times New Roman"/>
        </w:rPr>
        <w:t xml:space="preserve">measure </w:t>
      </w:r>
      <w:r w:rsidRPr="00361437">
        <w:rPr>
          <w:rFonts w:cs="Times New Roman"/>
        </w:rPr>
        <w:t>what fraction of the total impact of joint debt equity holdings on policy is attributable to voting. The evidence in the literature tells us that joint debt equity holdings affect firm investment and payout policy and therefore we focus below on policy choices in these two areas.</w:t>
      </w:r>
    </w:p>
    <w:p w14:paraId="4FC5AFA9" w14:textId="5A71A958" w:rsidR="00DE4E35" w:rsidRPr="00361437" w:rsidRDefault="00EE6B08" w:rsidP="006F2556">
      <w:pPr>
        <w:pStyle w:val="Heading2"/>
        <w:jc w:val="left"/>
      </w:pPr>
      <w:r w:rsidRPr="00361437">
        <w:t>A</w:t>
      </w:r>
      <w:r w:rsidR="00DE4E35" w:rsidRPr="00361437">
        <w:t xml:space="preserve">. Measures of </w:t>
      </w:r>
      <w:r w:rsidR="0083222B" w:rsidRPr="00361437">
        <w:t>Firm P</w:t>
      </w:r>
      <w:r w:rsidR="00DE4E35" w:rsidRPr="00361437">
        <w:t xml:space="preserve">olicy </w:t>
      </w:r>
    </w:p>
    <w:p w14:paraId="6DF0C5ED" w14:textId="06A557A6" w:rsidR="00DE4E35" w:rsidRPr="00361437" w:rsidRDefault="00DE4E35" w:rsidP="006F2556">
      <w:pPr>
        <w:spacing w:line="480" w:lineRule="auto"/>
        <w:ind w:firstLine="720"/>
        <w:rPr>
          <w:rFonts w:cs="Times New Roman"/>
        </w:rPr>
      </w:pPr>
      <w:r w:rsidRPr="00361437">
        <w:rPr>
          <w:rFonts w:cs="Times New Roman"/>
        </w:rPr>
        <w:t xml:space="preserve">We measure firm investment policy using four measures. We consider first capital expenditure (CAPEX) policy. The corporate finance literature argues that firms that are close to </w:t>
      </w:r>
      <w:r w:rsidRPr="00361437">
        <w:rPr>
          <w:rFonts w:cs="Times New Roman"/>
        </w:rPr>
        <w:lastRenderedPageBreak/>
        <w:t xml:space="preserve">financial distress may experience debt overhang, which may dissuade them from taking positive </w:t>
      </w:r>
      <w:r w:rsidR="00E94A28" w:rsidRPr="00361437">
        <w:t>n</w:t>
      </w:r>
      <w:r w:rsidR="00E94A28" w:rsidRPr="00361437">
        <w:rPr>
          <w:rFonts w:cs="Times New Roman"/>
        </w:rPr>
        <w:t>et present value</w:t>
      </w:r>
      <w:r w:rsidR="00A2510A" w:rsidRPr="00361437">
        <w:rPr>
          <w:rFonts w:cs="Times New Roman"/>
        </w:rPr>
        <w:t xml:space="preserve"> (</w:t>
      </w:r>
      <w:r w:rsidRPr="00361437">
        <w:rPr>
          <w:rFonts w:cs="Times New Roman"/>
        </w:rPr>
        <w:t>NPV</w:t>
      </w:r>
      <w:r w:rsidR="00A2510A" w:rsidRPr="00361437">
        <w:rPr>
          <w:rFonts w:cs="Times New Roman"/>
        </w:rPr>
        <w:t>)</w:t>
      </w:r>
      <w:r w:rsidRPr="00361437">
        <w:rPr>
          <w:rFonts w:cs="Times New Roman"/>
        </w:rPr>
        <w:t xml:space="preserve"> investments. We would expect firms receiving more creditor votes to act more in the interests of debt holders and to therefore invest more in financial distress.</w:t>
      </w:r>
      <w:r w:rsidRPr="00361437">
        <w:rPr>
          <w:rStyle w:val="FootnoteReference"/>
        </w:rPr>
        <w:footnoteReference w:id="7"/>
      </w:r>
      <w:r w:rsidRPr="00361437">
        <w:rPr>
          <w:rFonts w:cs="Times New Roman"/>
        </w:rPr>
        <w:t xml:space="preserve"> The second policy we examine is seasoned equity offerings (SEO). If firms are close to financial distress</w:t>
      </w:r>
      <w:r w:rsidR="009D6531" w:rsidRPr="00361437">
        <w:rPr>
          <w:rFonts w:cs="Times New Roman"/>
        </w:rPr>
        <w:t>,</w:t>
      </w:r>
      <w:r w:rsidRPr="00361437">
        <w:rPr>
          <w:rFonts w:cs="Times New Roman"/>
        </w:rPr>
        <w:t xml:space="preserve"> we would expect them to not want to issue equity because of the debt overhang problem. However</w:t>
      </w:r>
      <w:r w:rsidR="009D6531" w:rsidRPr="00361437">
        <w:rPr>
          <w:rFonts w:cs="Times New Roman"/>
        </w:rPr>
        <w:t>,</w:t>
      </w:r>
      <w:r w:rsidRPr="00361437">
        <w:rPr>
          <w:rFonts w:cs="Times New Roman"/>
        </w:rPr>
        <w:t xml:space="preserve"> if firms recognize that their shareholders care about creditor interests as well</w:t>
      </w:r>
      <w:r w:rsidR="009D6531" w:rsidRPr="00361437">
        <w:rPr>
          <w:rFonts w:cs="Times New Roman"/>
        </w:rPr>
        <w:t>,</w:t>
      </w:r>
      <w:r w:rsidRPr="00361437">
        <w:rPr>
          <w:rFonts w:cs="Times New Roman"/>
        </w:rPr>
        <w:t xml:space="preserve"> they will be compelled to act more in the interests of debt holders and be more prepared to issue equity in financial distress. As a result we expect to see more equity issuance in financial distress for firms that receive a higher fraction of votes in favor of creditors. To measure the </w:t>
      </w:r>
      <w:r w:rsidR="002D3217" w:rsidRPr="00361437">
        <w:rPr>
          <w:rFonts w:cs="Times New Roman"/>
        </w:rPr>
        <w:t>two</w:t>
      </w:r>
      <w:r w:rsidRPr="00361437">
        <w:rPr>
          <w:rFonts w:cs="Times New Roman"/>
        </w:rPr>
        <w:t xml:space="preserve"> investment policies above, we scale the value of capital expenditure and SEO proceeds by book value of assets and set to zero missing values. The third policy we examine is non-core</w:t>
      </w:r>
      <w:r w:rsidR="000304EF" w:rsidRPr="00361437">
        <w:rPr>
          <w:rFonts w:cs="Times New Roman"/>
        </w:rPr>
        <w:t xml:space="preserve"> mergers and</w:t>
      </w:r>
      <w:r w:rsidRPr="00361437">
        <w:rPr>
          <w:rFonts w:cs="Times New Roman"/>
        </w:rPr>
        <w:t xml:space="preserve"> acquisitions</w:t>
      </w:r>
      <w:r w:rsidR="000304EF" w:rsidRPr="00361437">
        <w:rPr>
          <w:rFonts w:cs="Times New Roman"/>
        </w:rPr>
        <w:t xml:space="preserve"> (M&amp;A)</w:t>
      </w:r>
      <w:r w:rsidRPr="00361437">
        <w:rPr>
          <w:rFonts w:cs="Times New Roman"/>
        </w:rPr>
        <w:t xml:space="preserve">.  Non-core acquisitions in financial distress can be understood as a hedging policy. Shareholders in financial distress do not want hedging rather they want risk shifting. Therefore, non-core acquisitions are not in the interests of equity holders. </w:t>
      </w:r>
      <w:r w:rsidR="009D6531" w:rsidRPr="00361437">
        <w:rPr>
          <w:rFonts w:cs="Times New Roman"/>
        </w:rPr>
        <w:t>Conversely</w:t>
      </w:r>
      <w:r w:rsidRPr="00361437">
        <w:rPr>
          <w:rFonts w:cs="Times New Roman"/>
        </w:rPr>
        <w:t xml:space="preserve">, hedging is in the interests of debt holders in financial distress and therefore non-core acquisitions are in the interests of debt holders. The non-core M&amp;A variable is set to </w:t>
      </w:r>
      <w:r w:rsidRPr="00361437">
        <w:rPr>
          <w:rFonts w:cs="Times New Roman"/>
          <w:sz w:val="23"/>
          <w:szCs w:val="23"/>
        </w:rPr>
        <w:t>one if the firm make</w:t>
      </w:r>
      <w:r w:rsidR="009D6531" w:rsidRPr="00361437">
        <w:rPr>
          <w:rFonts w:cs="Times New Roman"/>
          <w:sz w:val="23"/>
          <w:szCs w:val="23"/>
        </w:rPr>
        <w:t>s</w:t>
      </w:r>
      <w:r w:rsidRPr="00361437">
        <w:rPr>
          <w:rFonts w:cs="Times New Roman"/>
          <w:sz w:val="23"/>
          <w:szCs w:val="23"/>
        </w:rPr>
        <w:t xml:space="preserve"> an acquisition in which the target and the acquirer are not in the same two</w:t>
      </w:r>
      <w:r w:rsidR="009D6531" w:rsidRPr="00361437">
        <w:rPr>
          <w:rFonts w:cs="Times New Roman"/>
          <w:sz w:val="23"/>
          <w:szCs w:val="23"/>
        </w:rPr>
        <w:t>-</w:t>
      </w:r>
      <w:r w:rsidRPr="00361437">
        <w:rPr>
          <w:rFonts w:cs="Times New Roman"/>
          <w:sz w:val="23"/>
          <w:szCs w:val="23"/>
        </w:rPr>
        <w:t xml:space="preserve">digit </w:t>
      </w:r>
      <w:r w:rsidR="00E8632A" w:rsidRPr="00361437">
        <w:rPr>
          <w:rFonts w:cs="Times New Roman"/>
          <w:sz w:val="23"/>
          <w:szCs w:val="23"/>
        </w:rPr>
        <w:t>Standard Industrial Classification (</w:t>
      </w:r>
      <w:r w:rsidRPr="00361437">
        <w:rPr>
          <w:rFonts w:cs="Times New Roman"/>
          <w:sz w:val="23"/>
          <w:szCs w:val="23"/>
        </w:rPr>
        <w:t>SIC</w:t>
      </w:r>
      <w:r w:rsidR="00E8632A" w:rsidRPr="00361437">
        <w:rPr>
          <w:rFonts w:cs="Times New Roman"/>
          <w:sz w:val="23"/>
          <w:szCs w:val="23"/>
        </w:rPr>
        <w:t>)</w:t>
      </w:r>
      <w:r w:rsidRPr="00361437">
        <w:rPr>
          <w:rFonts w:cs="Times New Roman"/>
          <w:sz w:val="23"/>
          <w:szCs w:val="23"/>
        </w:rPr>
        <w:t xml:space="preserve"> </w:t>
      </w:r>
      <w:r w:rsidR="009D6531" w:rsidRPr="00361437">
        <w:rPr>
          <w:rFonts w:cs="Times New Roman"/>
          <w:sz w:val="23"/>
          <w:szCs w:val="23"/>
        </w:rPr>
        <w:t xml:space="preserve">code </w:t>
      </w:r>
      <w:r w:rsidRPr="00361437">
        <w:rPr>
          <w:rFonts w:cs="Times New Roman"/>
          <w:sz w:val="23"/>
          <w:szCs w:val="23"/>
        </w:rPr>
        <w:t>during the year</w:t>
      </w:r>
      <w:r w:rsidR="009D6531" w:rsidRPr="00361437">
        <w:rPr>
          <w:rFonts w:cs="Times New Roman"/>
          <w:sz w:val="23"/>
          <w:szCs w:val="23"/>
        </w:rPr>
        <w:t>,</w:t>
      </w:r>
      <w:r w:rsidRPr="00361437">
        <w:rPr>
          <w:rFonts w:cs="Times New Roman"/>
        </w:rPr>
        <w:t xml:space="preserve"> and zero otherwise.</w:t>
      </w:r>
    </w:p>
    <w:p w14:paraId="48E605A4" w14:textId="19D82CA0" w:rsidR="00DE4E35" w:rsidRPr="00361437" w:rsidRDefault="00DE4E35" w:rsidP="006F2556">
      <w:pPr>
        <w:spacing w:line="480" w:lineRule="auto"/>
        <w:ind w:firstLine="720"/>
        <w:rPr>
          <w:rFonts w:cs="Times New Roman"/>
        </w:rPr>
      </w:pPr>
      <w:r w:rsidRPr="00361437">
        <w:rPr>
          <w:rFonts w:cs="Times New Roman"/>
        </w:rPr>
        <w:t>We model payout policy using two measures namely dividends and repurchases. If more pro-creditor votes signal to the firm the preferences of shareholders, we would expect these votes to lead to payout policy that is more aligned with creditors interests and therefore to lead to less dividends and less share repurchases. We follow a similar approach to our analysis of investment policy in that we include the same control variables and scale our payout variables by book value of assets.</w:t>
      </w:r>
    </w:p>
    <w:p w14:paraId="1534C0E8" w14:textId="62FC2852" w:rsidR="0095594C" w:rsidRPr="00361437" w:rsidRDefault="0095594C" w:rsidP="00541BF8">
      <w:pPr>
        <w:spacing w:line="480" w:lineRule="auto"/>
        <w:ind w:firstLine="720"/>
        <w:jc w:val="center"/>
        <w:rPr>
          <w:rFonts w:cs="Times New Roman"/>
        </w:rPr>
      </w:pPr>
      <w:r w:rsidRPr="00361437">
        <w:rPr>
          <w:rFonts w:ascii="TimesNewRomanPSMT" w:hAnsi="TimesNewRomanPSMT" w:cs="TimesNewRomanPSMT"/>
          <w:lang w:val="en-GB"/>
        </w:rPr>
        <w:t>[Insert Table 8 about here]</w:t>
      </w:r>
    </w:p>
    <w:p w14:paraId="3B7337D3" w14:textId="6873F311" w:rsidR="00DE4E35" w:rsidRPr="00361437" w:rsidRDefault="00DE4E35" w:rsidP="006F2556">
      <w:pPr>
        <w:spacing w:line="480" w:lineRule="auto"/>
        <w:ind w:firstLine="720"/>
        <w:rPr>
          <w:rFonts w:cs="Times New Roman"/>
        </w:rPr>
      </w:pPr>
      <w:r w:rsidRPr="00361437">
        <w:rPr>
          <w:rFonts w:cs="Times New Roman"/>
        </w:rPr>
        <w:lastRenderedPageBreak/>
        <w:t xml:space="preserve">Table 8 Panel A presents the summary statistics of our sample firm characteristics. Our sample used for testing the impact of debt holdings on firm policy includes 12,327 firm-year observations. Overall the key statistics are comparable with other samples used in the literature. For example, our mean dividends scaled by assets is 1.02% which is close to 0.90% reported in Chu (2018). The mean institutional block ownership in our sample is 20%, which is comparable to the statistics in Chen, Harford, and Li (2007) that use the Thomson 13F database instead of Morningstar Direct. </w:t>
      </w:r>
    </w:p>
    <w:p w14:paraId="4E316BEC" w14:textId="3C8DB65C" w:rsidR="00DE4E35" w:rsidRPr="00361437" w:rsidRDefault="00EE6B08" w:rsidP="006F2556">
      <w:pPr>
        <w:pStyle w:val="Heading2"/>
        <w:jc w:val="left"/>
      </w:pPr>
      <w:r w:rsidRPr="00361437">
        <w:t>B</w:t>
      </w:r>
      <w:r w:rsidR="00DE4E35" w:rsidRPr="00361437">
        <w:t xml:space="preserve">. The </w:t>
      </w:r>
      <w:r w:rsidR="0083222B" w:rsidRPr="00361437">
        <w:t>Direct E</w:t>
      </w:r>
      <w:r w:rsidR="00DE4E35" w:rsidRPr="00361437">
        <w:t xml:space="preserve">ffect of </w:t>
      </w:r>
      <w:r w:rsidR="0083222B" w:rsidRPr="00361437">
        <w:t>Joint Debt Equity H</w:t>
      </w:r>
      <w:r w:rsidR="00DE4E35" w:rsidRPr="00361437">
        <w:t xml:space="preserve">oldings on </w:t>
      </w:r>
      <w:r w:rsidR="0083222B" w:rsidRPr="00361437">
        <w:t>P</w:t>
      </w:r>
      <w:r w:rsidR="00DE4E35" w:rsidRPr="00361437">
        <w:t>olicy</w:t>
      </w:r>
    </w:p>
    <w:p w14:paraId="59062782" w14:textId="678A1A0B" w:rsidR="00DE4E35" w:rsidRPr="00361437" w:rsidRDefault="00DE4E35" w:rsidP="006F2556">
      <w:pPr>
        <w:spacing w:line="480" w:lineRule="auto"/>
        <w:ind w:firstLine="720"/>
        <w:rPr>
          <w:rFonts w:cs="Times New Roman"/>
        </w:rPr>
      </w:pPr>
      <w:r w:rsidRPr="00361437">
        <w:rPr>
          <w:rFonts w:cs="Times New Roman"/>
        </w:rPr>
        <w:t xml:space="preserve">We need a firm-level variable that captures the extent to which the equity of a firm is jointly held with debt by institutional investors. We define </w:t>
      </w:r>
      <w:r w:rsidR="00520E55" w:rsidRPr="00361437">
        <w:rPr>
          <w:rFonts w:cs="Times New Roman"/>
        </w:rPr>
        <w:t>VALUE_WEIGHTED_DEBT_FRACTION</w:t>
      </w:r>
      <w:r w:rsidRPr="00361437">
        <w:rPr>
          <w:rFonts w:cs="Times New Roman"/>
        </w:rPr>
        <w:t xml:space="preserve"> of firm (j) in year (t) as the following:</w:t>
      </w:r>
    </w:p>
    <w:p w14:paraId="5C2679D8" w14:textId="72928BBD" w:rsidR="00DE4E35" w:rsidRPr="00361437" w:rsidRDefault="00EE6B08" w:rsidP="006F2556">
      <w:pPr>
        <w:spacing w:line="480" w:lineRule="auto"/>
        <w:rPr>
          <w:rFonts w:cs="Times New Roman"/>
        </w:rPr>
      </w:pPr>
      <w:r w:rsidRPr="00361437">
        <w:rPr>
          <w:rFonts w:eastAsiaTheme="minorEastAsia" w:cs="Times New Roman"/>
        </w:rPr>
        <w:t xml:space="preserve">(2) </w:t>
      </w:r>
      <m:oMath>
        <m:sSub>
          <m:sSubPr>
            <m:ctrlPr>
              <w:rPr>
                <w:rFonts w:ascii="Cambria Math" w:hAnsi="Cambria Math" w:cs="Times New Roman"/>
              </w:rPr>
            </m:ctrlPr>
          </m:sSubPr>
          <m:e>
            <m:r>
              <m:rPr>
                <m:sty m:val="p"/>
              </m:rPr>
              <w:rPr>
                <w:rFonts w:ascii="Cambria Math" w:hAnsi="Cambria Math" w:cs="Times New Roman"/>
              </w:rPr>
              <m:t>VALUE WEIGHTED DEBT FRACTION</m:t>
            </m:r>
          </m:e>
          <m:sub>
            <m:r>
              <m:rPr>
                <m:sty m:val="p"/>
              </m:rPr>
              <w:rPr>
                <w:rFonts w:ascii="Cambria Math" w:hAnsi="Cambria Math" w:cs="Times New Roman"/>
              </w:rPr>
              <m:t>j,t</m:t>
            </m:r>
          </m:sub>
        </m:sSub>
        <m:r>
          <m:rPr>
            <m:sty m:val="p"/>
          </m:rPr>
          <w:rPr>
            <w:rFonts w:ascii="Cambria Math" w:hAnsi="Cambria Math" w:cs="Times New Roman"/>
          </w:rPr>
          <m:t xml:space="preserve">=       </m:t>
        </m:r>
        <m:nary>
          <m:naryPr>
            <m:chr m:val="∑"/>
            <m:limLoc m:val="subSup"/>
            <m:supHide m:val="1"/>
            <m:ctrlPr>
              <w:rPr>
                <w:rFonts w:ascii="Cambria Math" w:hAnsi="Cambria Math" w:cs="Times New Roman"/>
              </w:rPr>
            </m:ctrlPr>
          </m:naryPr>
          <m:sub>
            <m:r>
              <m:rPr>
                <m:sty m:val="p"/>
              </m:rPr>
              <w:rPr>
                <w:rFonts w:ascii="Cambria Math" w:hAnsi="Cambria Math" w:cs="Times New Roman"/>
              </w:rPr>
              <m:t>i</m:t>
            </m:r>
          </m:sub>
          <m:sup/>
          <m:e>
            <m:f>
              <m:fPr>
                <m:ctrlPr>
                  <w:rPr>
                    <w:rFonts w:ascii="Cambria Math" w:hAnsi="Cambria Math" w:cs="Times New Roman"/>
                  </w:rPr>
                </m:ctrlPr>
              </m:fPr>
              <m:num>
                <m:r>
                  <m:rPr>
                    <m:sty m:val="p"/>
                  </m:rPr>
                  <w:rPr>
                    <w:rFonts w:ascii="Cambria Math" w:hAnsi="Cambria Math" w:cs="Times New Roman"/>
                  </w:rPr>
                  <m:t xml:space="preserve">Value of family </m:t>
                </m:r>
                <m:d>
                  <m:dPr>
                    <m:ctrlPr>
                      <w:rPr>
                        <w:rFonts w:ascii="Cambria Math" w:hAnsi="Cambria Math" w:cs="Times New Roman"/>
                      </w:rPr>
                    </m:ctrlPr>
                  </m:dPr>
                  <m:e>
                    <m:r>
                      <m:rPr>
                        <m:sty m:val="p"/>
                      </m:rPr>
                      <w:rPr>
                        <w:rFonts w:ascii="Cambria Math" w:hAnsi="Cambria Math" w:cs="Times New Roman"/>
                      </w:rPr>
                      <m:t>i</m:t>
                    </m:r>
                  </m:e>
                </m:d>
                <m:r>
                  <m:rPr>
                    <m:sty m:val="p"/>
                  </m:rPr>
                  <w:rPr>
                    <w:rFonts w:ascii="Cambria Math" w:hAnsi="Cambria Math" w:cs="Times New Roman"/>
                  </w:rPr>
                  <m:t xml:space="preserve"> debt and equity holdings in firm </m:t>
                </m:r>
                <m:d>
                  <m:dPr>
                    <m:ctrlPr>
                      <w:rPr>
                        <w:rFonts w:ascii="Cambria Math" w:hAnsi="Cambria Math" w:cs="Times New Roman"/>
                      </w:rPr>
                    </m:ctrlPr>
                  </m:dPr>
                  <m:e>
                    <m:r>
                      <m:rPr>
                        <m:sty m:val="p"/>
                      </m:rPr>
                      <w:rPr>
                        <w:rFonts w:ascii="Cambria Math" w:hAnsi="Cambria Math" w:cs="Times New Roman"/>
                      </w:rPr>
                      <m:t>j</m:t>
                    </m:r>
                  </m:e>
                </m:d>
                <m:r>
                  <m:rPr>
                    <m:sty m:val="p"/>
                  </m:rPr>
                  <w:rPr>
                    <w:rFonts w:ascii="Cambria Math" w:hAnsi="Cambria Math" w:cs="Times New Roman"/>
                  </w:rPr>
                  <m:t xml:space="preserve"> at (t)</m:t>
                </m:r>
              </m:num>
              <m:den>
                <m:r>
                  <m:rPr>
                    <m:sty m:val="p"/>
                  </m:rPr>
                  <w:rPr>
                    <w:rFonts w:ascii="Cambria Math" w:hAnsi="Cambria Math" w:cs="Times New Roman"/>
                  </w:rPr>
                  <m:t>Total value of all familie</m:t>
                </m:r>
                <m:sSup>
                  <m:sSupPr>
                    <m:ctrlPr>
                      <w:rPr>
                        <w:rFonts w:ascii="Cambria Math" w:hAnsi="Cambria Math" w:cs="Times New Roman"/>
                      </w:rPr>
                    </m:ctrlPr>
                  </m:sSupPr>
                  <m:e>
                    <m:r>
                      <m:rPr>
                        <m:sty m:val="p"/>
                      </m:rPr>
                      <w:rPr>
                        <w:rFonts w:ascii="Cambria Math" w:hAnsi="Cambria Math" w:cs="Times New Roman"/>
                      </w:rPr>
                      <m:t>s</m:t>
                    </m:r>
                  </m:e>
                  <m:sup>
                    <m:r>
                      <m:rPr>
                        <m:sty m:val="p"/>
                      </m:rPr>
                      <w:rPr>
                        <w:rFonts w:ascii="Cambria Math" w:hAnsi="Cambria Math" w:cs="Times New Roman"/>
                      </w:rPr>
                      <m:t>'</m:t>
                    </m:r>
                  </m:sup>
                </m:sSup>
                <m:r>
                  <m:rPr>
                    <m:sty m:val="p"/>
                  </m:rPr>
                  <w:rPr>
                    <w:rFonts w:ascii="Cambria Math" w:hAnsi="Cambria Math" w:cs="Times New Roman"/>
                  </w:rPr>
                  <m:t xml:space="preserve">debt and equity holdings in firm </m:t>
                </m:r>
                <m:d>
                  <m:dPr>
                    <m:ctrlPr>
                      <w:rPr>
                        <w:rFonts w:ascii="Cambria Math" w:hAnsi="Cambria Math" w:cs="Times New Roman"/>
                      </w:rPr>
                    </m:ctrlPr>
                  </m:dPr>
                  <m:e>
                    <m:r>
                      <m:rPr>
                        <m:sty m:val="p"/>
                      </m:rPr>
                      <w:rPr>
                        <w:rFonts w:ascii="Cambria Math" w:hAnsi="Cambria Math" w:cs="Times New Roman"/>
                      </w:rPr>
                      <m:t>j</m:t>
                    </m:r>
                  </m:e>
                </m:d>
                <m:r>
                  <m:rPr>
                    <m:sty m:val="p"/>
                  </m:rPr>
                  <w:rPr>
                    <w:rFonts w:ascii="Cambria Math" w:hAnsi="Cambria Math" w:cs="Times New Roman"/>
                  </w:rPr>
                  <m:t xml:space="preserve"> at (t)</m:t>
                </m:r>
              </m:den>
            </m:f>
          </m:e>
        </m:nary>
        <m:sSub>
          <m:sSubPr>
            <m:ctrlPr>
              <w:rPr>
                <w:rFonts w:ascii="Cambria Math" w:hAnsi="Cambria Math" w:cs="Times New Roman"/>
              </w:rPr>
            </m:ctrlPr>
          </m:sSubPr>
          <m:e>
            <m:r>
              <m:rPr>
                <m:sty m:val="p"/>
              </m:rPr>
              <w:rPr>
                <w:rFonts w:ascii="Cambria Math" w:hAnsi="Cambria Math" w:cs="Times New Roman"/>
              </w:rPr>
              <m:t>×FAMILY DEBT FRACTION</m:t>
            </m:r>
          </m:e>
          <m:sub>
            <m:r>
              <m:rPr>
                <m:sty m:val="p"/>
              </m:rPr>
              <w:rPr>
                <w:rFonts w:ascii="Cambria Math" w:hAnsi="Cambria Math" w:cs="Times New Roman"/>
              </w:rPr>
              <m:t>i,j,t</m:t>
            </m:r>
          </m:sub>
        </m:sSub>
      </m:oMath>
      <w:r w:rsidR="00DE4E35" w:rsidRPr="00361437">
        <w:rPr>
          <w:rFonts w:eastAsiaTheme="minorEastAsia" w:cs="Times New Roman"/>
        </w:rPr>
        <w:t xml:space="preserve"> </w:t>
      </w:r>
    </w:p>
    <w:p w14:paraId="4B1D4895" w14:textId="3C469B95" w:rsidR="00DE4E35" w:rsidRPr="00361437" w:rsidRDefault="00DE4E35" w:rsidP="006F2556">
      <w:pPr>
        <w:spacing w:line="480" w:lineRule="auto"/>
        <w:ind w:firstLine="720"/>
        <w:rPr>
          <w:rFonts w:cs="Times New Roman"/>
        </w:rPr>
      </w:pPr>
      <w:r w:rsidRPr="00361437">
        <w:rPr>
          <w:rFonts w:cs="Times New Roman"/>
        </w:rPr>
        <w:t>When we relate the value-weighted debt fraction of a firm to its policies we use a number of control variables. These include the firm’s characteristics such as the log of the market value of equity, market-to-book ratio, return on assets, and leverage ratio. If the holdings of fund families in a firm are more concentrated</w:t>
      </w:r>
      <w:r w:rsidR="004742A3" w:rsidRPr="00361437">
        <w:rPr>
          <w:rFonts w:cs="Times New Roman"/>
        </w:rPr>
        <w:t>,</w:t>
      </w:r>
      <w:r w:rsidRPr="00361437">
        <w:rPr>
          <w:rFonts w:cs="Times New Roman"/>
        </w:rPr>
        <w:t xml:space="preserve"> then we might expect those families to be able to exert more pressure on the firm than if the holdings of fund families in the firm concerned are more thinly spread. To control for this we include </w:t>
      </w:r>
      <w:r w:rsidR="00074BD1" w:rsidRPr="00361437">
        <w:rPr>
          <w:rFonts w:cs="Times New Roman"/>
        </w:rPr>
        <w:t>a variable that measures institutional block ownership</w:t>
      </w:r>
      <w:r w:rsidRPr="00361437">
        <w:rPr>
          <w:rFonts w:cs="Times New Roman"/>
        </w:rPr>
        <w:t xml:space="preserve">, which </w:t>
      </w:r>
      <w:r w:rsidR="00074BD1" w:rsidRPr="00361437">
        <w:rPr>
          <w:rFonts w:cs="Times New Roman"/>
        </w:rPr>
        <w:t xml:space="preserve">we </w:t>
      </w:r>
      <w:r w:rsidRPr="00361437">
        <w:rPr>
          <w:rFonts w:cs="Times New Roman"/>
        </w:rPr>
        <w:t xml:space="preserve">define as the fraction of the firm that is held by block holders that hold more than 5% of the firm each. We also control for fund family characteristic such as the family’s </w:t>
      </w:r>
      <w:r w:rsidR="00BE136B" w:rsidRPr="00361437">
        <w:rPr>
          <w:rFonts w:cs="Times New Roman"/>
        </w:rPr>
        <w:t>BIG_HOLDING_(0,1)</w:t>
      </w:r>
      <w:r w:rsidRPr="00361437">
        <w:rPr>
          <w:rFonts w:cs="Times New Roman"/>
        </w:rPr>
        <w:t xml:space="preserve"> and the number of funds in the family similar to those in the voting regressions but we value weight these measures across all families holding stakes in the firm during a year in the same manner as equation (2). In our firm policy regressions we include industry times year fixed effects and we cluster our standard errors by firm. </w:t>
      </w:r>
    </w:p>
    <w:p w14:paraId="3D76524C" w14:textId="1C433971" w:rsidR="00DE4E35" w:rsidRPr="00361437" w:rsidRDefault="00DE4E35" w:rsidP="006F2556">
      <w:pPr>
        <w:spacing w:line="480" w:lineRule="auto"/>
        <w:ind w:firstLine="720"/>
        <w:rPr>
          <w:rFonts w:cs="Times New Roman"/>
        </w:rPr>
      </w:pPr>
      <w:r w:rsidRPr="00361437">
        <w:rPr>
          <w:rFonts w:cs="Times New Roman"/>
        </w:rPr>
        <w:t xml:space="preserve">The results of doing so are presented in Table 8 Panel B. Higher debt equity holdings lead to firms acting more in the interests of creditors and as a result investing more and raising more finance </w:t>
      </w:r>
      <w:r w:rsidRPr="00361437">
        <w:rPr>
          <w:rFonts w:cs="Times New Roman"/>
        </w:rPr>
        <w:lastRenderedPageBreak/>
        <w:t xml:space="preserve">in financial distress and also paying out less. A one standard deviation increase in </w:t>
      </w:r>
      <w:r w:rsidR="00BE136B" w:rsidRPr="00361437">
        <w:rPr>
          <w:rFonts w:cs="Times New Roman"/>
        </w:rPr>
        <w:t>FAMILY_DEBT_FRACTION</w:t>
      </w:r>
      <w:r w:rsidRPr="00361437">
        <w:rPr>
          <w:rFonts w:cs="Times New Roman"/>
        </w:rPr>
        <w:t xml:space="preserve"> (which is then value-weighted across families holding debt and/or equity in the firm) is associated with a 0.55% increase in capital expenditure, a 0.25% increase in SEO, a 0.49% decrease in the probability of making a non-core acquisition, a 0.11% decrease in dividends and a 0.15% decrease in share repurchases. This is equivalent to a 13.8 percentage point increase in capital expenditure, a 14.1 percentage point increase in SEO, a 23.9 percentage point decrease in the probability of making a non-core acquisition, an 11.1 percentage point decrease in dividends and a 10.5 percentage point decrease in share repurchases, respectively, from their corresponding sample mean.</w:t>
      </w:r>
    </w:p>
    <w:p w14:paraId="7F400319" w14:textId="1CC94D6A" w:rsidR="00DE4E35" w:rsidRPr="00361437" w:rsidRDefault="00EE6B08" w:rsidP="006F2556">
      <w:pPr>
        <w:pStyle w:val="Heading2"/>
        <w:jc w:val="left"/>
        <w:rPr>
          <w:bCs/>
        </w:rPr>
      </w:pPr>
      <w:r w:rsidRPr="00361437">
        <w:rPr>
          <w:bCs/>
        </w:rPr>
        <w:t>C</w:t>
      </w:r>
      <w:r w:rsidR="00DE4E35" w:rsidRPr="00361437">
        <w:rPr>
          <w:bCs/>
        </w:rPr>
        <w:t xml:space="preserve">. The </w:t>
      </w:r>
      <w:r w:rsidR="0083222B" w:rsidRPr="00361437">
        <w:rPr>
          <w:bCs/>
        </w:rPr>
        <w:t>I</w:t>
      </w:r>
      <w:r w:rsidR="00DE4E35" w:rsidRPr="00361437">
        <w:rPr>
          <w:bCs/>
        </w:rPr>
        <w:t xml:space="preserve">mportance of the </w:t>
      </w:r>
      <w:r w:rsidR="0083222B" w:rsidRPr="00361437">
        <w:rPr>
          <w:bCs/>
        </w:rPr>
        <w:t>Voting C</w:t>
      </w:r>
      <w:r w:rsidR="00DE4E35" w:rsidRPr="00361437">
        <w:rPr>
          <w:bCs/>
        </w:rPr>
        <w:t xml:space="preserve">hannel on </w:t>
      </w:r>
      <w:r w:rsidR="0083222B" w:rsidRPr="00361437">
        <w:rPr>
          <w:bCs/>
        </w:rPr>
        <w:t>Firm P</w:t>
      </w:r>
      <w:r w:rsidR="00DE4E35" w:rsidRPr="00361437">
        <w:rPr>
          <w:bCs/>
        </w:rPr>
        <w:t xml:space="preserve">olicy as a </w:t>
      </w:r>
      <w:r w:rsidR="0083222B" w:rsidRPr="00361437">
        <w:rPr>
          <w:bCs/>
        </w:rPr>
        <w:t>R</w:t>
      </w:r>
      <w:r w:rsidR="00DE4E35" w:rsidRPr="00361437">
        <w:rPr>
          <w:bCs/>
        </w:rPr>
        <w:t xml:space="preserve">esult of </w:t>
      </w:r>
      <w:r w:rsidR="0083222B" w:rsidRPr="00361437">
        <w:rPr>
          <w:bCs/>
        </w:rPr>
        <w:t>D</w:t>
      </w:r>
      <w:r w:rsidR="00DE4E35" w:rsidRPr="00361437">
        <w:rPr>
          <w:bCs/>
        </w:rPr>
        <w:t xml:space="preserve">ebt </w:t>
      </w:r>
      <w:r w:rsidR="0083222B" w:rsidRPr="00361437">
        <w:rPr>
          <w:bCs/>
        </w:rPr>
        <w:t>H</w:t>
      </w:r>
      <w:r w:rsidR="00DE4E35" w:rsidRPr="00361437">
        <w:rPr>
          <w:bCs/>
        </w:rPr>
        <w:t>oldings</w:t>
      </w:r>
    </w:p>
    <w:p w14:paraId="55C3DFF3" w14:textId="50F8DB11" w:rsidR="00DE4E35" w:rsidRPr="00361437" w:rsidRDefault="00DE4E35" w:rsidP="006F2556">
      <w:pPr>
        <w:spacing w:line="480" w:lineRule="auto"/>
        <w:ind w:firstLine="720"/>
        <w:rPr>
          <w:rFonts w:cs="Times New Roman"/>
        </w:rPr>
      </w:pPr>
      <w:r w:rsidRPr="00361437">
        <w:rPr>
          <w:rFonts w:cs="Times New Roman"/>
        </w:rPr>
        <w:t>Having established the total effect of joint debt equity holdings on policy, we are now in a position to examine how much of this total effect is attributable to voting policy. Table 8 Panel C relates the overall voting policy by fund families to firm investment and payout policy. To measure the fraction of votes in the interest of creditors on all conflict proposals, we calculate first the fraction of votes in the interest of creditors for each fund family across each conflict proposal category. We then average the fraction of votes in the interest of creditors for each fund family across all conflict proposal categories. After calculating the fraction voted in the interest of creditors for a given fund family in a firm in a given year, we calculate an equity-value weighted average fraction of votes in the interest of creditors across fund families in a firm in a given year. We use the same controls as in Table 8 Panel B and also interact the fraction of votes in support of creditors with the distress dummy</w:t>
      </w:r>
      <w:r w:rsidR="00074BD1" w:rsidRPr="00361437">
        <w:rPr>
          <w:rFonts w:cs="Times New Roman"/>
        </w:rPr>
        <w:t xml:space="preserve"> variable</w:t>
      </w:r>
      <w:r w:rsidRPr="00361437">
        <w:rPr>
          <w:rFonts w:cs="Times New Roman"/>
        </w:rPr>
        <w:t xml:space="preserve">. Overall the results show that the greater the fraction of votes in the interests of creditors in a given firm, the greater the extent to which the firm acts in the interests of debt holders in both its investment and payout policies. This clearly highlights that the voting channel plays an economically important role in the governance of firms. </w:t>
      </w:r>
    </w:p>
    <w:p w14:paraId="56734F82" w14:textId="24D38FCB" w:rsidR="00DE4E35" w:rsidRPr="00361437" w:rsidRDefault="00DE4E35" w:rsidP="006F2556">
      <w:pPr>
        <w:spacing w:line="480" w:lineRule="auto"/>
        <w:ind w:firstLine="720"/>
        <w:rPr>
          <w:rFonts w:cs="Times New Roman"/>
        </w:rPr>
      </w:pPr>
      <w:r w:rsidRPr="00361437">
        <w:rPr>
          <w:rFonts w:cs="Times New Roman"/>
        </w:rPr>
        <w:t xml:space="preserve">Comparing these findings in Panel C with the results in Panel B offers a rough estimate of the relative importance of public versus private engagement in the governance of firms. As previously </w:t>
      </w:r>
      <w:r w:rsidRPr="00361437">
        <w:rPr>
          <w:rFonts w:cs="Times New Roman"/>
        </w:rPr>
        <w:lastRenderedPageBreak/>
        <w:t xml:space="preserve">estimated from Table 3 Panel A Model 4, a one standard deviation increase in </w:t>
      </w:r>
      <w:r w:rsidR="00BE136B" w:rsidRPr="00361437">
        <w:rPr>
          <w:rFonts w:cs="Times New Roman"/>
        </w:rPr>
        <w:t>FAMILY_DEBT_FRACTION</w:t>
      </w:r>
      <w:r w:rsidRPr="00361437">
        <w:rPr>
          <w:rFonts w:cs="Times New Roman"/>
        </w:rPr>
        <w:t xml:space="preserve"> is associated with an increase of 2.8% in the fraction of votes in the interest of creditors. Using the coefficient estimates in Table 8 Panel C, such 2.8% increase in the fraction of votes in the interest of creditors is then associated with a 0.11% increase in capital expenditure, a 0.05% increase in SEO, a 0.08% decrease in the probability of making a non-core acquisition, a 0.01% decrease in dividends and a 0.01% decrease in share repurchases. Compared to the economic effects from Table 8 Panel B, those from Table 8 Panel C represent 21% for capital expenditure, 19% for SEOs, 17% for M&amp;As, 12% for dividends, and 8% for share repurchases, respectively. Overall, the economic significance of voting on corporate investment is about one fifth of the total effect of debt holdings on investment while the economic significance of voting on payout policy is one tenth of the total effect of debt holdings on payout. This suggests that corporate investment is more affected by voting, i.e. public engagement, while payout policy is mostly the result of institutional investors' private rather than public engagement. </w:t>
      </w:r>
    </w:p>
    <w:p w14:paraId="20BE0D17" w14:textId="60568BA9" w:rsidR="00DE4E35" w:rsidRPr="00361437" w:rsidRDefault="00EE6B08" w:rsidP="006F2556">
      <w:pPr>
        <w:pStyle w:val="Heading2"/>
        <w:jc w:val="left"/>
        <w:rPr>
          <w:bCs/>
        </w:rPr>
      </w:pPr>
      <w:r w:rsidRPr="00361437">
        <w:rPr>
          <w:bCs/>
        </w:rPr>
        <w:t>D</w:t>
      </w:r>
      <w:r w:rsidR="00DE4E35" w:rsidRPr="00361437">
        <w:rPr>
          <w:bCs/>
        </w:rPr>
        <w:t xml:space="preserve">. Additional </w:t>
      </w:r>
      <w:r w:rsidR="0083222B" w:rsidRPr="00361437">
        <w:rPr>
          <w:bCs/>
        </w:rPr>
        <w:t>A</w:t>
      </w:r>
      <w:r w:rsidR="00DE4E35" w:rsidRPr="00361437">
        <w:rPr>
          <w:bCs/>
        </w:rPr>
        <w:t>nalyses</w:t>
      </w:r>
    </w:p>
    <w:p w14:paraId="3608DD2F" w14:textId="64B7589D" w:rsidR="00DE4E35" w:rsidRPr="00361437" w:rsidRDefault="00DE4E35" w:rsidP="006F2556">
      <w:pPr>
        <w:spacing w:line="480" w:lineRule="auto"/>
        <w:ind w:firstLine="720"/>
        <w:rPr>
          <w:rFonts w:cs="Times New Roman"/>
        </w:rPr>
      </w:pPr>
      <w:r w:rsidRPr="00361437">
        <w:rPr>
          <w:rFonts w:cs="Times New Roman"/>
        </w:rPr>
        <w:t xml:space="preserve">In section </w:t>
      </w:r>
      <w:r w:rsidR="00773987" w:rsidRPr="00361437">
        <w:rPr>
          <w:rFonts w:cs="Times New Roman"/>
        </w:rPr>
        <w:t>IV</w:t>
      </w:r>
      <w:r w:rsidRPr="00361437">
        <w:rPr>
          <w:rFonts w:cs="Times New Roman"/>
        </w:rPr>
        <w:t>.</w:t>
      </w:r>
      <w:r w:rsidR="00773987" w:rsidRPr="00361437">
        <w:rPr>
          <w:rFonts w:cs="Times New Roman"/>
        </w:rPr>
        <w:t>B</w:t>
      </w:r>
      <w:r w:rsidRPr="00361437">
        <w:rPr>
          <w:rFonts w:cs="Times New Roman"/>
        </w:rPr>
        <w:t xml:space="preserve">, we show that the channel through which the debt holdings of institutional investors affect voting is through active rather than passive funds and through funds holding long-term debt rather than short term. </w:t>
      </w:r>
      <w:r w:rsidR="005877CE" w:rsidRPr="00361437">
        <w:rPr>
          <w:rFonts w:cs="Times New Roman"/>
        </w:rPr>
        <w:t>In this section, we</w:t>
      </w:r>
      <w:r w:rsidRPr="00361437">
        <w:rPr>
          <w:rFonts w:cs="Times New Roman"/>
        </w:rPr>
        <w:t xml:space="preserve"> examine if firm policy is associated with debt holdings by active funds rather than passive and long-term debt holdings rather than short term. We find that firm policy is only affected by debt holdings by active funds and long-term debt holdings, not by passive funds’ debt holdings or short-term debt holdings. </w:t>
      </w:r>
    </w:p>
    <w:p w14:paraId="0D1A25E6" w14:textId="4AFDD1F3" w:rsidR="00DE4E35" w:rsidRPr="00361437" w:rsidRDefault="00DE4E35" w:rsidP="006F2556">
      <w:pPr>
        <w:spacing w:line="480" w:lineRule="auto"/>
        <w:ind w:firstLine="720"/>
        <w:rPr>
          <w:rFonts w:cs="Times New Roman"/>
        </w:rPr>
      </w:pPr>
      <w:r w:rsidRPr="00361437">
        <w:rPr>
          <w:rFonts w:cs="Times New Roman"/>
        </w:rPr>
        <w:t xml:space="preserve">We follow the same method in section </w:t>
      </w:r>
      <w:r w:rsidR="00773987" w:rsidRPr="00361437">
        <w:rPr>
          <w:rFonts w:cs="Times New Roman"/>
        </w:rPr>
        <w:t>V</w:t>
      </w:r>
      <w:r w:rsidRPr="00361437">
        <w:rPr>
          <w:rFonts w:cs="Times New Roman"/>
        </w:rPr>
        <w:t>.</w:t>
      </w:r>
      <w:r w:rsidR="00773987" w:rsidRPr="00361437">
        <w:rPr>
          <w:rFonts w:cs="Times New Roman"/>
        </w:rPr>
        <w:t>C</w:t>
      </w:r>
      <w:r w:rsidRPr="00361437">
        <w:rPr>
          <w:rFonts w:cs="Times New Roman"/>
        </w:rPr>
        <w:t xml:space="preserve"> to examine the importance of the voting channel on firm policy as a result of debt holdings by active funds and of long-term debt holdings. We find that the economic significance of voting on corporate investment is about one fourth of the total effect of debt holdings by active funds on investment while the economic significance of voting on payout policy is one fifth of the total effect of debt holdings by active funds on payout. Similarly, the economic significance of voting on corporate investment is about one third of the total effect of long-term debt holdings on investment while the economic significance of voting on payout policy is one </w:t>
      </w:r>
      <w:r w:rsidRPr="00361437">
        <w:rPr>
          <w:rFonts w:cs="Times New Roman"/>
        </w:rPr>
        <w:lastRenderedPageBreak/>
        <w:t>fourth of the total effect of long-term debt holdings by active funds on payout. Overall these results suggest that the voting channel plays a more important role on firm policy as a result of debt holdings by active funds or with long maturity.</w:t>
      </w:r>
    </w:p>
    <w:p w14:paraId="3F2CA985" w14:textId="64B217BD" w:rsidR="00DE4E35" w:rsidRPr="00361437" w:rsidRDefault="00773987" w:rsidP="006F2556">
      <w:pPr>
        <w:pStyle w:val="Heading1"/>
        <w:spacing w:line="480" w:lineRule="auto"/>
        <w:jc w:val="left"/>
      </w:pPr>
      <w:r w:rsidRPr="00361437">
        <w:t>VI</w:t>
      </w:r>
      <w:r w:rsidR="00DE4E35" w:rsidRPr="00361437">
        <w:t xml:space="preserve">. Robustness </w:t>
      </w:r>
      <w:r w:rsidR="0083222B" w:rsidRPr="00361437">
        <w:t>T</w:t>
      </w:r>
      <w:r w:rsidR="00DE4E35" w:rsidRPr="00361437">
        <w:t>ests</w:t>
      </w:r>
    </w:p>
    <w:p w14:paraId="2F70194D" w14:textId="7EA3B01F" w:rsidR="00DE4E35" w:rsidRPr="00361437" w:rsidRDefault="00DE4E35" w:rsidP="006F2556">
      <w:pPr>
        <w:spacing w:line="480" w:lineRule="auto"/>
        <w:ind w:firstLine="720"/>
        <w:rPr>
          <w:rFonts w:cs="Times New Roman"/>
        </w:rPr>
      </w:pPr>
      <w:r w:rsidRPr="00361437">
        <w:rPr>
          <w:rFonts w:cs="Times New Roman"/>
        </w:rPr>
        <w:t xml:space="preserve">In this section, we provide a number of robustness checks and present their results in Table 9. First, we adopt alternative measures of financial distress. Then, we try different measures of debt holdings at the fund family level. Next, we exclude funds that only hold debt or only hold equity, </w:t>
      </w:r>
      <w:r w:rsidR="0099423F" w:rsidRPr="00361437">
        <w:rPr>
          <w:rFonts w:cs="Times New Roman"/>
        </w:rPr>
        <w:t>as</w:t>
      </w:r>
      <w:r w:rsidRPr="00361437">
        <w:rPr>
          <w:rFonts w:cs="Times New Roman"/>
        </w:rPr>
        <w:t xml:space="preserve"> may be different from the others. Finally, we consider </w:t>
      </w:r>
      <w:r w:rsidR="0099423F" w:rsidRPr="00361437">
        <w:rPr>
          <w:rFonts w:cs="Times New Roman"/>
        </w:rPr>
        <w:t xml:space="preserve">the effects of </w:t>
      </w:r>
      <w:r w:rsidRPr="00361437">
        <w:rPr>
          <w:rFonts w:cs="Times New Roman"/>
        </w:rPr>
        <w:t xml:space="preserve">non-financial firms and those funds without credit default swap contracts. </w:t>
      </w:r>
    </w:p>
    <w:p w14:paraId="68A894DD" w14:textId="484D928A" w:rsidR="0095594C" w:rsidRPr="00361437" w:rsidRDefault="0095594C" w:rsidP="00541BF8">
      <w:pPr>
        <w:spacing w:line="480" w:lineRule="auto"/>
        <w:ind w:firstLine="720"/>
        <w:jc w:val="center"/>
        <w:rPr>
          <w:rFonts w:cs="Times New Roman"/>
        </w:rPr>
      </w:pPr>
      <w:r w:rsidRPr="00361437">
        <w:rPr>
          <w:rFonts w:ascii="TimesNewRomanPSMT" w:hAnsi="TimesNewRomanPSMT" w:cs="TimesNewRomanPSMT"/>
          <w:lang w:val="en-GB"/>
        </w:rPr>
        <w:t>[Insert Table 9 about here]</w:t>
      </w:r>
    </w:p>
    <w:p w14:paraId="7A876B79" w14:textId="1A78A389" w:rsidR="00DE4E35" w:rsidRPr="00361437" w:rsidRDefault="00773987" w:rsidP="006F2556">
      <w:pPr>
        <w:pStyle w:val="Heading2"/>
        <w:jc w:val="left"/>
      </w:pPr>
      <w:r w:rsidRPr="00361437">
        <w:t>A</w:t>
      </w:r>
      <w:r w:rsidR="00DE4E35" w:rsidRPr="00361437">
        <w:t xml:space="preserve">. Alternative </w:t>
      </w:r>
      <w:r w:rsidR="0083222B" w:rsidRPr="00361437">
        <w:t>M</w:t>
      </w:r>
      <w:r w:rsidR="00DE4E35" w:rsidRPr="00361437">
        <w:t xml:space="preserve">easures of </w:t>
      </w:r>
      <w:r w:rsidR="0083222B" w:rsidRPr="00361437">
        <w:t>Financial Di</w:t>
      </w:r>
      <w:r w:rsidR="00DE4E35" w:rsidRPr="00361437">
        <w:t>stress</w:t>
      </w:r>
    </w:p>
    <w:p w14:paraId="3832EC41" w14:textId="408CE8D0" w:rsidR="00DE4E35" w:rsidRPr="00361437" w:rsidRDefault="00DE4E35" w:rsidP="006F2556">
      <w:pPr>
        <w:spacing w:line="480" w:lineRule="auto"/>
        <w:ind w:firstLine="720"/>
        <w:rPr>
          <w:rFonts w:cs="Times New Roman"/>
        </w:rPr>
      </w:pPr>
      <w:r w:rsidRPr="00361437">
        <w:rPr>
          <w:rFonts w:cs="Times New Roman"/>
        </w:rPr>
        <w:t xml:space="preserve">Our results show that the debt fraction of institutional investors influences voting and firm policy to a greater extent when the firm is in financial distress. For this purpose, the definition of financial distress is important. </w:t>
      </w:r>
      <w:r w:rsidR="00D67084" w:rsidRPr="00361437">
        <w:rPr>
          <w:rFonts w:cs="Times New Roman"/>
        </w:rPr>
        <w:t xml:space="preserve">So far, we </w:t>
      </w:r>
      <w:r w:rsidR="0099423F" w:rsidRPr="00361437">
        <w:rPr>
          <w:rFonts w:cs="Times New Roman"/>
        </w:rPr>
        <w:t xml:space="preserve">have </w:t>
      </w:r>
      <w:r w:rsidRPr="00361437">
        <w:rPr>
          <w:rFonts w:cs="Times New Roman"/>
        </w:rPr>
        <w:t>classif</w:t>
      </w:r>
      <w:r w:rsidR="0099423F" w:rsidRPr="00361437">
        <w:rPr>
          <w:rFonts w:cs="Times New Roman"/>
        </w:rPr>
        <w:t>ied</w:t>
      </w:r>
      <w:r w:rsidRPr="00361437">
        <w:rPr>
          <w:rFonts w:cs="Times New Roman"/>
        </w:rPr>
        <w:t xml:space="preserve"> firms as being in financial distress according to the Bharath and Shumway (2008) distance to default measure and we define </w:t>
      </w:r>
      <w:r w:rsidR="00BE136B" w:rsidRPr="00361437">
        <w:rPr>
          <w:rFonts w:cs="Times New Roman"/>
        </w:rPr>
        <w:t>DISTRESS_(0,1)</w:t>
      </w:r>
      <w:r w:rsidRPr="00361437">
        <w:rPr>
          <w:rFonts w:cs="Times New Roman"/>
        </w:rPr>
        <w:t xml:space="preserve"> in this case to be one if the firm’s default probability is at least 75% in the year concerned. However, it is interesting to examine whether our results are robust to the </w:t>
      </w:r>
      <w:r w:rsidR="00D67084" w:rsidRPr="00361437">
        <w:rPr>
          <w:rFonts w:cs="Times New Roman"/>
        </w:rPr>
        <w:t>use</w:t>
      </w:r>
      <w:r w:rsidRPr="00361437">
        <w:rPr>
          <w:rFonts w:cs="Times New Roman"/>
        </w:rPr>
        <w:t xml:space="preserve"> of alternative measures of financial distress. </w:t>
      </w:r>
    </w:p>
    <w:p w14:paraId="149E57A7" w14:textId="21B6976F" w:rsidR="00DE4E35" w:rsidRPr="00361437" w:rsidRDefault="00DE4E35" w:rsidP="006F2556">
      <w:pPr>
        <w:spacing w:line="480" w:lineRule="auto"/>
        <w:ind w:firstLine="720"/>
        <w:rPr>
          <w:rFonts w:cs="Times New Roman"/>
        </w:rPr>
      </w:pPr>
      <w:r w:rsidRPr="00361437">
        <w:rPr>
          <w:rFonts w:cs="Times New Roman"/>
        </w:rPr>
        <w:t xml:space="preserve">Our first alternative measure of financial distress follows </w:t>
      </w:r>
      <w:bookmarkStart w:id="11" w:name="_Hlk36628557"/>
      <w:r w:rsidRPr="00361437">
        <w:rPr>
          <w:rFonts w:cs="Times New Roman"/>
        </w:rPr>
        <w:t xml:space="preserve">Opler and Titman (1994) </w:t>
      </w:r>
      <w:bookmarkEnd w:id="11"/>
      <w:r w:rsidRPr="00361437">
        <w:rPr>
          <w:rFonts w:cs="Times New Roman"/>
        </w:rPr>
        <w:t>definition. Specifically, for each year, a three</w:t>
      </w:r>
      <w:r w:rsidR="001F6778" w:rsidRPr="00361437">
        <w:rPr>
          <w:rFonts w:cs="Times New Roman"/>
        </w:rPr>
        <w:t>-</w:t>
      </w:r>
      <w:r w:rsidRPr="00361437">
        <w:rPr>
          <w:rFonts w:cs="Times New Roman"/>
        </w:rPr>
        <w:t>digit SIC code industry is in financial distress if the median sales growth is negative and the median stock return is below -30%. We define a firm as being in financial distress if the three</w:t>
      </w:r>
      <w:r w:rsidR="001F6778" w:rsidRPr="00361437">
        <w:rPr>
          <w:rFonts w:cs="Times New Roman"/>
        </w:rPr>
        <w:t>-</w:t>
      </w:r>
      <w:r w:rsidRPr="00361437">
        <w:rPr>
          <w:rFonts w:cs="Times New Roman"/>
        </w:rPr>
        <w:t xml:space="preserve">digit SIC industry, to which it belongs, is experiencing financial distress in that year. </w:t>
      </w:r>
      <w:bookmarkStart w:id="12" w:name="_Hlk36628532"/>
      <w:r w:rsidRPr="00361437">
        <w:rPr>
          <w:rFonts w:cs="Times New Roman"/>
        </w:rPr>
        <w:t xml:space="preserve">As argued by Gopalan and Xie (2011), an advantage of using this distress measure is that these distress episodes are unexpected. </w:t>
      </w:r>
      <w:bookmarkEnd w:id="12"/>
      <w:r w:rsidRPr="00361437">
        <w:rPr>
          <w:rFonts w:cs="Times New Roman"/>
        </w:rPr>
        <w:t xml:space="preserve">Using this definition, 4.74% of the observations in our voting sample are in distress. </w:t>
      </w:r>
      <w:r w:rsidR="0099423F" w:rsidRPr="00361437">
        <w:rPr>
          <w:rFonts w:cs="Times New Roman"/>
        </w:rPr>
        <w:t xml:space="preserve">As </w:t>
      </w:r>
      <w:r w:rsidRPr="00361437">
        <w:rPr>
          <w:rFonts w:cs="Times New Roman"/>
        </w:rPr>
        <w:t>our second alternative measur</w:t>
      </w:r>
      <w:r w:rsidR="0099423F" w:rsidRPr="00361437">
        <w:rPr>
          <w:rFonts w:cs="Times New Roman"/>
        </w:rPr>
        <w:t>e</w:t>
      </w:r>
      <w:r w:rsidRPr="00361437">
        <w:rPr>
          <w:rFonts w:cs="Times New Roman"/>
        </w:rPr>
        <w:t xml:space="preserve"> </w:t>
      </w:r>
      <w:r w:rsidR="0099423F" w:rsidRPr="00361437">
        <w:rPr>
          <w:rFonts w:cs="Times New Roman"/>
        </w:rPr>
        <w:t xml:space="preserve">of </w:t>
      </w:r>
      <w:r w:rsidRPr="00361437">
        <w:rPr>
          <w:rFonts w:cs="Times New Roman"/>
        </w:rPr>
        <w:t xml:space="preserve">financial distress, we </w:t>
      </w:r>
      <w:r w:rsidR="0099423F" w:rsidRPr="00361437">
        <w:rPr>
          <w:rFonts w:cs="Times New Roman"/>
        </w:rPr>
        <w:t xml:space="preserve">classify a firm in financial </w:t>
      </w:r>
      <w:r w:rsidRPr="00361437">
        <w:rPr>
          <w:rFonts w:cs="Times New Roman"/>
        </w:rPr>
        <w:t xml:space="preserve">distress if </w:t>
      </w:r>
      <w:r w:rsidR="0099423F" w:rsidRPr="00361437">
        <w:rPr>
          <w:rFonts w:cs="Times New Roman"/>
        </w:rPr>
        <w:t>its</w:t>
      </w:r>
      <w:r w:rsidRPr="00361437">
        <w:rPr>
          <w:rFonts w:cs="Times New Roman"/>
        </w:rPr>
        <w:t xml:space="preserve"> debt rating is CCC and below in the year concerned. For the 40,443 voting </w:t>
      </w:r>
      <w:r w:rsidRPr="00361437">
        <w:rPr>
          <w:rFonts w:cs="Times New Roman"/>
        </w:rPr>
        <w:lastRenderedPageBreak/>
        <w:t xml:space="preserve">observations for which we can obtain ratings data, </w:t>
      </w:r>
      <w:r w:rsidR="0099423F" w:rsidRPr="00361437">
        <w:rPr>
          <w:rFonts w:cs="Times New Roman"/>
        </w:rPr>
        <w:t xml:space="preserve">financial distress is restricted to </w:t>
      </w:r>
      <w:r w:rsidRPr="00361437">
        <w:rPr>
          <w:rFonts w:cs="Times New Roman"/>
        </w:rPr>
        <w:t xml:space="preserve">0.79% </w:t>
      </w:r>
      <w:r w:rsidR="0099423F" w:rsidRPr="00361437">
        <w:rPr>
          <w:rFonts w:cs="Times New Roman"/>
        </w:rPr>
        <w:t>of the observations</w:t>
      </w:r>
      <w:r w:rsidRPr="00361437">
        <w:rPr>
          <w:rFonts w:cs="Times New Roman"/>
        </w:rPr>
        <w:t>. Panel A of Table 9 presents the effect of our alternative definitions of financial distress on our results. It shows that when we interact debt fraction with our alternative definitions of financial distress, we still get a significant effect of this interaction on voting policy, which suggests that our findings are robust to var</w:t>
      </w:r>
      <w:r w:rsidR="0099423F" w:rsidRPr="00361437">
        <w:rPr>
          <w:rFonts w:cs="Times New Roman"/>
        </w:rPr>
        <w:t xml:space="preserve">iations in </w:t>
      </w:r>
      <w:r w:rsidRPr="00361437">
        <w:rPr>
          <w:rFonts w:cs="Times New Roman"/>
        </w:rPr>
        <w:t>our definitions of financial distress.</w:t>
      </w:r>
    </w:p>
    <w:p w14:paraId="19955393" w14:textId="2430E5FC" w:rsidR="00DE4E35" w:rsidRPr="00361437" w:rsidRDefault="00773987" w:rsidP="006F2556">
      <w:pPr>
        <w:pStyle w:val="Heading2"/>
        <w:jc w:val="left"/>
      </w:pPr>
      <w:r w:rsidRPr="00361437">
        <w:t>B</w:t>
      </w:r>
      <w:r w:rsidR="00DE4E35" w:rsidRPr="00361437">
        <w:t xml:space="preserve">. Alternative </w:t>
      </w:r>
      <w:r w:rsidR="0083222B" w:rsidRPr="00361437">
        <w:t>M</w:t>
      </w:r>
      <w:r w:rsidR="00DE4E35" w:rsidRPr="00361437">
        <w:t xml:space="preserve">easures of </w:t>
      </w:r>
      <w:r w:rsidR="0083222B" w:rsidRPr="00361437">
        <w:t>Family Debt Fra</w:t>
      </w:r>
      <w:r w:rsidR="00DE4E35" w:rsidRPr="00361437">
        <w:t>ction</w:t>
      </w:r>
    </w:p>
    <w:p w14:paraId="10B3E0D5" w14:textId="6FC08D8C" w:rsidR="00DE4E35" w:rsidRPr="00361437" w:rsidRDefault="00DE4E35" w:rsidP="006F2556">
      <w:pPr>
        <w:spacing w:line="480" w:lineRule="auto"/>
        <w:ind w:firstLine="720"/>
      </w:pPr>
      <w:r w:rsidRPr="00361437">
        <w:rPr>
          <w:rFonts w:cs="Times New Roman"/>
        </w:rPr>
        <w:t xml:space="preserve">We currently calculate </w:t>
      </w:r>
      <w:r w:rsidR="00BE136B" w:rsidRPr="00361437">
        <w:rPr>
          <w:rFonts w:cs="Times New Roman"/>
        </w:rPr>
        <w:t>FAMILY_DEBT_FRACTION</w:t>
      </w:r>
      <w:r w:rsidRPr="00361437">
        <w:rPr>
          <w:rFonts w:cs="Times New Roman"/>
        </w:rPr>
        <w:t xml:space="preserve"> as the total value of debt held by a fund family divided by the total value of debt and equity that it holds. An alternative way to </w:t>
      </w:r>
      <w:r w:rsidR="000C3B96" w:rsidRPr="00361437">
        <w:rPr>
          <w:rFonts w:cs="Times New Roman"/>
        </w:rPr>
        <w:t>measure</w:t>
      </w:r>
      <w:r w:rsidRPr="00361437">
        <w:rPr>
          <w:rFonts w:cs="Times New Roman"/>
        </w:rPr>
        <w:t xml:space="preserve"> the importance of the interests of debt for the fund family concerned is to calculate the fraction of funds that are not pure equity funds in a fund family but are either pure debt funds or are mixed equity and debt funds</w:t>
      </w:r>
      <w:r w:rsidR="000C3B96" w:rsidRPr="00361437">
        <w:rPr>
          <w:rFonts w:cs="Times New Roman"/>
        </w:rPr>
        <w:t xml:space="preserve">: both these types of funds should </w:t>
      </w:r>
      <w:r w:rsidRPr="00361437">
        <w:rPr>
          <w:rFonts w:cs="Times New Roman"/>
        </w:rPr>
        <w:t>care about the interests of debt</w:t>
      </w:r>
      <w:r w:rsidR="000C3B96" w:rsidRPr="00361437">
        <w:rPr>
          <w:rFonts w:cs="Times New Roman"/>
        </w:rPr>
        <w:t xml:space="preserve"> relative to pure equity funds</w:t>
      </w:r>
      <w:r w:rsidRPr="00361437">
        <w:rPr>
          <w:rFonts w:cs="Times New Roman"/>
        </w:rPr>
        <w:t xml:space="preserve">. We calculate the value of equity and debt owned by each fund in each year across all firms to categorize each fund into debt, equity or mixed. We classify a pure equity (debt) fund as having at least 95% of its holdings in equity (debt); while we consider all other funds as mixed. In the database of 21,630 fund year observations, we have 4,413 pure debt funds (20.54%), 15,164 pure equity funds (70.11%) and 2,023 (9.35%) mixed funds. Panel B of Table 9 presents our results where we use the proportion of debt funds in the family as the debt fraction, with this proportion being either the proportion of debt and mixed funds or the proportion of pure debt funds. We find that voting policy is still significantly affected by the debt fraction interacted with financial distress as was the case in our main voting results. These findings </w:t>
      </w:r>
      <w:r w:rsidR="000C3B96" w:rsidRPr="00361437">
        <w:rPr>
          <w:rFonts w:cs="Times New Roman"/>
        </w:rPr>
        <w:t xml:space="preserve">indicate </w:t>
      </w:r>
      <w:r w:rsidRPr="00361437">
        <w:rPr>
          <w:rFonts w:cs="Times New Roman"/>
        </w:rPr>
        <w:t xml:space="preserve">that our results are robust to the way we </w:t>
      </w:r>
      <w:r w:rsidR="000C3B96" w:rsidRPr="00361437">
        <w:rPr>
          <w:rFonts w:cs="Times New Roman"/>
        </w:rPr>
        <w:t>measure</w:t>
      </w:r>
      <w:r w:rsidRPr="00361437">
        <w:rPr>
          <w:rFonts w:cs="Times New Roman"/>
        </w:rPr>
        <w:t xml:space="preserve"> the family debt fraction.</w:t>
      </w:r>
    </w:p>
    <w:p w14:paraId="5FC50838" w14:textId="28ABA30E" w:rsidR="00DE4E35" w:rsidRPr="00361437" w:rsidRDefault="00773987" w:rsidP="006F2556">
      <w:pPr>
        <w:pStyle w:val="Heading2"/>
        <w:jc w:val="left"/>
      </w:pPr>
      <w:r w:rsidRPr="00361437">
        <w:t>C</w:t>
      </w:r>
      <w:r w:rsidR="00DE4E35" w:rsidRPr="00361437">
        <w:t xml:space="preserve">. Families </w:t>
      </w:r>
      <w:r w:rsidR="0083222B" w:rsidRPr="00361437">
        <w:t>H</w:t>
      </w:r>
      <w:r w:rsidR="00DE4E35" w:rsidRPr="00361437">
        <w:t xml:space="preserve">olding both </w:t>
      </w:r>
      <w:r w:rsidR="0083222B" w:rsidRPr="00361437">
        <w:t>D</w:t>
      </w:r>
      <w:r w:rsidR="00DE4E35" w:rsidRPr="00361437">
        <w:t xml:space="preserve">ebt and </w:t>
      </w:r>
      <w:r w:rsidR="0083222B" w:rsidRPr="00361437">
        <w:t>E</w:t>
      </w:r>
      <w:r w:rsidR="00DE4E35" w:rsidRPr="00361437">
        <w:t>quity</w:t>
      </w:r>
    </w:p>
    <w:p w14:paraId="24D93911" w14:textId="61778670" w:rsidR="00DE4E35" w:rsidRPr="00361437" w:rsidRDefault="00DE4E35" w:rsidP="006F2556">
      <w:pPr>
        <w:spacing w:line="480" w:lineRule="auto"/>
        <w:ind w:firstLine="720"/>
        <w:rPr>
          <w:rFonts w:cs="Times New Roman"/>
        </w:rPr>
      </w:pPr>
      <w:r w:rsidRPr="00361437">
        <w:rPr>
          <w:rFonts w:cs="Times New Roman"/>
        </w:rPr>
        <w:t>It might be argued that our results are driven by fund families with no debt. For example</w:t>
      </w:r>
      <w:r w:rsidR="000C3B96" w:rsidRPr="00361437">
        <w:rPr>
          <w:rFonts w:cs="Times New Roman"/>
        </w:rPr>
        <w:t>,</w:t>
      </w:r>
      <w:r w:rsidRPr="00361437">
        <w:rPr>
          <w:rFonts w:cs="Times New Roman"/>
        </w:rPr>
        <w:t xml:space="preserve"> if these fund families exhibit voting behavior that is strongly in the interests of equity</w:t>
      </w:r>
      <w:r w:rsidR="000C3B96" w:rsidRPr="00361437">
        <w:rPr>
          <w:rFonts w:cs="Times New Roman"/>
        </w:rPr>
        <w:t>,</w:t>
      </w:r>
      <w:r w:rsidRPr="00361437">
        <w:rPr>
          <w:rFonts w:cs="Times New Roman"/>
        </w:rPr>
        <w:t xml:space="preserve"> this may help to validate our findings. To test this we exclude these fund families from our sample. The results are reported in Table 9 Panel C. We find that the value weighted debt fraction interacted with distress still </w:t>
      </w:r>
      <w:r w:rsidRPr="00361437">
        <w:rPr>
          <w:rFonts w:cs="Times New Roman"/>
        </w:rPr>
        <w:lastRenderedPageBreak/>
        <w:t xml:space="preserve">has a significant effect on voting policy even </w:t>
      </w:r>
      <w:r w:rsidR="000C3B96" w:rsidRPr="00361437">
        <w:rPr>
          <w:rFonts w:cs="Times New Roman"/>
        </w:rPr>
        <w:t>when</w:t>
      </w:r>
      <w:r w:rsidRPr="00361437">
        <w:rPr>
          <w:rFonts w:cs="Times New Roman"/>
        </w:rPr>
        <w:t xml:space="preserve"> we focus </w:t>
      </w:r>
      <w:r w:rsidR="000C3B96" w:rsidRPr="00361437">
        <w:rPr>
          <w:rFonts w:cs="Times New Roman"/>
        </w:rPr>
        <w:t xml:space="preserve">only </w:t>
      </w:r>
      <w:r w:rsidRPr="00361437">
        <w:rPr>
          <w:rFonts w:cs="Times New Roman"/>
        </w:rPr>
        <w:t>on fund families that hold both debt and equity.</w:t>
      </w:r>
    </w:p>
    <w:p w14:paraId="3C6F0A28" w14:textId="68CCCFFA" w:rsidR="00DE4E35" w:rsidRPr="00361437" w:rsidRDefault="00773987" w:rsidP="006F2556">
      <w:pPr>
        <w:pStyle w:val="Heading2"/>
        <w:jc w:val="left"/>
      </w:pPr>
      <w:r w:rsidRPr="00361437">
        <w:t>D</w:t>
      </w:r>
      <w:r w:rsidR="00DE4E35" w:rsidRPr="00361437">
        <w:t xml:space="preserve">. Excluding </w:t>
      </w:r>
      <w:r w:rsidR="0083222B" w:rsidRPr="00361437">
        <w:t>Financial Co</w:t>
      </w:r>
      <w:r w:rsidR="00DE4E35" w:rsidRPr="00361437">
        <w:t>mpanies</w:t>
      </w:r>
    </w:p>
    <w:p w14:paraId="0AE5773A" w14:textId="711F2184" w:rsidR="00DE4E35" w:rsidRPr="00361437" w:rsidRDefault="00DE4E35" w:rsidP="006F2556">
      <w:pPr>
        <w:spacing w:line="480" w:lineRule="auto"/>
        <w:ind w:firstLine="720"/>
        <w:rPr>
          <w:rFonts w:cs="Times New Roman"/>
        </w:rPr>
      </w:pPr>
      <w:r w:rsidRPr="00361437">
        <w:rPr>
          <w:rFonts w:cs="Times New Roman"/>
        </w:rPr>
        <w:t>As financial companies operate in different ways to non-financial companies</w:t>
      </w:r>
      <w:r w:rsidR="000C3B96" w:rsidRPr="00361437">
        <w:rPr>
          <w:rFonts w:cs="Times New Roman"/>
        </w:rPr>
        <w:t>,</w:t>
      </w:r>
      <w:r w:rsidRPr="00361437">
        <w:rPr>
          <w:rFonts w:cs="Times New Roman"/>
        </w:rPr>
        <w:t xml:space="preserve"> we examine the effect of excluding financial companies from our analysis</w:t>
      </w:r>
      <w:r w:rsidR="000C3B96" w:rsidRPr="00361437">
        <w:rPr>
          <w:rFonts w:cs="Times New Roman"/>
        </w:rPr>
        <w:t>.</w:t>
      </w:r>
      <w:r w:rsidRPr="00361437">
        <w:rPr>
          <w:rFonts w:cs="Times New Roman"/>
        </w:rPr>
        <w:t xml:space="preserve"> </w:t>
      </w:r>
      <w:r w:rsidR="000C3B96" w:rsidRPr="00361437">
        <w:rPr>
          <w:rFonts w:cs="Times New Roman"/>
        </w:rPr>
        <w:t>T</w:t>
      </w:r>
      <w:r w:rsidRPr="00361437">
        <w:rPr>
          <w:rFonts w:cs="Times New Roman"/>
        </w:rPr>
        <w:t>he results of doing so are presented in Table 9 Panel D. We find that there is no material effect of excluding financial companies on the link between the debt fraction of fund families and voting policy</w:t>
      </w:r>
      <w:r w:rsidR="000C3B96" w:rsidRPr="00361437">
        <w:rPr>
          <w:rFonts w:cs="Times New Roman"/>
        </w:rPr>
        <w:t>. This</w:t>
      </w:r>
      <w:r w:rsidRPr="00361437">
        <w:rPr>
          <w:rFonts w:cs="Times New Roman"/>
        </w:rPr>
        <w:t xml:space="preserve"> indicat</w:t>
      </w:r>
      <w:r w:rsidR="000C3B96" w:rsidRPr="00361437">
        <w:rPr>
          <w:rFonts w:cs="Times New Roman"/>
        </w:rPr>
        <w:t>es</w:t>
      </w:r>
      <w:r w:rsidRPr="00361437">
        <w:rPr>
          <w:rFonts w:cs="Times New Roman"/>
        </w:rPr>
        <w:t xml:space="preserve"> that our voting analysis is unaffected by </w:t>
      </w:r>
      <w:r w:rsidR="000C3B96" w:rsidRPr="00361437">
        <w:rPr>
          <w:rFonts w:cs="Times New Roman"/>
        </w:rPr>
        <w:t>excluding financial companies</w:t>
      </w:r>
      <w:r w:rsidRPr="00361437">
        <w:rPr>
          <w:rFonts w:cs="Times New Roman"/>
        </w:rPr>
        <w:t xml:space="preserve">. </w:t>
      </w:r>
    </w:p>
    <w:p w14:paraId="201BA59E" w14:textId="2E19C91F" w:rsidR="00DE4E35" w:rsidRPr="00361437" w:rsidRDefault="00773987" w:rsidP="006F2556">
      <w:pPr>
        <w:pStyle w:val="Heading2"/>
        <w:jc w:val="left"/>
      </w:pPr>
      <w:r w:rsidRPr="00361437">
        <w:t>E</w:t>
      </w:r>
      <w:r w:rsidR="00DE4E35" w:rsidRPr="00361437">
        <w:t xml:space="preserve">. Excluding </w:t>
      </w:r>
      <w:r w:rsidR="0083222B" w:rsidRPr="00361437">
        <w:t>F</w:t>
      </w:r>
      <w:r w:rsidR="00DE4E35" w:rsidRPr="00361437">
        <w:t xml:space="preserve">unds that </w:t>
      </w:r>
      <w:r w:rsidR="0083222B" w:rsidRPr="00361437">
        <w:t>H</w:t>
      </w:r>
      <w:r w:rsidR="00DE4E35" w:rsidRPr="00361437">
        <w:t xml:space="preserve">old </w:t>
      </w:r>
      <w:r w:rsidR="0083222B" w:rsidRPr="00361437">
        <w:t>Credit Default S</w:t>
      </w:r>
      <w:r w:rsidR="00DE4E35" w:rsidRPr="00361437">
        <w:t xml:space="preserve">wap </w:t>
      </w:r>
      <w:r w:rsidR="0083222B" w:rsidRPr="00361437">
        <w:t>C</w:t>
      </w:r>
      <w:r w:rsidR="00DE4E35" w:rsidRPr="00361437">
        <w:t>ontracts</w:t>
      </w:r>
    </w:p>
    <w:p w14:paraId="5FAD650E" w14:textId="17DFE48C" w:rsidR="00DE4E35" w:rsidRPr="00361437" w:rsidRDefault="00DE4E35" w:rsidP="006F2556">
      <w:pPr>
        <w:spacing w:line="480" w:lineRule="auto"/>
        <w:ind w:firstLine="720"/>
        <w:rPr>
          <w:rFonts w:cs="Times New Roman"/>
          <w:sz w:val="12"/>
        </w:rPr>
      </w:pPr>
      <w:r w:rsidRPr="00361437">
        <w:rPr>
          <w:rFonts w:cs="Times New Roman"/>
        </w:rPr>
        <w:t>If fund families hold CDS contracts that hedge the credit risk in their debt positions</w:t>
      </w:r>
      <w:r w:rsidR="000C3B96" w:rsidRPr="00361437">
        <w:rPr>
          <w:rFonts w:cs="Times New Roman"/>
        </w:rPr>
        <w:t>,</w:t>
      </w:r>
      <w:r w:rsidRPr="00361437">
        <w:rPr>
          <w:rFonts w:cs="Times New Roman"/>
        </w:rPr>
        <w:t xml:space="preserve"> they may be less likely to vote in the interests of debt and to push firms to act in a manner that favors creditors. The fact that our main results </w:t>
      </w:r>
      <w:r w:rsidR="00277381" w:rsidRPr="00361437">
        <w:rPr>
          <w:rFonts w:cs="Times New Roman"/>
        </w:rPr>
        <w:t xml:space="preserve">are robust to </w:t>
      </w:r>
      <w:r w:rsidRPr="00361437">
        <w:rPr>
          <w:rFonts w:cs="Times New Roman"/>
        </w:rPr>
        <w:t xml:space="preserve">the inclusion of holdings of CDS contracts suggests that we may be underestimating the role of debt holdings in influencing voting and firm behavior. As a further check to </w:t>
      </w:r>
      <w:r w:rsidR="00277381" w:rsidRPr="00361437">
        <w:rPr>
          <w:rFonts w:cs="Times New Roman"/>
        </w:rPr>
        <w:t xml:space="preserve">explore </w:t>
      </w:r>
      <w:r w:rsidRPr="00361437">
        <w:rPr>
          <w:rFonts w:cs="Times New Roman"/>
        </w:rPr>
        <w:t xml:space="preserve">if removing these CDS holdings has any influence on our results, in Table 9 Panel E we exclude fund-years in which funds hold CDS contracts and </w:t>
      </w:r>
      <w:r w:rsidR="00277381" w:rsidRPr="00361437">
        <w:rPr>
          <w:rFonts w:cs="Times New Roman"/>
        </w:rPr>
        <w:t xml:space="preserve">find barely </w:t>
      </w:r>
      <w:r w:rsidRPr="00361437">
        <w:rPr>
          <w:rFonts w:cs="Times New Roman"/>
        </w:rPr>
        <w:t xml:space="preserve">noticeable </w:t>
      </w:r>
      <w:r w:rsidR="00277381" w:rsidRPr="00361437">
        <w:rPr>
          <w:rFonts w:cs="Times New Roman"/>
        </w:rPr>
        <w:t>changes</w:t>
      </w:r>
      <w:r w:rsidRPr="00361437">
        <w:rPr>
          <w:rFonts w:cs="Times New Roman"/>
        </w:rPr>
        <w:t>.</w:t>
      </w:r>
      <w:r w:rsidRPr="00361437">
        <w:rPr>
          <w:rStyle w:val="FootnoteReference"/>
        </w:rPr>
        <w:footnoteReference w:id="8"/>
      </w:r>
    </w:p>
    <w:p w14:paraId="1A0AAEF1" w14:textId="43014AFE" w:rsidR="00DE4E35" w:rsidRPr="00361437" w:rsidRDefault="00773987" w:rsidP="006F2556">
      <w:pPr>
        <w:pStyle w:val="Heading1"/>
        <w:spacing w:line="480" w:lineRule="auto"/>
        <w:jc w:val="left"/>
      </w:pPr>
      <w:r w:rsidRPr="00361437">
        <w:t>VII</w:t>
      </w:r>
      <w:r w:rsidR="00DE4E35" w:rsidRPr="00361437">
        <w:t>. Conclusion</w:t>
      </w:r>
    </w:p>
    <w:p w14:paraId="26E619C3" w14:textId="034F8C28" w:rsidR="00DE4E35" w:rsidRPr="00361437" w:rsidRDefault="00DE4E35" w:rsidP="006F2556">
      <w:pPr>
        <w:spacing w:line="480" w:lineRule="auto"/>
        <w:ind w:firstLine="720"/>
        <w:rPr>
          <w:rFonts w:cs="Times New Roman"/>
        </w:rPr>
      </w:pPr>
      <w:r w:rsidRPr="00361437">
        <w:rPr>
          <w:rFonts w:cs="Times New Roman"/>
        </w:rPr>
        <w:t xml:space="preserve">Focusing on the effect of debt holding of mutual funds on voting and showing that this voting affects firm policy are the key contributions of this paper. This is an important extension to the existing literature, which has focused so far on the equity holdings of these investors. </w:t>
      </w:r>
    </w:p>
    <w:p w14:paraId="647708E2" w14:textId="7E399FFE" w:rsidR="00DE4E35" w:rsidRPr="00361437" w:rsidRDefault="00DE4E35" w:rsidP="006F2556">
      <w:pPr>
        <w:spacing w:line="480" w:lineRule="auto"/>
        <w:ind w:firstLine="720"/>
        <w:rPr>
          <w:rFonts w:cs="Times New Roman"/>
        </w:rPr>
      </w:pPr>
      <w:r w:rsidRPr="00361437">
        <w:rPr>
          <w:rFonts w:cs="Times New Roman"/>
        </w:rPr>
        <w:t>Using data on the universe of US</w:t>
      </w:r>
      <w:r w:rsidR="00E94A28" w:rsidRPr="00361437">
        <w:rPr>
          <w:rFonts w:cs="Times New Roman"/>
        </w:rPr>
        <w:t xml:space="preserve"> </w:t>
      </w:r>
      <w:r w:rsidRPr="00361437">
        <w:rPr>
          <w:rFonts w:cs="Times New Roman"/>
        </w:rPr>
        <w:t xml:space="preserve">based mutual funds, we find that it is common for mutual fund families to hold also the corporate debt of firms in which they have equity stakes. In these cases the fund family is more likely to vote in the interests of debt holders when considering a proposal in </w:t>
      </w:r>
      <w:r w:rsidRPr="00361437">
        <w:rPr>
          <w:rFonts w:cs="Times New Roman"/>
        </w:rPr>
        <w:lastRenderedPageBreak/>
        <w:t>which there is a conflict between debt and equity, such as dividend policy, equity issues and share repurchases, anti-takeover provisions, executive compensation, and restructuring activities</w:t>
      </w:r>
      <w:r w:rsidR="00277381" w:rsidRPr="00361437">
        <w:rPr>
          <w:rFonts w:cs="Times New Roman"/>
        </w:rPr>
        <w:t>, when close to financial distress.</w:t>
      </w:r>
      <w:r w:rsidRPr="00361437">
        <w:rPr>
          <w:rFonts w:cs="Times New Roman"/>
        </w:rPr>
        <w:t xml:space="preserve"> Interestingly, we find no significant difference in voting patterns across mutual fund families when examining proposals that are associated to no conflict of interest, like director elections.</w:t>
      </w:r>
    </w:p>
    <w:p w14:paraId="70E4B974" w14:textId="3F2EFEB2" w:rsidR="00E354C5" w:rsidRPr="00361437" w:rsidRDefault="00DE4E35" w:rsidP="006F2556">
      <w:pPr>
        <w:spacing w:line="480" w:lineRule="auto"/>
        <w:ind w:firstLine="720"/>
        <w:rPr>
          <w:rFonts w:cs="Times New Roman"/>
        </w:rPr>
      </w:pPr>
      <w:r w:rsidRPr="00361437">
        <w:rPr>
          <w:rFonts w:cs="Times New Roman"/>
        </w:rPr>
        <w:t xml:space="preserve">Institutional investors can influence firms </w:t>
      </w:r>
      <w:r w:rsidR="00277381" w:rsidRPr="00361437">
        <w:rPr>
          <w:rFonts w:cs="Times New Roman"/>
        </w:rPr>
        <w:t xml:space="preserve">via voting or </w:t>
      </w:r>
      <w:r w:rsidRPr="00361437">
        <w:rPr>
          <w:rFonts w:cs="Times New Roman"/>
        </w:rPr>
        <w:t xml:space="preserve">through direct engagement. We test the relative importance of the voting channel as the </w:t>
      </w:r>
      <w:r w:rsidR="00277381" w:rsidRPr="00361437">
        <w:rPr>
          <w:rFonts w:cs="Times New Roman"/>
        </w:rPr>
        <w:t>channel</w:t>
      </w:r>
      <w:r w:rsidRPr="00361437">
        <w:rPr>
          <w:rFonts w:cs="Times New Roman"/>
        </w:rPr>
        <w:t xml:space="preserve"> through which debt equity holdings affect firm policy. While the literature has shown that there is a link between the debt equity holdings of institutional investors and</w:t>
      </w:r>
      <w:r w:rsidR="00277381" w:rsidRPr="00361437">
        <w:rPr>
          <w:rFonts w:cs="Times New Roman"/>
        </w:rPr>
        <w:t xml:space="preserve"> firm</w:t>
      </w:r>
      <w:r w:rsidRPr="00361437">
        <w:rPr>
          <w:rFonts w:cs="Times New Roman"/>
        </w:rPr>
        <w:t xml:space="preserve"> policy, our contribution is to show that an important part of this link is due to voting. Our findings indicate that debt holdings change the way institutional investors vote and generally engage with portfolio firms. Hence, they should not be ignored when examining the governance role of institutional investors.</w:t>
      </w:r>
    </w:p>
    <w:p w14:paraId="37A8F6D4" w14:textId="77777777" w:rsidR="00CC4EBD" w:rsidRPr="00361437" w:rsidRDefault="00CC4EBD" w:rsidP="00E354C5">
      <w:pPr>
        <w:pStyle w:val="NormalWeb"/>
        <w:jc w:val="center"/>
        <w:rPr>
          <w:rFonts w:ascii="Times New Roman" w:hAnsi="Times New Roman"/>
          <w:b/>
          <w:sz w:val="22"/>
          <w:szCs w:val="22"/>
        </w:rPr>
        <w:sectPr w:rsidR="00CC4EBD" w:rsidRPr="00361437" w:rsidSect="000E77D9">
          <w:footerReference w:type="default" r:id="rId17"/>
          <w:footnotePr>
            <w:numRestart w:val="eachSect"/>
          </w:footnotePr>
          <w:pgSz w:w="11906" w:h="16838" w:code="9"/>
          <w:pgMar w:top="1440" w:right="1440" w:bottom="1440" w:left="1440" w:header="706" w:footer="0" w:gutter="0"/>
          <w:pgNumType w:start="1"/>
          <w:cols w:space="708"/>
          <w:docGrid w:linePitch="360"/>
        </w:sectPr>
      </w:pPr>
    </w:p>
    <w:p w14:paraId="11AB782D" w14:textId="3B689F03" w:rsidR="00E354C5" w:rsidRPr="00361437" w:rsidRDefault="00E354C5" w:rsidP="00773987">
      <w:pPr>
        <w:pStyle w:val="Heading1"/>
      </w:pPr>
      <w:r w:rsidRPr="00361437">
        <w:lastRenderedPageBreak/>
        <w:t>References</w:t>
      </w:r>
    </w:p>
    <w:p w14:paraId="4896C5AB" w14:textId="77777777" w:rsidR="00865A66" w:rsidRPr="00361437" w:rsidRDefault="00865A66" w:rsidP="00865A66">
      <w:pPr>
        <w:pStyle w:val="NormalWeb"/>
        <w:spacing w:before="0" w:beforeAutospacing="0" w:after="0" w:afterAutospacing="0"/>
        <w:ind w:left="360" w:hanging="360"/>
        <w:jc w:val="both"/>
        <w:rPr>
          <w:rFonts w:ascii="Times New Roman" w:hAnsi="Times New Roman"/>
          <w:sz w:val="22"/>
          <w:szCs w:val="22"/>
        </w:rPr>
      </w:pPr>
    </w:p>
    <w:p w14:paraId="7A2E1283" w14:textId="58619DF1" w:rsidR="00E354C5" w:rsidRPr="00361437" w:rsidRDefault="00E354C5"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Aggarwal, R.</w:t>
      </w:r>
      <w:r w:rsidR="001574CA" w:rsidRPr="00361437">
        <w:rPr>
          <w:rFonts w:ascii="Times New Roman" w:hAnsi="Times New Roman"/>
          <w:sz w:val="22"/>
          <w:szCs w:val="22"/>
        </w:rPr>
        <w:t>;</w:t>
      </w:r>
      <w:r w:rsidRPr="00361437">
        <w:rPr>
          <w:rFonts w:ascii="Times New Roman" w:hAnsi="Times New Roman"/>
          <w:sz w:val="22"/>
          <w:szCs w:val="22"/>
        </w:rPr>
        <w:t xml:space="preserve"> </w:t>
      </w:r>
      <w:r w:rsidR="001574CA" w:rsidRPr="00361437">
        <w:rPr>
          <w:rFonts w:ascii="Times New Roman" w:hAnsi="Times New Roman"/>
          <w:sz w:val="22"/>
          <w:szCs w:val="22"/>
        </w:rPr>
        <w:t xml:space="preserve">I. </w:t>
      </w:r>
      <w:r w:rsidRPr="00361437">
        <w:rPr>
          <w:rFonts w:ascii="Times New Roman" w:hAnsi="Times New Roman"/>
          <w:sz w:val="22"/>
          <w:szCs w:val="22"/>
        </w:rPr>
        <w:t>Erel</w:t>
      </w:r>
      <w:r w:rsidR="001574CA" w:rsidRPr="00361437">
        <w:rPr>
          <w:rFonts w:ascii="Times New Roman" w:hAnsi="Times New Roman"/>
          <w:sz w:val="22"/>
          <w:szCs w:val="22"/>
        </w:rPr>
        <w:t xml:space="preserve">; M. </w:t>
      </w:r>
      <w:r w:rsidRPr="00361437">
        <w:rPr>
          <w:rFonts w:ascii="Times New Roman" w:hAnsi="Times New Roman"/>
          <w:sz w:val="22"/>
          <w:szCs w:val="22"/>
        </w:rPr>
        <w:t>Ferreira</w:t>
      </w:r>
      <w:r w:rsidR="001574CA" w:rsidRPr="00361437">
        <w:rPr>
          <w:rFonts w:ascii="Times New Roman" w:hAnsi="Times New Roman"/>
          <w:sz w:val="22"/>
          <w:szCs w:val="22"/>
        </w:rPr>
        <w:t>; and P.</w:t>
      </w:r>
      <w:r w:rsidRPr="00361437">
        <w:rPr>
          <w:rFonts w:ascii="Times New Roman" w:hAnsi="Times New Roman"/>
          <w:sz w:val="22"/>
          <w:szCs w:val="22"/>
        </w:rPr>
        <w:t xml:space="preserve"> Matos. Does governance travel around the world? Evidence from institutional investors. Journal of Financial Economics</w:t>
      </w:r>
      <w:r w:rsidR="00773987" w:rsidRPr="00361437">
        <w:rPr>
          <w:rFonts w:ascii="Times New Roman" w:hAnsi="Times New Roman"/>
          <w:sz w:val="22"/>
          <w:szCs w:val="22"/>
        </w:rPr>
        <w:t>,</w:t>
      </w:r>
      <w:r w:rsidRPr="00361437">
        <w:rPr>
          <w:rFonts w:ascii="Times New Roman" w:hAnsi="Times New Roman"/>
          <w:sz w:val="22"/>
          <w:szCs w:val="22"/>
        </w:rPr>
        <w:t xml:space="preserve"> 100</w:t>
      </w:r>
      <w:r w:rsidR="00773987" w:rsidRPr="00361437">
        <w:rPr>
          <w:rFonts w:ascii="Times New Roman" w:hAnsi="Times New Roman"/>
          <w:sz w:val="22"/>
          <w:szCs w:val="22"/>
        </w:rPr>
        <w:t xml:space="preserve"> (2011)</w:t>
      </w:r>
      <w:r w:rsidRPr="00361437">
        <w:rPr>
          <w:rFonts w:ascii="Times New Roman" w:hAnsi="Times New Roman"/>
          <w:sz w:val="22"/>
          <w:szCs w:val="22"/>
        </w:rPr>
        <w:t>, 154</w:t>
      </w:r>
      <w:r w:rsidR="00A62992" w:rsidRPr="00361437">
        <w:rPr>
          <w:rFonts w:ascii="Times New Roman" w:hAnsi="Times New Roman"/>
          <w:sz w:val="22"/>
          <w:szCs w:val="22"/>
        </w:rPr>
        <w:t>-</w:t>
      </w:r>
      <w:r w:rsidRPr="00361437">
        <w:rPr>
          <w:rFonts w:ascii="Times New Roman" w:hAnsi="Times New Roman"/>
          <w:sz w:val="22"/>
          <w:szCs w:val="22"/>
        </w:rPr>
        <w:t>181.</w:t>
      </w:r>
    </w:p>
    <w:p w14:paraId="7920B34F" w14:textId="4C370016" w:rsidR="00AD5596" w:rsidRPr="00361437" w:rsidRDefault="00AD5596" w:rsidP="00865A66">
      <w:pPr>
        <w:pStyle w:val="NormalWeb"/>
        <w:spacing w:before="0" w:beforeAutospacing="0" w:after="0" w:afterAutospacing="0"/>
        <w:ind w:left="360" w:hanging="360"/>
        <w:jc w:val="both"/>
        <w:rPr>
          <w:rFonts w:ascii="Times New Roman" w:hAnsi="Times New Roman"/>
          <w:color w:val="000000" w:themeColor="text1"/>
          <w:sz w:val="22"/>
          <w:szCs w:val="22"/>
        </w:rPr>
      </w:pPr>
      <w:r w:rsidRPr="00361437">
        <w:rPr>
          <w:rFonts w:ascii="Times New Roman" w:hAnsi="Times New Roman"/>
          <w:color w:val="000000" w:themeColor="text1"/>
          <w:sz w:val="22"/>
          <w:szCs w:val="22"/>
        </w:rPr>
        <w:t>Azar, J.</w:t>
      </w:r>
      <w:r w:rsidR="0061571B" w:rsidRPr="00361437">
        <w:rPr>
          <w:rFonts w:ascii="Times New Roman" w:hAnsi="Times New Roman"/>
          <w:color w:val="000000" w:themeColor="text1"/>
          <w:sz w:val="22"/>
          <w:szCs w:val="22"/>
        </w:rPr>
        <w:t>;</w:t>
      </w:r>
      <w:r w:rsidRPr="00361437">
        <w:rPr>
          <w:rFonts w:ascii="Times New Roman" w:hAnsi="Times New Roman"/>
          <w:color w:val="000000" w:themeColor="text1"/>
          <w:sz w:val="22"/>
          <w:szCs w:val="22"/>
        </w:rPr>
        <w:t xml:space="preserve"> </w:t>
      </w:r>
      <w:r w:rsidR="0061571B" w:rsidRPr="00361437">
        <w:rPr>
          <w:rFonts w:ascii="Times New Roman" w:hAnsi="Times New Roman"/>
          <w:color w:val="000000" w:themeColor="text1"/>
          <w:sz w:val="22"/>
          <w:szCs w:val="22"/>
        </w:rPr>
        <w:t xml:space="preserve">M.C. </w:t>
      </w:r>
      <w:r w:rsidRPr="00361437">
        <w:rPr>
          <w:rFonts w:ascii="Times New Roman" w:hAnsi="Times New Roman"/>
          <w:color w:val="000000" w:themeColor="text1"/>
          <w:sz w:val="22"/>
          <w:szCs w:val="22"/>
        </w:rPr>
        <w:t>Schmalz</w:t>
      </w:r>
      <w:r w:rsidR="0061571B" w:rsidRPr="00361437">
        <w:rPr>
          <w:rFonts w:ascii="Times New Roman" w:hAnsi="Times New Roman"/>
          <w:color w:val="000000" w:themeColor="text1"/>
          <w:sz w:val="22"/>
          <w:szCs w:val="22"/>
        </w:rPr>
        <w:t>;</w:t>
      </w:r>
      <w:r w:rsidRPr="00361437">
        <w:rPr>
          <w:rFonts w:ascii="Times New Roman" w:hAnsi="Times New Roman"/>
          <w:color w:val="000000" w:themeColor="text1"/>
          <w:sz w:val="22"/>
          <w:szCs w:val="22"/>
        </w:rPr>
        <w:t xml:space="preserve"> </w:t>
      </w:r>
      <w:r w:rsidR="0061571B" w:rsidRPr="00361437">
        <w:rPr>
          <w:rFonts w:ascii="Times New Roman" w:hAnsi="Times New Roman"/>
          <w:color w:val="000000" w:themeColor="text1"/>
          <w:sz w:val="22"/>
          <w:szCs w:val="22"/>
        </w:rPr>
        <w:t xml:space="preserve">and I. </w:t>
      </w:r>
      <w:r w:rsidRPr="00361437">
        <w:rPr>
          <w:rFonts w:ascii="Times New Roman" w:hAnsi="Times New Roman"/>
          <w:color w:val="000000" w:themeColor="text1"/>
          <w:sz w:val="22"/>
          <w:szCs w:val="22"/>
        </w:rPr>
        <w:t xml:space="preserve">Tecu. Anticompetitive </w:t>
      </w:r>
      <w:r w:rsidR="00DC7BD4" w:rsidRPr="00361437">
        <w:rPr>
          <w:rFonts w:ascii="Times New Roman" w:hAnsi="Times New Roman"/>
          <w:color w:val="000000" w:themeColor="text1"/>
          <w:sz w:val="22"/>
          <w:szCs w:val="22"/>
        </w:rPr>
        <w:t>effects of common owner</w:t>
      </w:r>
      <w:r w:rsidRPr="00361437">
        <w:rPr>
          <w:rFonts w:ascii="Times New Roman" w:hAnsi="Times New Roman"/>
          <w:color w:val="000000" w:themeColor="text1"/>
          <w:sz w:val="22"/>
          <w:szCs w:val="22"/>
        </w:rPr>
        <w:t>ship, Journal of Finance</w:t>
      </w:r>
      <w:r w:rsidRPr="00361437">
        <w:rPr>
          <w:rFonts w:ascii="Times New Roman" w:hAnsi="Times New Roman"/>
          <w:i/>
          <w:color w:val="000000" w:themeColor="text1"/>
          <w:sz w:val="22"/>
          <w:szCs w:val="22"/>
        </w:rPr>
        <w:t xml:space="preserve">, </w:t>
      </w:r>
      <w:r w:rsidRPr="00361437">
        <w:rPr>
          <w:rFonts w:ascii="Times New Roman" w:hAnsi="Times New Roman"/>
          <w:color w:val="000000" w:themeColor="text1"/>
          <w:sz w:val="22"/>
          <w:szCs w:val="22"/>
        </w:rPr>
        <w:t>73</w:t>
      </w:r>
      <w:r w:rsidR="00865A66" w:rsidRPr="00361437">
        <w:rPr>
          <w:rFonts w:ascii="Times New Roman" w:hAnsi="Times New Roman"/>
          <w:color w:val="000000" w:themeColor="text1"/>
          <w:sz w:val="22"/>
          <w:szCs w:val="22"/>
        </w:rPr>
        <w:t xml:space="preserve"> (2018)</w:t>
      </w:r>
      <w:r w:rsidRPr="00361437">
        <w:rPr>
          <w:rFonts w:ascii="Times New Roman" w:hAnsi="Times New Roman"/>
          <w:color w:val="000000" w:themeColor="text1"/>
          <w:sz w:val="22"/>
          <w:szCs w:val="22"/>
        </w:rPr>
        <w:t>, 1513-1565.</w:t>
      </w:r>
    </w:p>
    <w:p w14:paraId="2C435BFC" w14:textId="2C4F5233" w:rsidR="00E354C5" w:rsidRPr="00361437" w:rsidRDefault="00E354C5" w:rsidP="00865A66">
      <w:pPr>
        <w:pStyle w:val="NormalWeb"/>
        <w:spacing w:before="0" w:beforeAutospacing="0" w:after="0" w:afterAutospacing="0"/>
        <w:ind w:left="360" w:hanging="360"/>
        <w:jc w:val="both"/>
        <w:rPr>
          <w:rFonts w:ascii="Times New Roman" w:hAnsi="Times New Roman"/>
          <w:color w:val="000000" w:themeColor="text1"/>
          <w:sz w:val="22"/>
          <w:szCs w:val="22"/>
        </w:rPr>
      </w:pPr>
      <w:r w:rsidRPr="00361437">
        <w:rPr>
          <w:rFonts w:ascii="Times New Roman" w:hAnsi="Times New Roman"/>
          <w:color w:val="000000" w:themeColor="text1"/>
          <w:sz w:val="22"/>
          <w:szCs w:val="22"/>
        </w:rPr>
        <w:t>Becht, M.</w:t>
      </w:r>
      <w:r w:rsidR="0061571B" w:rsidRPr="00361437">
        <w:rPr>
          <w:rFonts w:ascii="Times New Roman" w:hAnsi="Times New Roman"/>
          <w:color w:val="000000" w:themeColor="text1"/>
          <w:sz w:val="22"/>
          <w:szCs w:val="22"/>
        </w:rPr>
        <w:t>; J.</w:t>
      </w:r>
      <w:r w:rsidRPr="00361437">
        <w:rPr>
          <w:rFonts w:ascii="Times New Roman" w:hAnsi="Times New Roman"/>
          <w:color w:val="000000" w:themeColor="text1"/>
          <w:sz w:val="22"/>
          <w:szCs w:val="22"/>
        </w:rPr>
        <w:t xml:space="preserve"> Franks</w:t>
      </w:r>
      <w:r w:rsidR="0061571B" w:rsidRPr="00361437">
        <w:rPr>
          <w:rFonts w:ascii="Times New Roman" w:hAnsi="Times New Roman"/>
          <w:color w:val="000000" w:themeColor="text1"/>
          <w:sz w:val="22"/>
          <w:szCs w:val="22"/>
        </w:rPr>
        <w:t>;</w:t>
      </w:r>
      <w:r w:rsidRPr="00361437">
        <w:rPr>
          <w:rFonts w:ascii="Times New Roman" w:hAnsi="Times New Roman"/>
          <w:color w:val="000000" w:themeColor="text1"/>
          <w:sz w:val="22"/>
          <w:szCs w:val="22"/>
        </w:rPr>
        <w:t xml:space="preserve"> </w:t>
      </w:r>
      <w:r w:rsidR="0061571B" w:rsidRPr="00361437">
        <w:rPr>
          <w:rFonts w:ascii="Times New Roman" w:hAnsi="Times New Roman"/>
          <w:color w:val="000000" w:themeColor="text1"/>
          <w:sz w:val="22"/>
          <w:szCs w:val="22"/>
        </w:rPr>
        <w:t xml:space="preserve">C. </w:t>
      </w:r>
      <w:r w:rsidRPr="00361437">
        <w:rPr>
          <w:rFonts w:ascii="Times New Roman" w:hAnsi="Times New Roman"/>
          <w:color w:val="000000" w:themeColor="text1"/>
          <w:sz w:val="22"/>
          <w:szCs w:val="22"/>
        </w:rPr>
        <w:t>Mayer</w:t>
      </w:r>
      <w:r w:rsidR="0061571B" w:rsidRPr="00361437">
        <w:rPr>
          <w:rFonts w:ascii="Times New Roman" w:hAnsi="Times New Roman"/>
          <w:color w:val="000000" w:themeColor="text1"/>
          <w:sz w:val="22"/>
          <w:szCs w:val="22"/>
        </w:rPr>
        <w:t>;</w:t>
      </w:r>
      <w:r w:rsidRPr="00361437">
        <w:rPr>
          <w:rFonts w:ascii="Times New Roman" w:hAnsi="Times New Roman"/>
          <w:color w:val="000000" w:themeColor="text1"/>
          <w:sz w:val="22"/>
          <w:szCs w:val="22"/>
        </w:rPr>
        <w:t xml:space="preserve"> </w:t>
      </w:r>
      <w:r w:rsidR="0061571B" w:rsidRPr="00361437">
        <w:rPr>
          <w:rFonts w:ascii="Times New Roman" w:hAnsi="Times New Roman"/>
          <w:color w:val="000000" w:themeColor="text1"/>
          <w:sz w:val="22"/>
          <w:szCs w:val="22"/>
        </w:rPr>
        <w:t xml:space="preserve">and S. </w:t>
      </w:r>
      <w:r w:rsidRPr="00361437">
        <w:rPr>
          <w:rFonts w:ascii="Times New Roman" w:hAnsi="Times New Roman"/>
          <w:color w:val="000000" w:themeColor="text1"/>
          <w:sz w:val="22"/>
          <w:szCs w:val="22"/>
        </w:rPr>
        <w:t>Rossi. Returns to shareholder activism: Evidence from a clinical study of the Hermes UK Focus Fund. Review of Financial Studies</w:t>
      </w:r>
      <w:r w:rsidR="00865A66" w:rsidRPr="00361437">
        <w:rPr>
          <w:rFonts w:ascii="Times New Roman" w:hAnsi="Times New Roman"/>
          <w:color w:val="000000" w:themeColor="text1"/>
          <w:sz w:val="22"/>
          <w:szCs w:val="22"/>
        </w:rPr>
        <w:t>,</w:t>
      </w:r>
      <w:r w:rsidRPr="00361437">
        <w:rPr>
          <w:rFonts w:ascii="Times New Roman" w:hAnsi="Times New Roman"/>
          <w:color w:val="000000" w:themeColor="text1"/>
          <w:sz w:val="22"/>
          <w:szCs w:val="22"/>
        </w:rPr>
        <w:t xml:space="preserve"> 22</w:t>
      </w:r>
      <w:r w:rsidR="00865A66" w:rsidRPr="00361437">
        <w:rPr>
          <w:rFonts w:ascii="Times New Roman" w:hAnsi="Times New Roman"/>
          <w:color w:val="000000" w:themeColor="text1"/>
          <w:sz w:val="22"/>
          <w:szCs w:val="22"/>
        </w:rPr>
        <w:t xml:space="preserve"> (2009)</w:t>
      </w:r>
      <w:r w:rsidRPr="00361437">
        <w:rPr>
          <w:rFonts w:ascii="Times New Roman" w:hAnsi="Times New Roman"/>
          <w:color w:val="000000" w:themeColor="text1"/>
          <w:sz w:val="22"/>
          <w:szCs w:val="22"/>
        </w:rPr>
        <w:t xml:space="preserve">, 3093-3129. </w:t>
      </w:r>
    </w:p>
    <w:p w14:paraId="1B8A928E" w14:textId="22891624" w:rsidR="00CE4ECD" w:rsidRPr="00361437" w:rsidRDefault="00CE4ECD" w:rsidP="00865A66">
      <w:pPr>
        <w:ind w:left="360" w:hanging="360"/>
        <w:jc w:val="both"/>
        <w:rPr>
          <w:rFonts w:eastAsia="Times New Roman" w:cs="Times New Roman"/>
          <w:color w:val="000000" w:themeColor="text1"/>
          <w:shd w:val="clear" w:color="auto" w:fill="FFFFFF"/>
        </w:rPr>
      </w:pPr>
      <w:r w:rsidRPr="00361437">
        <w:rPr>
          <w:rFonts w:eastAsia="Times New Roman" w:cs="Times New Roman"/>
          <w:color w:val="000000" w:themeColor="text1"/>
          <w:shd w:val="clear" w:color="auto" w:fill="FFFFFF"/>
        </w:rPr>
        <w:t>Becker, B.</w:t>
      </w:r>
      <w:r w:rsidR="0061571B" w:rsidRPr="00361437">
        <w:rPr>
          <w:rFonts w:eastAsia="Times New Roman" w:cs="Times New Roman"/>
          <w:color w:val="000000" w:themeColor="text1"/>
          <w:shd w:val="clear" w:color="auto" w:fill="FFFFFF"/>
        </w:rPr>
        <w:t>, and</w:t>
      </w:r>
      <w:r w:rsidR="008469FD" w:rsidRPr="00361437">
        <w:rPr>
          <w:rFonts w:eastAsia="Times New Roman" w:cs="Times New Roman"/>
          <w:color w:val="000000" w:themeColor="text1"/>
          <w:shd w:val="clear" w:color="auto" w:fill="FFFFFF"/>
        </w:rPr>
        <w:t xml:space="preserve"> </w:t>
      </w:r>
      <w:r w:rsidR="0061571B" w:rsidRPr="00361437">
        <w:rPr>
          <w:rFonts w:eastAsia="Times New Roman" w:cs="Times New Roman"/>
          <w:color w:val="000000" w:themeColor="text1"/>
          <w:shd w:val="clear" w:color="auto" w:fill="FFFFFF"/>
        </w:rPr>
        <w:t xml:space="preserve">P. </w:t>
      </w:r>
      <w:r w:rsidRPr="00361437">
        <w:rPr>
          <w:rFonts w:eastAsia="Times New Roman" w:cs="Times New Roman"/>
          <w:color w:val="000000" w:themeColor="text1"/>
          <w:shd w:val="clear" w:color="auto" w:fill="FFFFFF"/>
        </w:rPr>
        <w:t>Strömberg. Fiduciary duties and equity-debtholder conflicts. Review of Financial Studies</w:t>
      </w:r>
      <w:r w:rsidR="00865A66" w:rsidRPr="00361437">
        <w:rPr>
          <w:rFonts w:eastAsia="Times New Roman" w:cs="Times New Roman"/>
          <w:color w:val="000000" w:themeColor="text1"/>
          <w:shd w:val="clear" w:color="auto" w:fill="FFFFFF"/>
        </w:rPr>
        <w:t>,</w:t>
      </w:r>
      <w:r w:rsidRPr="00361437">
        <w:rPr>
          <w:rFonts w:eastAsia="Times New Roman" w:cs="Times New Roman"/>
          <w:color w:val="000000" w:themeColor="text1"/>
          <w:shd w:val="clear" w:color="auto" w:fill="FFFFFF"/>
        </w:rPr>
        <w:t xml:space="preserve"> 25</w:t>
      </w:r>
      <w:r w:rsidR="00865A66" w:rsidRPr="00361437">
        <w:rPr>
          <w:rFonts w:eastAsia="Times New Roman" w:cs="Times New Roman"/>
          <w:color w:val="000000" w:themeColor="text1"/>
          <w:shd w:val="clear" w:color="auto" w:fill="FFFFFF"/>
        </w:rPr>
        <w:t xml:space="preserve"> (2012)</w:t>
      </w:r>
      <w:r w:rsidRPr="00361437">
        <w:rPr>
          <w:rFonts w:eastAsia="Times New Roman" w:cs="Times New Roman"/>
          <w:color w:val="000000" w:themeColor="text1"/>
          <w:shd w:val="clear" w:color="auto" w:fill="FFFFFF"/>
        </w:rPr>
        <w:t>, 1931-1969.</w:t>
      </w:r>
    </w:p>
    <w:p w14:paraId="243703B5" w14:textId="24251D37" w:rsidR="00BE0FDD" w:rsidRPr="00361437" w:rsidRDefault="00BE0FDD" w:rsidP="00865A66">
      <w:pPr>
        <w:ind w:left="360" w:hanging="360"/>
        <w:jc w:val="both"/>
        <w:rPr>
          <w:rFonts w:eastAsia="Times New Roman" w:cs="Times New Roman"/>
          <w:color w:val="000000" w:themeColor="text1"/>
          <w:shd w:val="clear" w:color="auto" w:fill="FFFFFF"/>
        </w:rPr>
      </w:pPr>
      <w:r w:rsidRPr="00361437">
        <w:rPr>
          <w:rFonts w:eastAsia="Times New Roman" w:cs="Times New Roman"/>
          <w:color w:val="000000" w:themeColor="text1"/>
          <w:shd w:val="clear" w:color="auto" w:fill="FFFFFF"/>
        </w:rPr>
        <w:t>Bharath, S.</w:t>
      </w:r>
      <w:r w:rsidR="0061571B" w:rsidRPr="00361437">
        <w:rPr>
          <w:rFonts w:eastAsia="Times New Roman" w:cs="Times New Roman"/>
          <w:color w:val="000000" w:themeColor="text1"/>
          <w:shd w:val="clear" w:color="auto" w:fill="FFFFFF"/>
        </w:rPr>
        <w:t xml:space="preserve">, and T. </w:t>
      </w:r>
      <w:r w:rsidRPr="00361437">
        <w:rPr>
          <w:rFonts w:eastAsia="Times New Roman" w:cs="Times New Roman"/>
          <w:color w:val="000000" w:themeColor="text1"/>
          <w:shd w:val="clear" w:color="auto" w:fill="FFFFFF"/>
        </w:rPr>
        <w:t>Shumway. Forecasting default with the Merton distance to default model. Review of Financial Studies</w:t>
      </w:r>
      <w:r w:rsidR="00865A66" w:rsidRPr="00361437">
        <w:rPr>
          <w:rFonts w:eastAsia="Times New Roman" w:cs="Times New Roman"/>
          <w:color w:val="000000" w:themeColor="text1"/>
          <w:shd w:val="clear" w:color="auto" w:fill="FFFFFF"/>
        </w:rPr>
        <w:t>,</w:t>
      </w:r>
      <w:r w:rsidRPr="00361437">
        <w:rPr>
          <w:rFonts w:eastAsia="Times New Roman" w:cs="Times New Roman"/>
          <w:color w:val="000000" w:themeColor="text1"/>
          <w:shd w:val="clear" w:color="auto" w:fill="FFFFFF"/>
        </w:rPr>
        <w:t xml:space="preserve"> 21</w:t>
      </w:r>
      <w:r w:rsidR="00865A66" w:rsidRPr="00361437">
        <w:rPr>
          <w:rFonts w:eastAsia="Times New Roman" w:cs="Times New Roman"/>
          <w:color w:val="000000" w:themeColor="text1"/>
          <w:shd w:val="clear" w:color="auto" w:fill="FFFFFF"/>
        </w:rPr>
        <w:t xml:space="preserve"> (2008)</w:t>
      </w:r>
      <w:r w:rsidRPr="00361437">
        <w:rPr>
          <w:rFonts w:eastAsia="Times New Roman" w:cs="Times New Roman"/>
          <w:color w:val="000000" w:themeColor="text1"/>
          <w:shd w:val="clear" w:color="auto" w:fill="FFFFFF"/>
        </w:rPr>
        <w:t>, 1339-1369.</w:t>
      </w:r>
    </w:p>
    <w:p w14:paraId="761B7C22" w14:textId="01669C32" w:rsidR="00922879" w:rsidRPr="00361437" w:rsidRDefault="00922879" w:rsidP="00865A66">
      <w:pPr>
        <w:ind w:left="360" w:hanging="360"/>
        <w:jc w:val="both"/>
        <w:rPr>
          <w:rFonts w:eastAsia="Times New Roman" w:cs="Times New Roman"/>
          <w:color w:val="000000" w:themeColor="text1"/>
        </w:rPr>
      </w:pPr>
      <w:r w:rsidRPr="00361437">
        <w:rPr>
          <w:rFonts w:eastAsia="Times New Roman" w:cs="Times New Roman"/>
          <w:color w:val="000000" w:themeColor="text1"/>
        </w:rPr>
        <w:t>Bodnaruk, A.,</w:t>
      </w:r>
      <w:r w:rsidR="0061571B" w:rsidRPr="00361437">
        <w:rPr>
          <w:rFonts w:eastAsia="Times New Roman" w:cs="Times New Roman"/>
          <w:color w:val="000000" w:themeColor="text1"/>
        </w:rPr>
        <w:t xml:space="preserve"> and</w:t>
      </w:r>
      <w:r w:rsidRPr="00361437">
        <w:rPr>
          <w:rFonts w:eastAsia="Times New Roman" w:cs="Times New Roman"/>
          <w:color w:val="000000" w:themeColor="text1"/>
        </w:rPr>
        <w:t xml:space="preserve"> </w:t>
      </w:r>
      <w:r w:rsidR="0061571B" w:rsidRPr="00361437">
        <w:rPr>
          <w:rFonts w:eastAsia="Times New Roman" w:cs="Times New Roman"/>
          <w:color w:val="000000" w:themeColor="text1"/>
        </w:rPr>
        <w:t xml:space="preserve">M. </w:t>
      </w:r>
      <w:r w:rsidRPr="00361437">
        <w:rPr>
          <w:rFonts w:eastAsia="Times New Roman" w:cs="Times New Roman"/>
          <w:color w:val="000000" w:themeColor="text1"/>
        </w:rPr>
        <w:t>Rossi</w:t>
      </w:r>
      <w:r w:rsidR="0061571B" w:rsidRPr="00361437">
        <w:rPr>
          <w:rFonts w:eastAsia="Times New Roman" w:cs="Times New Roman"/>
          <w:color w:val="000000" w:themeColor="text1"/>
        </w:rPr>
        <w:t>.</w:t>
      </w:r>
      <w:r w:rsidRPr="00361437">
        <w:rPr>
          <w:rFonts w:eastAsia="Times New Roman" w:cs="Times New Roman"/>
          <w:color w:val="000000" w:themeColor="text1"/>
        </w:rPr>
        <w:t xml:space="preserve"> Dual </w:t>
      </w:r>
      <w:r w:rsidR="009D4A43" w:rsidRPr="00361437">
        <w:rPr>
          <w:rFonts w:eastAsia="Times New Roman" w:cs="Times New Roman"/>
          <w:color w:val="000000" w:themeColor="text1"/>
        </w:rPr>
        <w:t>ownership, returns, and voting in mer</w:t>
      </w:r>
      <w:r w:rsidR="000A6BA4" w:rsidRPr="00361437">
        <w:rPr>
          <w:rFonts w:eastAsia="Times New Roman" w:cs="Times New Roman"/>
          <w:color w:val="000000" w:themeColor="text1"/>
        </w:rPr>
        <w:t>gers.</w:t>
      </w:r>
      <w:r w:rsidRPr="00361437">
        <w:rPr>
          <w:rFonts w:eastAsia="Times New Roman" w:cs="Times New Roman"/>
          <w:color w:val="000000" w:themeColor="text1"/>
        </w:rPr>
        <w:t xml:space="preserve"> Journal of Financial Economics</w:t>
      </w:r>
      <w:r w:rsidR="00865A66" w:rsidRPr="00361437">
        <w:rPr>
          <w:rFonts w:eastAsia="Times New Roman" w:cs="Times New Roman"/>
          <w:color w:val="000000" w:themeColor="text1"/>
        </w:rPr>
        <w:t>,</w:t>
      </w:r>
      <w:r w:rsidRPr="00361437">
        <w:rPr>
          <w:rFonts w:eastAsia="Times New Roman" w:cs="Times New Roman"/>
          <w:color w:val="000000" w:themeColor="text1"/>
        </w:rPr>
        <w:t xml:space="preserve"> 120</w:t>
      </w:r>
      <w:r w:rsidR="00865A66" w:rsidRPr="00361437">
        <w:rPr>
          <w:rFonts w:eastAsia="Times New Roman" w:cs="Times New Roman"/>
          <w:color w:val="000000" w:themeColor="text1"/>
        </w:rPr>
        <w:t xml:space="preserve"> (2016)</w:t>
      </w:r>
      <w:r w:rsidRPr="00361437">
        <w:rPr>
          <w:rFonts w:eastAsia="Times New Roman" w:cs="Times New Roman"/>
          <w:color w:val="000000" w:themeColor="text1"/>
        </w:rPr>
        <w:t>, 58-80.</w:t>
      </w:r>
    </w:p>
    <w:p w14:paraId="5E8AF2E5" w14:textId="750139BA" w:rsidR="00E354C5" w:rsidRPr="00361437" w:rsidRDefault="00E354C5"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Brav, A.</w:t>
      </w:r>
      <w:r w:rsidR="0061571B" w:rsidRPr="00361437">
        <w:rPr>
          <w:rFonts w:ascii="Times New Roman" w:hAnsi="Times New Roman"/>
          <w:sz w:val="22"/>
          <w:szCs w:val="22"/>
        </w:rPr>
        <w:t>;</w:t>
      </w:r>
      <w:r w:rsidRPr="00361437">
        <w:rPr>
          <w:rFonts w:ascii="Times New Roman" w:hAnsi="Times New Roman"/>
          <w:sz w:val="22"/>
          <w:szCs w:val="22"/>
        </w:rPr>
        <w:t xml:space="preserve"> </w:t>
      </w:r>
      <w:r w:rsidR="0061571B" w:rsidRPr="00361437">
        <w:rPr>
          <w:rFonts w:ascii="Times New Roman" w:hAnsi="Times New Roman"/>
          <w:sz w:val="22"/>
          <w:szCs w:val="22"/>
        </w:rPr>
        <w:t xml:space="preserve">W. </w:t>
      </w:r>
      <w:r w:rsidRPr="00361437">
        <w:rPr>
          <w:rFonts w:ascii="Times New Roman" w:hAnsi="Times New Roman"/>
          <w:sz w:val="22"/>
          <w:szCs w:val="22"/>
        </w:rPr>
        <w:t>Jiang</w:t>
      </w:r>
      <w:r w:rsidR="0061571B" w:rsidRPr="00361437">
        <w:rPr>
          <w:rFonts w:ascii="Times New Roman" w:hAnsi="Times New Roman"/>
          <w:sz w:val="22"/>
          <w:szCs w:val="22"/>
        </w:rPr>
        <w:t>;</w:t>
      </w:r>
      <w:r w:rsidRPr="00361437">
        <w:rPr>
          <w:rFonts w:ascii="Times New Roman" w:hAnsi="Times New Roman"/>
          <w:sz w:val="22"/>
          <w:szCs w:val="22"/>
        </w:rPr>
        <w:t xml:space="preserve"> </w:t>
      </w:r>
      <w:r w:rsidR="0061571B" w:rsidRPr="00361437">
        <w:rPr>
          <w:rFonts w:ascii="Times New Roman" w:hAnsi="Times New Roman"/>
          <w:sz w:val="22"/>
          <w:szCs w:val="22"/>
        </w:rPr>
        <w:t xml:space="preserve">F. </w:t>
      </w:r>
      <w:r w:rsidRPr="00361437">
        <w:rPr>
          <w:rFonts w:ascii="Times New Roman" w:hAnsi="Times New Roman"/>
          <w:sz w:val="22"/>
          <w:szCs w:val="22"/>
        </w:rPr>
        <w:t>Partnoy</w:t>
      </w:r>
      <w:r w:rsidR="0061571B" w:rsidRPr="00361437">
        <w:rPr>
          <w:rFonts w:ascii="Times New Roman" w:hAnsi="Times New Roman"/>
          <w:sz w:val="22"/>
          <w:szCs w:val="22"/>
        </w:rPr>
        <w:t>; and</w:t>
      </w:r>
      <w:r w:rsidRPr="00361437">
        <w:rPr>
          <w:rFonts w:ascii="Times New Roman" w:hAnsi="Times New Roman"/>
          <w:sz w:val="22"/>
          <w:szCs w:val="22"/>
        </w:rPr>
        <w:t xml:space="preserve"> </w:t>
      </w:r>
      <w:r w:rsidR="0061571B" w:rsidRPr="00361437">
        <w:rPr>
          <w:rFonts w:ascii="Times New Roman" w:hAnsi="Times New Roman"/>
          <w:sz w:val="22"/>
          <w:szCs w:val="22"/>
        </w:rPr>
        <w:t xml:space="preserve">R. </w:t>
      </w:r>
      <w:r w:rsidRPr="00361437">
        <w:rPr>
          <w:rFonts w:ascii="Times New Roman" w:hAnsi="Times New Roman"/>
          <w:sz w:val="22"/>
          <w:szCs w:val="22"/>
        </w:rPr>
        <w:t>Thomas</w:t>
      </w:r>
      <w:r w:rsidR="0061571B" w:rsidRPr="00361437">
        <w:rPr>
          <w:rFonts w:ascii="Times New Roman" w:hAnsi="Times New Roman"/>
          <w:sz w:val="22"/>
          <w:szCs w:val="22"/>
        </w:rPr>
        <w:t>.</w:t>
      </w:r>
      <w:r w:rsidRPr="00361437">
        <w:rPr>
          <w:rFonts w:ascii="Times New Roman" w:hAnsi="Times New Roman"/>
          <w:sz w:val="22"/>
          <w:szCs w:val="22"/>
        </w:rPr>
        <w:t xml:space="preserve"> Hedge fund activism, corporate governance, and firm performance. Journal of Finance</w:t>
      </w:r>
      <w:r w:rsidR="00865A66" w:rsidRPr="00361437">
        <w:rPr>
          <w:rFonts w:ascii="Times New Roman" w:hAnsi="Times New Roman"/>
          <w:sz w:val="22"/>
          <w:szCs w:val="22"/>
        </w:rPr>
        <w:t>,</w:t>
      </w:r>
      <w:r w:rsidRPr="00361437">
        <w:rPr>
          <w:rFonts w:ascii="Times New Roman" w:hAnsi="Times New Roman"/>
          <w:sz w:val="22"/>
          <w:szCs w:val="22"/>
        </w:rPr>
        <w:t xml:space="preserve"> 63</w:t>
      </w:r>
      <w:r w:rsidR="00865A66" w:rsidRPr="00361437">
        <w:rPr>
          <w:rFonts w:ascii="Times New Roman" w:hAnsi="Times New Roman"/>
          <w:sz w:val="22"/>
          <w:szCs w:val="22"/>
        </w:rPr>
        <w:t xml:space="preserve"> (2008)</w:t>
      </w:r>
      <w:r w:rsidRPr="00361437">
        <w:rPr>
          <w:rFonts w:ascii="Times New Roman" w:hAnsi="Times New Roman"/>
          <w:sz w:val="22"/>
          <w:szCs w:val="22"/>
        </w:rPr>
        <w:t>, 1729</w:t>
      </w:r>
      <w:r w:rsidR="009D4A43" w:rsidRPr="00361437">
        <w:rPr>
          <w:rFonts w:ascii="Times New Roman" w:hAnsi="Times New Roman"/>
          <w:sz w:val="22"/>
          <w:szCs w:val="22"/>
        </w:rPr>
        <w:t>-</w:t>
      </w:r>
      <w:r w:rsidRPr="00361437">
        <w:rPr>
          <w:rFonts w:ascii="Times New Roman" w:hAnsi="Times New Roman"/>
          <w:sz w:val="22"/>
          <w:szCs w:val="22"/>
        </w:rPr>
        <w:t xml:space="preserve">1775. </w:t>
      </w:r>
    </w:p>
    <w:p w14:paraId="560BB59F" w14:textId="5BC6B8CF" w:rsidR="008E1629" w:rsidRPr="00361437" w:rsidRDefault="008E1629"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Brav, A.</w:t>
      </w:r>
      <w:r w:rsidR="0061571B" w:rsidRPr="00361437">
        <w:rPr>
          <w:rFonts w:ascii="Times New Roman" w:hAnsi="Times New Roman"/>
          <w:sz w:val="22"/>
          <w:szCs w:val="22"/>
        </w:rPr>
        <w:t>;</w:t>
      </w:r>
      <w:r w:rsidRPr="00361437">
        <w:rPr>
          <w:rFonts w:ascii="Times New Roman" w:hAnsi="Times New Roman"/>
          <w:sz w:val="22"/>
          <w:szCs w:val="22"/>
        </w:rPr>
        <w:t xml:space="preserve"> </w:t>
      </w:r>
      <w:r w:rsidR="0061571B" w:rsidRPr="00361437">
        <w:rPr>
          <w:rFonts w:ascii="Times New Roman" w:hAnsi="Times New Roman"/>
          <w:sz w:val="22"/>
          <w:szCs w:val="22"/>
        </w:rPr>
        <w:t xml:space="preserve">W. </w:t>
      </w:r>
      <w:r w:rsidRPr="00361437">
        <w:rPr>
          <w:rFonts w:ascii="Times New Roman" w:hAnsi="Times New Roman"/>
          <w:sz w:val="22"/>
          <w:szCs w:val="22"/>
        </w:rPr>
        <w:t>Jiang</w:t>
      </w:r>
      <w:r w:rsidR="0061571B" w:rsidRPr="00361437">
        <w:rPr>
          <w:rFonts w:ascii="Times New Roman" w:hAnsi="Times New Roman"/>
          <w:sz w:val="22"/>
          <w:szCs w:val="22"/>
        </w:rPr>
        <w:t>; and H.</w:t>
      </w:r>
      <w:r w:rsidRPr="00361437">
        <w:rPr>
          <w:rFonts w:ascii="Times New Roman" w:hAnsi="Times New Roman"/>
          <w:sz w:val="22"/>
          <w:szCs w:val="22"/>
        </w:rPr>
        <w:t xml:space="preserve"> Kim</w:t>
      </w:r>
      <w:r w:rsidR="0061571B" w:rsidRPr="00361437">
        <w:rPr>
          <w:rFonts w:ascii="Times New Roman" w:hAnsi="Times New Roman"/>
          <w:sz w:val="22"/>
          <w:szCs w:val="22"/>
        </w:rPr>
        <w:t>.</w:t>
      </w:r>
      <w:r w:rsidRPr="00361437">
        <w:rPr>
          <w:rFonts w:ascii="Times New Roman" w:hAnsi="Times New Roman"/>
          <w:sz w:val="22"/>
          <w:szCs w:val="22"/>
        </w:rPr>
        <w:t xml:space="preserve"> The real effects of hedge fund activism: Productivity, asset allocation, and labor outcomes. Review of Financial Studies</w:t>
      </w:r>
      <w:r w:rsidR="00865A66" w:rsidRPr="00361437">
        <w:rPr>
          <w:rFonts w:ascii="Times New Roman" w:hAnsi="Times New Roman"/>
          <w:sz w:val="22"/>
          <w:szCs w:val="22"/>
        </w:rPr>
        <w:t>,</w:t>
      </w:r>
      <w:r w:rsidRPr="00361437">
        <w:rPr>
          <w:rFonts w:ascii="Times New Roman" w:hAnsi="Times New Roman"/>
          <w:sz w:val="22"/>
          <w:szCs w:val="22"/>
        </w:rPr>
        <w:t xml:space="preserve"> 28</w:t>
      </w:r>
      <w:r w:rsidR="00865A66" w:rsidRPr="00361437">
        <w:rPr>
          <w:rFonts w:ascii="Times New Roman" w:hAnsi="Times New Roman"/>
          <w:sz w:val="22"/>
          <w:szCs w:val="22"/>
        </w:rPr>
        <w:t xml:space="preserve"> (2015)</w:t>
      </w:r>
      <w:r w:rsidRPr="00361437">
        <w:rPr>
          <w:rFonts w:ascii="Times New Roman" w:hAnsi="Times New Roman"/>
          <w:sz w:val="22"/>
          <w:szCs w:val="22"/>
        </w:rPr>
        <w:t xml:space="preserve">, 2723-2769. </w:t>
      </w:r>
    </w:p>
    <w:p w14:paraId="679563C2" w14:textId="6AE337D1" w:rsidR="00F34893" w:rsidRPr="00361437" w:rsidRDefault="006A0F5F"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Carleton, W.</w:t>
      </w:r>
      <w:r w:rsidR="0061571B" w:rsidRPr="00361437">
        <w:rPr>
          <w:rFonts w:ascii="Times New Roman" w:hAnsi="Times New Roman"/>
          <w:sz w:val="22"/>
          <w:szCs w:val="22"/>
        </w:rPr>
        <w:t>;</w:t>
      </w:r>
      <w:r w:rsidRPr="00361437">
        <w:rPr>
          <w:rFonts w:ascii="Times New Roman" w:hAnsi="Times New Roman"/>
          <w:sz w:val="22"/>
          <w:szCs w:val="22"/>
        </w:rPr>
        <w:t xml:space="preserve"> Nelson, J.</w:t>
      </w:r>
      <w:r w:rsidR="0061571B" w:rsidRPr="00361437">
        <w:rPr>
          <w:rFonts w:ascii="Times New Roman" w:hAnsi="Times New Roman"/>
          <w:sz w:val="22"/>
          <w:szCs w:val="22"/>
        </w:rPr>
        <w:t>; and M.</w:t>
      </w:r>
      <w:r w:rsidRPr="00361437">
        <w:rPr>
          <w:rFonts w:ascii="Times New Roman" w:hAnsi="Times New Roman"/>
          <w:sz w:val="22"/>
          <w:szCs w:val="22"/>
        </w:rPr>
        <w:t xml:space="preserve"> Weisbach. The influence of institutions on corporate governance through private negotiations: evidence from TIAA-CREF. Journal of Finance</w:t>
      </w:r>
      <w:r w:rsidR="00865A66" w:rsidRPr="00361437">
        <w:rPr>
          <w:rFonts w:ascii="Times New Roman" w:hAnsi="Times New Roman"/>
          <w:sz w:val="22"/>
          <w:szCs w:val="22"/>
        </w:rPr>
        <w:t>,</w:t>
      </w:r>
      <w:r w:rsidRPr="00361437">
        <w:rPr>
          <w:rFonts w:ascii="Times New Roman" w:hAnsi="Times New Roman"/>
          <w:sz w:val="22"/>
          <w:szCs w:val="22"/>
        </w:rPr>
        <w:t xml:space="preserve"> 53</w:t>
      </w:r>
      <w:r w:rsidR="00865A66" w:rsidRPr="00361437">
        <w:rPr>
          <w:rFonts w:ascii="Times New Roman" w:hAnsi="Times New Roman"/>
          <w:sz w:val="22"/>
          <w:szCs w:val="22"/>
        </w:rPr>
        <w:t xml:space="preserve"> (1998)</w:t>
      </w:r>
      <w:r w:rsidRPr="00361437">
        <w:rPr>
          <w:rFonts w:ascii="Times New Roman" w:hAnsi="Times New Roman"/>
          <w:sz w:val="22"/>
          <w:szCs w:val="22"/>
        </w:rPr>
        <w:t xml:space="preserve">, 1335-1362. </w:t>
      </w:r>
    </w:p>
    <w:p w14:paraId="103291B9" w14:textId="196045FE" w:rsidR="00E2260C" w:rsidRPr="00361437" w:rsidRDefault="00E2260C"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Chava, S.</w:t>
      </w:r>
      <w:r w:rsidR="0061571B" w:rsidRPr="00361437">
        <w:rPr>
          <w:rFonts w:ascii="Times New Roman" w:hAnsi="Times New Roman"/>
          <w:sz w:val="22"/>
          <w:szCs w:val="22"/>
        </w:rPr>
        <w:t>; R.</w:t>
      </w:r>
      <w:r w:rsidRPr="00361437">
        <w:rPr>
          <w:rFonts w:ascii="Times New Roman" w:hAnsi="Times New Roman"/>
          <w:sz w:val="22"/>
          <w:szCs w:val="22"/>
        </w:rPr>
        <w:t xml:space="preserve"> Wang</w:t>
      </w:r>
      <w:r w:rsidR="0061571B" w:rsidRPr="00361437">
        <w:rPr>
          <w:rFonts w:ascii="Times New Roman" w:hAnsi="Times New Roman"/>
          <w:sz w:val="22"/>
          <w:szCs w:val="22"/>
        </w:rPr>
        <w:t>;</w:t>
      </w:r>
      <w:r w:rsidRPr="00361437">
        <w:rPr>
          <w:rFonts w:ascii="Times New Roman" w:hAnsi="Times New Roman"/>
          <w:sz w:val="22"/>
          <w:szCs w:val="22"/>
        </w:rPr>
        <w:t xml:space="preserve"> and </w:t>
      </w:r>
      <w:r w:rsidR="0061571B" w:rsidRPr="00361437">
        <w:rPr>
          <w:rFonts w:ascii="Times New Roman" w:hAnsi="Times New Roman"/>
          <w:sz w:val="22"/>
          <w:szCs w:val="22"/>
        </w:rPr>
        <w:t xml:space="preserve">H. </w:t>
      </w:r>
      <w:r w:rsidRPr="00361437">
        <w:rPr>
          <w:rFonts w:ascii="Times New Roman" w:hAnsi="Times New Roman"/>
          <w:sz w:val="22"/>
          <w:szCs w:val="22"/>
        </w:rPr>
        <w:t>Zou. Covenants, creditors’ simultaneous equity holdings, and firm investment policies. Journal of Financial and Quantitative Analysis</w:t>
      </w:r>
      <w:r w:rsidR="00865A66" w:rsidRPr="00361437">
        <w:rPr>
          <w:rFonts w:ascii="Times New Roman" w:hAnsi="Times New Roman"/>
          <w:sz w:val="22"/>
          <w:szCs w:val="22"/>
        </w:rPr>
        <w:t>,</w:t>
      </w:r>
      <w:r w:rsidRPr="00361437">
        <w:rPr>
          <w:rFonts w:ascii="Times New Roman" w:hAnsi="Times New Roman"/>
          <w:sz w:val="22"/>
          <w:szCs w:val="22"/>
        </w:rPr>
        <w:t xml:space="preserve"> 5</w:t>
      </w:r>
      <w:r w:rsidR="00C733E4" w:rsidRPr="00361437">
        <w:rPr>
          <w:rFonts w:ascii="Times New Roman" w:hAnsi="Times New Roman"/>
          <w:sz w:val="22"/>
          <w:szCs w:val="22"/>
        </w:rPr>
        <w:t>4</w:t>
      </w:r>
      <w:r w:rsidR="00865A66" w:rsidRPr="00361437">
        <w:rPr>
          <w:rFonts w:ascii="Times New Roman" w:hAnsi="Times New Roman"/>
          <w:sz w:val="22"/>
          <w:szCs w:val="22"/>
        </w:rPr>
        <w:t xml:space="preserve"> (2019)</w:t>
      </w:r>
      <w:r w:rsidRPr="00361437">
        <w:rPr>
          <w:rFonts w:ascii="Times New Roman" w:hAnsi="Times New Roman"/>
          <w:sz w:val="22"/>
          <w:szCs w:val="22"/>
        </w:rPr>
        <w:t>, 481-512.</w:t>
      </w:r>
    </w:p>
    <w:p w14:paraId="6BE75300" w14:textId="6A818913" w:rsidR="00661350" w:rsidRPr="00361437" w:rsidRDefault="00661350"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Chen, X.</w:t>
      </w:r>
      <w:r w:rsidR="0061571B" w:rsidRPr="00361437">
        <w:rPr>
          <w:rFonts w:ascii="Times New Roman" w:hAnsi="Times New Roman"/>
          <w:sz w:val="22"/>
          <w:szCs w:val="22"/>
        </w:rPr>
        <w:t>;</w:t>
      </w:r>
      <w:r w:rsidRPr="00361437">
        <w:rPr>
          <w:rFonts w:ascii="Times New Roman" w:hAnsi="Times New Roman"/>
          <w:sz w:val="22"/>
          <w:szCs w:val="22"/>
        </w:rPr>
        <w:t xml:space="preserve"> </w:t>
      </w:r>
      <w:r w:rsidR="0061571B" w:rsidRPr="00361437">
        <w:rPr>
          <w:rFonts w:ascii="Times New Roman" w:hAnsi="Times New Roman"/>
          <w:sz w:val="22"/>
          <w:szCs w:val="22"/>
        </w:rPr>
        <w:t xml:space="preserve">J. </w:t>
      </w:r>
      <w:r w:rsidRPr="00361437">
        <w:rPr>
          <w:rFonts w:ascii="Times New Roman" w:hAnsi="Times New Roman"/>
          <w:sz w:val="22"/>
          <w:szCs w:val="22"/>
        </w:rPr>
        <w:t>Harford</w:t>
      </w:r>
      <w:r w:rsidR="0061571B" w:rsidRPr="00361437">
        <w:rPr>
          <w:rFonts w:ascii="Times New Roman" w:hAnsi="Times New Roman"/>
          <w:sz w:val="22"/>
          <w:szCs w:val="22"/>
        </w:rPr>
        <w:t>;</w:t>
      </w:r>
      <w:r w:rsidRPr="00361437">
        <w:rPr>
          <w:rFonts w:ascii="Times New Roman" w:hAnsi="Times New Roman"/>
          <w:sz w:val="22"/>
          <w:szCs w:val="22"/>
        </w:rPr>
        <w:t xml:space="preserve"> and </w:t>
      </w:r>
      <w:r w:rsidR="0061571B" w:rsidRPr="00361437">
        <w:rPr>
          <w:rFonts w:ascii="Times New Roman" w:hAnsi="Times New Roman"/>
          <w:sz w:val="22"/>
          <w:szCs w:val="22"/>
        </w:rPr>
        <w:t xml:space="preserve">K. </w:t>
      </w:r>
      <w:r w:rsidRPr="00361437">
        <w:rPr>
          <w:rFonts w:ascii="Times New Roman" w:hAnsi="Times New Roman"/>
          <w:sz w:val="22"/>
          <w:szCs w:val="22"/>
        </w:rPr>
        <w:t>Li. Monitoring: Which institutions matter? Journal of Financial Economics</w:t>
      </w:r>
      <w:r w:rsidR="00865A66" w:rsidRPr="00361437">
        <w:rPr>
          <w:rFonts w:ascii="Times New Roman" w:hAnsi="Times New Roman"/>
          <w:sz w:val="22"/>
          <w:szCs w:val="22"/>
        </w:rPr>
        <w:t>,</w:t>
      </w:r>
      <w:r w:rsidRPr="00361437">
        <w:rPr>
          <w:rFonts w:ascii="Times New Roman" w:hAnsi="Times New Roman"/>
          <w:sz w:val="22"/>
          <w:szCs w:val="22"/>
        </w:rPr>
        <w:t xml:space="preserve"> 86</w:t>
      </w:r>
      <w:r w:rsidR="00865A66" w:rsidRPr="00361437">
        <w:rPr>
          <w:rFonts w:ascii="Times New Roman" w:hAnsi="Times New Roman"/>
          <w:sz w:val="22"/>
          <w:szCs w:val="22"/>
        </w:rPr>
        <w:t xml:space="preserve"> (2007)</w:t>
      </w:r>
      <w:r w:rsidRPr="00361437">
        <w:rPr>
          <w:rFonts w:ascii="Times New Roman" w:hAnsi="Times New Roman"/>
          <w:sz w:val="22"/>
          <w:szCs w:val="22"/>
        </w:rPr>
        <w:t>, 279-305.</w:t>
      </w:r>
    </w:p>
    <w:p w14:paraId="20A10EFB" w14:textId="1DA3B1CF" w:rsidR="006F176F" w:rsidRPr="00361437" w:rsidRDefault="006F176F"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Chu, Y</w:t>
      </w:r>
      <w:r w:rsidR="0061571B" w:rsidRPr="00361437">
        <w:rPr>
          <w:rFonts w:ascii="Times New Roman" w:hAnsi="Times New Roman"/>
          <w:sz w:val="22"/>
          <w:szCs w:val="22"/>
        </w:rPr>
        <w:t>.</w:t>
      </w:r>
      <w:r w:rsidRPr="00361437">
        <w:rPr>
          <w:rFonts w:ascii="Times New Roman" w:hAnsi="Times New Roman"/>
          <w:sz w:val="22"/>
          <w:szCs w:val="22"/>
        </w:rPr>
        <w:t xml:space="preserve"> Shareholder-creditor conflict and payout policy: Evidence from mergers between lenders and shareholders. Review of Financial Studies</w:t>
      </w:r>
      <w:r w:rsidR="00865A66" w:rsidRPr="00361437">
        <w:rPr>
          <w:rFonts w:ascii="Times New Roman" w:hAnsi="Times New Roman"/>
          <w:sz w:val="22"/>
          <w:szCs w:val="22"/>
        </w:rPr>
        <w:t>,</w:t>
      </w:r>
      <w:r w:rsidRPr="00361437">
        <w:rPr>
          <w:rFonts w:ascii="Times New Roman" w:hAnsi="Times New Roman"/>
          <w:sz w:val="22"/>
          <w:szCs w:val="22"/>
        </w:rPr>
        <w:t xml:space="preserve"> 31</w:t>
      </w:r>
      <w:r w:rsidR="00865A66" w:rsidRPr="00361437">
        <w:rPr>
          <w:rFonts w:ascii="Times New Roman" w:hAnsi="Times New Roman"/>
          <w:sz w:val="22"/>
          <w:szCs w:val="22"/>
        </w:rPr>
        <w:t xml:space="preserve"> (2018)</w:t>
      </w:r>
      <w:r w:rsidRPr="00361437">
        <w:rPr>
          <w:rFonts w:ascii="Times New Roman" w:hAnsi="Times New Roman"/>
          <w:sz w:val="22"/>
          <w:szCs w:val="22"/>
        </w:rPr>
        <w:t>, 3098-3121.</w:t>
      </w:r>
    </w:p>
    <w:p w14:paraId="3157D707" w14:textId="79099DCB" w:rsidR="00E2260C" w:rsidRPr="00361437" w:rsidRDefault="00E2260C"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Chu, Y.</w:t>
      </w:r>
      <w:r w:rsidR="0061571B" w:rsidRPr="00361437">
        <w:rPr>
          <w:rFonts w:ascii="Times New Roman" w:hAnsi="Times New Roman"/>
          <w:sz w:val="22"/>
          <w:szCs w:val="22"/>
        </w:rPr>
        <w:t>;</w:t>
      </w:r>
      <w:r w:rsidRPr="00361437">
        <w:rPr>
          <w:rFonts w:ascii="Times New Roman" w:hAnsi="Times New Roman"/>
          <w:sz w:val="22"/>
          <w:szCs w:val="22"/>
        </w:rPr>
        <w:t xml:space="preserve"> </w:t>
      </w:r>
      <w:r w:rsidR="0061571B" w:rsidRPr="00361437">
        <w:rPr>
          <w:rFonts w:ascii="Times New Roman" w:hAnsi="Times New Roman"/>
          <w:sz w:val="22"/>
          <w:szCs w:val="22"/>
        </w:rPr>
        <w:t xml:space="preserve">H. </w:t>
      </w:r>
      <w:r w:rsidRPr="00361437">
        <w:rPr>
          <w:rFonts w:ascii="Times New Roman" w:hAnsi="Times New Roman"/>
          <w:sz w:val="22"/>
          <w:szCs w:val="22"/>
        </w:rPr>
        <w:t>Nguyen</w:t>
      </w:r>
      <w:r w:rsidR="0061571B" w:rsidRPr="00361437">
        <w:rPr>
          <w:rFonts w:ascii="Times New Roman" w:hAnsi="Times New Roman"/>
          <w:sz w:val="22"/>
          <w:szCs w:val="22"/>
        </w:rPr>
        <w:t>; J.</w:t>
      </w:r>
      <w:r w:rsidRPr="00361437">
        <w:rPr>
          <w:rFonts w:ascii="Times New Roman" w:hAnsi="Times New Roman"/>
          <w:sz w:val="22"/>
          <w:szCs w:val="22"/>
        </w:rPr>
        <w:t xml:space="preserve"> Wang</w:t>
      </w:r>
      <w:r w:rsidR="0061571B" w:rsidRPr="00361437">
        <w:rPr>
          <w:rFonts w:ascii="Times New Roman" w:hAnsi="Times New Roman"/>
          <w:sz w:val="22"/>
          <w:szCs w:val="22"/>
        </w:rPr>
        <w:t>;</w:t>
      </w:r>
      <w:r w:rsidRPr="00361437">
        <w:rPr>
          <w:rFonts w:ascii="Times New Roman" w:hAnsi="Times New Roman"/>
          <w:sz w:val="22"/>
          <w:szCs w:val="22"/>
        </w:rPr>
        <w:t xml:space="preserve"> </w:t>
      </w:r>
      <w:r w:rsidR="0061571B" w:rsidRPr="00361437">
        <w:rPr>
          <w:rFonts w:ascii="Times New Roman" w:hAnsi="Times New Roman"/>
          <w:sz w:val="22"/>
          <w:szCs w:val="22"/>
        </w:rPr>
        <w:t xml:space="preserve">W. </w:t>
      </w:r>
      <w:r w:rsidRPr="00361437">
        <w:rPr>
          <w:rFonts w:ascii="Times New Roman" w:hAnsi="Times New Roman"/>
          <w:sz w:val="22"/>
          <w:szCs w:val="22"/>
        </w:rPr>
        <w:t>Wang</w:t>
      </w:r>
      <w:r w:rsidR="0061571B" w:rsidRPr="00361437">
        <w:rPr>
          <w:rFonts w:ascii="Times New Roman" w:hAnsi="Times New Roman"/>
          <w:sz w:val="22"/>
          <w:szCs w:val="22"/>
        </w:rPr>
        <w:t>;</w:t>
      </w:r>
      <w:r w:rsidRPr="00361437">
        <w:rPr>
          <w:rFonts w:ascii="Times New Roman" w:hAnsi="Times New Roman"/>
          <w:sz w:val="22"/>
          <w:szCs w:val="22"/>
        </w:rPr>
        <w:t xml:space="preserve"> and </w:t>
      </w:r>
      <w:r w:rsidR="0061571B" w:rsidRPr="00361437">
        <w:rPr>
          <w:rFonts w:ascii="Times New Roman" w:hAnsi="Times New Roman"/>
          <w:sz w:val="22"/>
          <w:szCs w:val="22"/>
        </w:rPr>
        <w:t xml:space="preserve">W. </w:t>
      </w:r>
      <w:r w:rsidRPr="00361437">
        <w:rPr>
          <w:rFonts w:ascii="Times New Roman" w:hAnsi="Times New Roman"/>
          <w:sz w:val="22"/>
          <w:szCs w:val="22"/>
        </w:rPr>
        <w:t>Wang</w:t>
      </w:r>
      <w:r w:rsidR="0061571B" w:rsidRPr="00361437">
        <w:rPr>
          <w:rFonts w:ascii="Times New Roman" w:hAnsi="Times New Roman"/>
          <w:sz w:val="22"/>
          <w:szCs w:val="22"/>
        </w:rPr>
        <w:t>.</w:t>
      </w:r>
      <w:r w:rsidRPr="00361437">
        <w:rPr>
          <w:rFonts w:ascii="Times New Roman" w:hAnsi="Times New Roman"/>
          <w:sz w:val="22"/>
          <w:szCs w:val="22"/>
        </w:rPr>
        <w:t xml:space="preserve"> Simultaneous debt-equity holdings and the resolution of financial distress. Working paper</w:t>
      </w:r>
      <w:r w:rsidR="00865A66" w:rsidRPr="00361437">
        <w:rPr>
          <w:rFonts w:ascii="Times New Roman" w:hAnsi="Times New Roman"/>
          <w:sz w:val="22"/>
          <w:szCs w:val="22"/>
        </w:rPr>
        <w:t>, Indiana University (2018)</w:t>
      </w:r>
      <w:r w:rsidRPr="00361437">
        <w:rPr>
          <w:rFonts w:ascii="Times New Roman" w:hAnsi="Times New Roman"/>
          <w:sz w:val="22"/>
          <w:szCs w:val="22"/>
        </w:rPr>
        <w:t>.</w:t>
      </w:r>
    </w:p>
    <w:p w14:paraId="21AD74C7" w14:textId="1E3D59BE" w:rsidR="00895D90" w:rsidRPr="00361437" w:rsidRDefault="00895D90"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Clayton, M</w:t>
      </w:r>
      <w:r w:rsidR="00995F4A" w:rsidRPr="00361437">
        <w:rPr>
          <w:rFonts w:ascii="Times New Roman" w:hAnsi="Times New Roman"/>
          <w:sz w:val="22"/>
          <w:szCs w:val="22"/>
        </w:rPr>
        <w:t>.</w:t>
      </w:r>
      <w:r w:rsidR="00DC2331" w:rsidRPr="00361437">
        <w:rPr>
          <w:rFonts w:ascii="Times New Roman" w:hAnsi="Times New Roman"/>
          <w:sz w:val="22"/>
          <w:szCs w:val="22"/>
        </w:rPr>
        <w:t>, and</w:t>
      </w:r>
      <w:r w:rsidR="00995F4A" w:rsidRPr="00361437">
        <w:rPr>
          <w:rFonts w:ascii="Times New Roman" w:hAnsi="Times New Roman"/>
          <w:sz w:val="22"/>
          <w:szCs w:val="22"/>
        </w:rPr>
        <w:t xml:space="preserve"> </w:t>
      </w:r>
      <w:r w:rsidR="00DC2331" w:rsidRPr="00361437">
        <w:rPr>
          <w:rFonts w:ascii="Times New Roman" w:hAnsi="Times New Roman"/>
          <w:sz w:val="22"/>
          <w:szCs w:val="22"/>
        </w:rPr>
        <w:t xml:space="preserve">N. </w:t>
      </w:r>
      <w:r w:rsidRPr="00361437">
        <w:rPr>
          <w:rFonts w:ascii="Times New Roman" w:hAnsi="Times New Roman"/>
          <w:sz w:val="22"/>
          <w:szCs w:val="22"/>
        </w:rPr>
        <w:t>Reisel</w:t>
      </w:r>
      <w:r w:rsidR="00DC2331" w:rsidRPr="00361437">
        <w:rPr>
          <w:rFonts w:ascii="Times New Roman" w:hAnsi="Times New Roman"/>
          <w:sz w:val="22"/>
          <w:szCs w:val="22"/>
        </w:rPr>
        <w:t>.</w:t>
      </w:r>
      <w:r w:rsidRPr="00361437">
        <w:rPr>
          <w:rFonts w:ascii="Times New Roman" w:hAnsi="Times New Roman"/>
          <w:sz w:val="22"/>
          <w:szCs w:val="22"/>
        </w:rPr>
        <w:t xml:space="preserve"> Value creation from asset sales: New evidence from bond and stock markets. </w:t>
      </w:r>
      <w:r w:rsidR="00995F4A" w:rsidRPr="00361437">
        <w:rPr>
          <w:rFonts w:ascii="Times New Roman" w:hAnsi="Times New Roman"/>
          <w:sz w:val="22"/>
          <w:szCs w:val="22"/>
        </w:rPr>
        <w:t xml:space="preserve">Journal of </w:t>
      </w:r>
      <w:r w:rsidR="002B716B" w:rsidRPr="00361437">
        <w:rPr>
          <w:rFonts w:ascii="Times New Roman" w:hAnsi="Times New Roman"/>
          <w:sz w:val="22"/>
          <w:szCs w:val="22"/>
        </w:rPr>
        <w:t>Corporate Finance</w:t>
      </w:r>
      <w:r w:rsidR="00865A66" w:rsidRPr="00361437">
        <w:rPr>
          <w:rFonts w:ascii="Times New Roman" w:hAnsi="Times New Roman"/>
          <w:sz w:val="22"/>
          <w:szCs w:val="22"/>
        </w:rPr>
        <w:t>,</w:t>
      </w:r>
      <w:r w:rsidR="002B716B" w:rsidRPr="00361437">
        <w:rPr>
          <w:rFonts w:ascii="Times New Roman" w:hAnsi="Times New Roman"/>
          <w:sz w:val="22"/>
          <w:szCs w:val="22"/>
        </w:rPr>
        <w:t xml:space="preserve"> </w:t>
      </w:r>
      <w:r w:rsidR="00995F4A" w:rsidRPr="00361437">
        <w:rPr>
          <w:rFonts w:ascii="Times New Roman" w:hAnsi="Times New Roman"/>
          <w:sz w:val="22"/>
          <w:szCs w:val="22"/>
        </w:rPr>
        <w:t>22</w:t>
      </w:r>
      <w:r w:rsidR="00865A66" w:rsidRPr="00361437">
        <w:rPr>
          <w:rFonts w:ascii="Times New Roman" w:hAnsi="Times New Roman"/>
          <w:sz w:val="22"/>
          <w:szCs w:val="22"/>
        </w:rPr>
        <w:t xml:space="preserve"> (2013)</w:t>
      </w:r>
      <w:r w:rsidR="00995F4A" w:rsidRPr="00361437">
        <w:rPr>
          <w:rFonts w:ascii="Times New Roman" w:hAnsi="Times New Roman"/>
          <w:sz w:val="22"/>
          <w:szCs w:val="22"/>
        </w:rPr>
        <w:t>, 1-15.</w:t>
      </w:r>
    </w:p>
    <w:p w14:paraId="14E59AFC" w14:textId="2BF6633B" w:rsidR="00E354C5" w:rsidRPr="00361437" w:rsidRDefault="00D2207D"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C</w:t>
      </w:r>
      <w:r w:rsidR="00E354C5" w:rsidRPr="00361437">
        <w:rPr>
          <w:rFonts w:ascii="Times New Roman" w:hAnsi="Times New Roman"/>
          <w:sz w:val="22"/>
          <w:szCs w:val="22"/>
        </w:rPr>
        <w:t>remers, M.</w:t>
      </w:r>
      <w:r w:rsidR="00DC2331" w:rsidRPr="00361437">
        <w:rPr>
          <w:rFonts w:ascii="Times New Roman" w:hAnsi="Times New Roman"/>
          <w:sz w:val="22"/>
          <w:szCs w:val="22"/>
        </w:rPr>
        <w:t>;</w:t>
      </w:r>
      <w:r w:rsidR="00E354C5" w:rsidRPr="00361437">
        <w:rPr>
          <w:rFonts w:ascii="Times New Roman" w:hAnsi="Times New Roman"/>
          <w:sz w:val="22"/>
          <w:szCs w:val="22"/>
        </w:rPr>
        <w:t xml:space="preserve"> </w:t>
      </w:r>
      <w:r w:rsidR="00DC2331" w:rsidRPr="00361437">
        <w:rPr>
          <w:rFonts w:ascii="Times New Roman" w:hAnsi="Times New Roman"/>
          <w:sz w:val="22"/>
          <w:szCs w:val="22"/>
        </w:rPr>
        <w:t xml:space="preserve">M. A. </w:t>
      </w:r>
      <w:r w:rsidR="00E354C5" w:rsidRPr="00361437">
        <w:rPr>
          <w:rFonts w:ascii="Times New Roman" w:hAnsi="Times New Roman"/>
          <w:sz w:val="22"/>
          <w:szCs w:val="22"/>
        </w:rPr>
        <w:t>Ferreira</w:t>
      </w:r>
      <w:r w:rsidR="00DC2331" w:rsidRPr="00361437">
        <w:rPr>
          <w:rFonts w:ascii="Times New Roman" w:hAnsi="Times New Roman"/>
          <w:sz w:val="22"/>
          <w:szCs w:val="22"/>
        </w:rPr>
        <w:t>;</w:t>
      </w:r>
      <w:r w:rsidR="00E354C5" w:rsidRPr="00361437">
        <w:rPr>
          <w:rFonts w:ascii="Times New Roman" w:hAnsi="Times New Roman"/>
          <w:sz w:val="22"/>
          <w:szCs w:val="22"/>
        </w:rPr>
        <w:t xml:space="preserve"> </w:t>
      </w:r>
      <w:r w:rsidR="00DC2331" w:rsidRPr="00361437">
        <w:rPr>
          <w:rFonts w:ascii="Times New Roman" w:hAnsi="Times New Roman"/>
          <w:sz w:val="22"/>
          <w:szCs w:val="22"/>
        </w:rPr>
        <w:t xml:space="preserve">P. </w:t>
      </w:r>
      <w:r w:rsidR="00E354C5" w:rsidRPr="00361437">
        <w:rPr>
          <w:rFonts w:ascii="Times New Roman" w:hAnsi="Times New Roman"/>
          <w:sz w:val="22"/>
          <w:szCs w:val="22"/>
        </w:rPr>
        <w:t>Matos</w:t>
      </w:r>
      <w:r w:rsidR="00DC2331" w:rsidRPr="00361437">
        <w:rPr>
          <w:rFonts w:ascii="Times New Roman" w:hAnsi="Times New Roman"/>
          <w:sz w:val="22"/>
          <w:szCs w:val="22"/>
        </w:rPr>
        <w:t>; and L.</w:t>
      </w:r>
      <w:r w:rsidR="00E354C5" w:rsidRPr="00361437">
        <w:rPr>
          <w:rFonts w:ascii="Times New Roman" w:hAnsi="Times New Roman"/>
          <w:sz w:val="22"/>
          <w:szCs w:val="22"/>
        </w:rPr>
        <w:t xml:space="preserve"> Starks</w:t>
      </w:r>
      <w:r w:rsidR="00DC2331" w:rsidRPr="00361437">
        <w:rPr>
          <w:rFonts w:ascii="Times New Roman" w:hAnsi="Times New Roman"/>
          <w:sz w:val="22"/>
          <w:szCs w:val="22"/>
        </w:rPr>
        <w:t>.</w:t>
      </w:r>
      <w:r w:rsidR="00E354C5" w:rsidRPr="00361437">
        <w:rPr>
          <w:rFonts w:ascii="Times New Roman" w:hAnsi="Times New Roman"/>
          <w:sz w:val="22"/>
          <w:szCs w:val="22"/>
        </w:rPr>
        <w:t xml:space="preserve"> Indexing and active fund management: international evidence. Journal of Financial Economics</w:t>
      </w:r>
      <w:r w:rsidR="00865A66" w:rsidRPr="00361437">
        <w:rPr>
          <w:rFonts w:ascii="Times New Roman" w:hAnsi="Times New Roman"/>
          <w:sz w:val="22"/>
          <w:szCs w:val="22"/>
        </w:rPr>
        <w:t>,</w:t>
      </w:r>
      <w:r w:rsidR="00E354C5" w:rsidRPr="00361437">
        <w:rPr>
          <w:rFonts w:ascii="Times New Roman" w:hAnsi="Times New Roman"/>
          <w:sz w:val="22"/>
          <w:szCs w:val="22"/>
        </w:rPr>
        <w:t xml:space="preserve"> 120</w:t>
      </w:r>
      <w:r w:rsidR="00865A66" w:rsidRPr="00361437">
        <w:rPr>
          <w:rFonts w:ascii="Times New Roman" w:hAnsi="Times New Roman"/>
          <w:sz w:val="22"/>
          <w:szCs w:val="22"/>
        </w:rPr>
        <w:t xml:space="preserve"> (2016)</w:t>
      </w:r>
      <w:r w:rsidR="00E354C5" w:rsidRPr="00361437">
        <w:rPr>
          <w:rFonts w:ascii="Times New Roman" w:hAnsi="Times New Roman"/>
          <w:sz w:val="22"/>
          <w:szCs w:val="22"/>
        </w:rPr>
        <w:t>, 539-</w:t>
      </w:r>
      <w:r w:rsidR="009D4A43" w:rsidRPr="00361437">
        <w:rPr>
          <w:rFonts w:ascii="Times New Roman" w:hAnsi="Times New Roman"/>
          <w:sz w:val="22"/>
          <w:szCs w:val="22"/>
        </w:rPr>
        <w:t>5</w:t>
      </w:r>
      <w:r w:rsidR="00E354C5" w:rsidRPr="00361437">
        <w:rPr>
          <w:rFonts w:ascii="Times New Roman" w:hAnsi="Times New Roman"/>
          <w:sz w:val="22"/>
          <w:szCs w:val="22"/>
        </w:rPr>
        <w:t xml:space="preserve">60. </w:t>
      </w:r>
    </w:p>
    <w:p w14:paraId="39ED9E49" w14:textId="4576E892" w:rsidR="00D666C1" w:rsidRPr="00361437" w:rsidRDefault="00D666C1" w:rsidP="00865A66">
      <w:pPr>
        <w:pStyle w:val="NormalWeb"/>
        <w:spacing w:before="0" w:beforeAutospacing="0" w:after="0" w:afterAutospacing="0"/>
        <w:ind w:left="360" w:hanging="360"/>
        <w:jc w:val="both"/>
        <w:rPr>
          <w:rFonts w:ascii="Times New Roman" w:hAnsi="Times New Roman"/>
          <w:sz w:val="22"/>
          <w:szCs w:val="22"/>
        </w:rPr>
      </w:pPr>
      <w:bookmarkStart w:id="13" w:name="_Hlk14427330"/>
      <w:r w:rsidRPr="00361437">
        <w:rPr>
          <w:rFonts w:ascii="Times New Roman" w:hAnsi="Times New Roman"/>
          <w:sz w:val="22"/>
          <w:szCs w:val="22"/>
        </w:rPr>
        <w:t>DeFusco, R.</w:t>
      </w:r>
      <w:r w:rsidR="00DC2331" w:rsidRPr="00361437">
        <w:rPr>
          <w:rFonts w:ascii="Times New Roman" w:hAnsi="Times New Roman"/>
          <w:sz w:val="22"/>
          <w:szCs w:val="22"/>
        </w:rPr>
        <w:t xml:space="preserve"> </w:t>
      </w:r>
      <w:r w:rsidRPr="00361437">
        <w:rPr>
          <w:rFonts w:ascii="Times New Roman" w:hAnsi="Times New Roman"/>
          <w:sz w:val="22"/>
          <w:szCs w:val="22"/>
        </w:rPr>
        <w:t>A.</w:t>
      </w:r>
      <w:r w:rsidR="00DC2331" w:rsidRPr="00361437">
        <w:rPr>
          <w:rFonts w:ascii="Times New Roman" w:hAnsi="Times New Roman"/>
          <w:sz w:val="22"/>
          <w:szCs w:val="22"/>
        </w:rPr>
        <w:t xml:space="preserve">; R. R. </w:t>
      </w:r>
      <w:r w:rsidRPr="00361437">
        <w:rPr>
          <w:rFonts w:ascii="Times New Roman" w:hAnsi="Times New Roman"/>
          <w:sz w:val="22"/>
          <w:szCs w:val="22"/>
        </w:rPr>
        <w:t>Johnson</w:t>
      </w:r>
      <w:r w:rsidR="00DC2331" w:rsidRPr="00361437">
        <w:rPr>
          <w:rFonts w:ascii="Times New Roman" w:hAnsi="Times New Roman"/>
          <w:sz w:val="22"/>
          <w:szCs w:val="22"/>
        </w:rPr>
        <w:t>; and</w:t>
      </w:r>
      <w:r w:rsidRPr="00361437">
        <w:rPr>
          <w:rFonts w:ascii="Times New Roman" w:hAnsi="Times New Roman"/>
          <w:sz w:val="22"/>
          <w:szCs w:val="22"/>
        </w:rPr>
        <w:t xml:space="preserve"> </w:t>
      </w:r>
      <w:r w:rsidR="00DC2331" w:rsidRPr="00361437">
        <w:rPr>
          <w:rFonts w:ascii="Times New Roman" w:hAnsi="Times New Roman"/>
          <w:sz w:val="22"/>
          <w:szCs w:val="22"/>
        </w:rPr>
        <w:t xml:space="preserve">T. S. </w:t>
      </w:r>
      <w:r w:rsidRPr="00361437">
        <w:rPr>
          <w:rFonts w:ascii="Times New Roman" w:hAnsi="Times New Roman"/>
          <w:sz w:val="22"/>
          <w:szCs w:val="22"/>
        </w:rPr>
        <w:t xml:space="preserve">Zorn. The </w:t>
      </w:r>
      <w:r w:rsidR="00590F94" w:rsidRPr="00361437">
        <w:rPr>
          <w:rFonts w:ascii="Times New Roman" w:hAnsi="Times New Roman"/>
          <w:sz w:val="22"/>
          <w:szCs w:val="22"/>
        </w:rPr>
        <w:t>effect of executive stock option plans on stockholders and bondholders</w:t>
      </w:r>
      <w:r w:rsidR="002B716B" w:rsidRPr="00361437">
        <w:rPr>
          <w:rFonts w:ascii="Times New Roman" w:hAnsi="Times New Roman"/>
          <w:sz w:val="22"/>
          <w:szCs w:val="22"/>
        </w:rPr>
        <w:t>.</w:t>
      </w:r>
      <w:r w:rsidRPr="00361437">
        <w:rPr>
          <w:rFonts w:ascii="Times New Roman" w:hAnsi="Times New Roman"/>
          <w:sz w:val="22"/>
          <w:szCs w:val="22"/>
        </w:rPr>
        <w:t xml:space="preserve"> Journal of Finance</w:t>
      </w:r>
      <w:r w:rsidR="00865A66" w:rsidRPr="00361437">
        <w:rPr>
          <w:rFonts w:ascii="Times New Roman" w:hAnsi="Times New Roman"/>
          <w:sz w:val="22"/>
          <w:szCs w:val="22"/>
        </w:rPr>
        <w:t>,</w:t>
      </w:r>
      <w:r w:rsidRPr="00361437">
        <w:rPr>
          <w:rFonts w:ascii="Times New Roman" w:hAnsi="Times New Roman"/>
          <w:sz w:val="22"/>
          <w:szCs w:val="22"/>
        </w:rPr>
        <w:t xml:space="preserve"> 45</w:t>
      </w:r>
      <w:r w:rsidR="00865A66" w:rsidRPr="00361437">
        <w:rPr>
          <w:rFonts w:ascii="Times New Roman" w:hAnsi="Times New Roman"/>
          <w:sz w:val="22"/>
          <w:szCs w:val="22"/>
        </w:rPr>
        <w:t xml:space="preserve"> (1990)</w:t>
      </w:r>
      <w:r w:rsidRPr="00361437">
        <w:rPr>
          <w:rFonts w:ascii="Times New Roman" w:hAnsi="Times New Roman"/>
          <w:sz w:val="22"/>
          <w:szCs w:val="22"/>
        </w:rPr>
        <w:t>, 617-627</w:t>
      </w:r>
      <w:r w:rsidR="002B716B" w:rsidRPr="00361437">
        <w:rPr>
          <w:rFonts w:ascii="Times New Roman" w:hAnsi="Times New Roman"/>
          <w:sz w:val="22"/>
          <w:szCs w:val="22"/>
        </w:rPr>
        <w:t>.</w:t>
      </w:r>
    </w:p>
    <w:p w14:paraId="26654EF4" w14:textId="6A9920EA" w:rsidR="00B6720F" w:rsidRPr="00361437" w:rsidRDefault="00B6720F"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 xml:space="preserve">Dhillon, U. S., </w:t>
      </w:r>
      <w:r w:rsidR="00DC2331" w:rsidRPr="00361437">
        <w:rPr>
          <w:rFonts w:ascii="Times New Roman" w:hAnsi="Times New Roman"/>
          <w:sz w:val="22"/>
          <w:szCs w:val="22"/>
        </w:rPr>
        <w:t xml:space="preserve">and H. </w:t>
      </w:r>
      <w:r w:rsidRPr="00361437">
        <w:rPr>
          <w:rFonts w:ascii="Times New Roman" w:hAnsi="Times New Roman"/>
          <w:sz w:val="22"/>
          <w:szCs w:val="22"/>
        </w:rPr>
        <w:t xml:space="preserve">Johnson. The </w:t>
      </w:r>
      <w:r w:rsidR="00590F94" w:rsidRPr="00361437">
        <w:rPr>
          <w:rFonts w:ascii="Times New Roman" w:hAnsi="Times New Roman"/>
          <w:sz w:val="22"/>
          <w:szCs w:val="22"/>
        </w:rPr>
        <w:t>effect of dividend changes on stock and bond prices</w:t>
      </w:r>
      <w:r w:rsidR="002B716B" w:rsidRPr="00361437">
        <w:rPr>
          <w:rFonts w:ascii="Times New Roman" w:hAnsi="Times New Roman"/>
          <w:sz w:val="22"/>
          <w:szCs w:val="22"/>
        </w:rPr>
        <w:t>.</w:t>
      </w:r>
      <w:r w:rsidRPr="00361437">
        <w:rPr>
          <w:rFonts w:ascii="Times New Roman" w:hAnsi="Times New Roman"/>
          <w:sz w:val="22"/>
          <w:szCs w:val="22"/>
        </w:rPr>
        <w:t xml:space="preserve"> Journal of Finance</w:t>
      </w:r>
      <w:r w:rsidR="00865A66" w:rsidRPr="00361437">
        <w:rPr>
          <w:rFonts w:ascii="Times New Roman" w:hAnsi="Times New Roman"/>
          <w:sz w:val="22"/>
          <w:szCs w:val="22"/>
        </w:rPr>
        <w:t>,</w:t>
      </w:r>
      <w:r w:rsidRPr="00361437">
        <w:rPr>
          <w:rFonts w:ascii="Times New Roman" w:hAnsi="Times New Roman"/>
          <w:sz w:val="22"/>
          <w:szCs w:val="22"/>
        </w:rPr>
        <w:t xml:space="preserve"> 49</w:t>
      </w:r>
      <w:r w:rsidR="00865A66" w:rsidRPr="00361437">
        <w:rPr>
          <w:rFonts w:ascii="Times New Roman" w:hAnsi="Times New Roman"/>
          <w:sz w:val="22"/>
          <w:szCs w:val="22"/>
        </w:rPr>
        <w:t xml:space="preserve"> (1994)</w:t>
      </w:r>
      <w:r w:rsidRPr="00361437">
        <w:rPr>
          <w:rFonts w:ascii="Times New Roman" w:hAnsi="Times New Roman"/>
          <w:sz w:val="22"/>
          <w:szCs w:val="22"/>
        </w:rPr>
        <w:t>,</w:t>
      </w:r>
      <w:r w:rsidR="002B716B" w:rsidRPr="00361437">
        <w:rPr>
          <w:rFonts w:ascii="Times New Roman" w:hAnsi="Times New Roman"/>
          <w:sz w:val="22"/>
          <w:szCs w:val="22"/>
        </w:rPr>
        <w:t xml:space="preserve"> </w:t>
      </w:r>
      <w:r w:rsidRPr="00361437">
        <w:rPr>
          <w:rFonts w:ascii="Times New Roman" w:hAnsi="Times New Roman"/>
          <w:sz w:val="22"/>
          <w:szCs w:val="22"/>
        </w:rPr>
        <w:t>81-289</w:t>
      </w:r>
      <w:r w:rsidR="002B716B" w:rsidRPr="00361437">
        <w:rPr>
          <w:rFonts w:ascii="Times New Roman" w:hAnsi="Times New Roman"/>
          <w:sz w:val="22"/>
          <w:szCs w:val="22"/>
        </w:rPr>
        <w:t>.</w:t>
      </w:r>
    </w:p>
    <w:p w14:paraId="77C269BE" w14:textId="6C46D8CD" w:rsidR="00D666C1" w:rsidRPr="00361437" w:rsidRDefault="00D666C1"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 xml:space="preserve">Eberhart, A. C., </w:t>
      </w:r>
      <w:r w:rsidR="00DC2331" w:rsidRPr="00361437">
        <w:rPr>
          <w:rFonts w:ascii="Times New Roman" w:hAnsi="Times New Roman"/>
          <w:sz w:val="22"/>
          <w:szCs w:val="22"/>
        </w:rPr>
        <w:t xml:space="preserve">and A. </w:t>
      </w:r>
      <w:r w:rsidRPr="00361437">
        <w:rPr>
          <w:rFonts w:ascii="Times New Roman" w:hAnsi="Times New Roman"/>
          <w:sz w:val="22"/>
          <w:szCs w:val="22"/>
        </w:rPr>
        <w:t>Siddique</w:t>
      </w:r>
      <w:r w:rsidR="00DC2331" w:rsidRPr="00361437">
        <w:rPr>
          <w:rFonts w:ascii="Times New Roman" w:hAnsi="Times New Roman"/>
          <w:sz w:val="22"/>
          <w:szCs w:val="22"/>
        </w:rPr>
        <w:t>.</w:t>
      </w:r>
      <w:r w:rsidRPr="00361437">
        <w:rPr>
          <w:rFonts w:ascii="Times New Roman" w:hAnsi="Times New Roman"/>
          <w:sz w:val="22"/>
          <w:szCs w:val="22"/>
        </w:rPr>
        <w:t xml:space="preserve"> The</w:t>
      </w:r>
      <w:r w:rsidR="00590F94" w:rsidRPr="00361437">
        <w:rPr>
          <w:rFonts w:ascii="Times New Roman" w:hAnsi="Times New Roman"/>
          <w:sz w:val="22"/>
          <w:szCs w:val="22"/>
        </w:rPr>
        <w:t xml:space="preserve"> long-term performance of corporate bonds (and stocks) following seasoned equity offerings</w:t>
      </w:r>
      <w:r w:rsidR="002B716B" w:rsidRPr="00361437">
        <w:rPr>
          <w:rFonts w:ascii="Times New Roman" w:hAnsi="Times New Roman"/>
          <w:sz w:val="22"/>
          <w:szCs w:val="22"/>
        </w:rPr>
        <w:t>.</w:t>
      </w:r>
      <w:r w:rsidRPr="00361437">
        <w:rPr>
          <w:rFonts w:ascii="Times New Roman" w:hAnsi="Times New Roman"/>
          <w:sz w:val="22"/>
          <w:szCs w:val="22"/>
        </w:rPr>
        <w:t xml:space="preserve"> Review of Financial Studies</w:t>
      </w:r>
      <w:r w:rsidR="00865A66" w:rsidRPr="00361437">
        <w:rPr>
          <w:rFonts w:ascii="Times New Roman" w:hAnsi="Times New Roman"/>
          <w:sz w:val="22"/>
          <w:szCs w:val="22"/>
        </w:rPr>
        <w:t>,</w:t>
      </w:r>
      <w:r w:rsidRPr="00361437">
        <w:rPr>
          <w:rFonts w:ascii="Times New Roman" w:hAnsi="Times New Roman"/>
          <w:sz w:val="22"/>
          <w:szCs w:val="22"/>
        </w:rPr>
        <w:t xml:space="preserve"> 15</w:t>
      </w:r>
      <w:r w:rsidR="00865A66" w:rsidRPr="00361437">
        <w:rPr>
          <w:rFonts w:ascii="Times New Roman" w:hAnsi="Times New Roman"/>
          <w:sz w:val="22"/>
          <w:szCs w:val="22"/>
        </w:rPr>
        <w:t xml:space="preserve"> (2002)</w:t>
      </w:r>
      <w:r w:rsidRPr="00361437">
        <w:rPr>
          <w:rFonts w:ascii="Times New Roman" w:hAnsi="Times New Roman"/>
          <w:sz w:val="22"/>
          <w:szCs w:val="22"/>
        </w:rPr>
        <w:t>, 1385-1406</w:t>
      </w:r>
      <w:r w:rsidR="002B716B" w:rsidRPr="00361437">
        <w:rPr>
          <w:rFonts w:ascii="Times New Roman" w:hAnsi="Times New Roman"/>
          <w:sz w:val="22"/>
          <w:szCs w:val="22"/>
        </w:rPr>
        <w:t>.</w:t>
      </w:r>
    </w:p>
    <w:bookmarkEnd w:id="13"/>
    <w:p w14:paraId="3D83A35C" w14:textId="7DC50A38" w:rsidR="002B716B" w:rsidRPr="00361437" w:rsidRDefault="002B716B"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Cragg, J.</w:t>
      </w:r>
      <w:r w:rsidR="00DC2331" w:rsidRPr="00361437">
        <w:rPr>
          <w:rFonts w:ascii="Times New Roman" w:hAnsi="Times New Roman"/>
          <w:sz w:val="22"/>
          <w:szCs w:val="22"/>
        </w:rPr>
        <w:t xml:space="preserve"> </w:t>
      </w:r>
      <w:r w:rsidRPr="00361437">
        <w:rPr>
          <w:rFonts w:ascii="Times New Roman" w:hAnsi="Times New Roman"/>
          <w:sz w:val="22"/>
          <w:szCs w:val="22"/>
        </w:rPr>
        <w:t>G.,</w:t>
      </w:r>
      <w:r w:rsidR="00DC2331" w:rsidRPr="00361437">
        <w:rPr>
          <w:rFonts w:ascii="Times New Roman" w:hAnsi="Times New Roman"/>
          <w:sz w:val="22"/>
          <w:szCs w:val="22"/>
        </w:rPr>
        <w:t xml:space="preserve"> and</w:t>
      </w:r>
      <w:r w:rsidRPr="00361437">
        <w:rPr>
          <w:rFonts w:ascii="Times New Roman" w:hAnsi="Times New Roman"/>
          <w:sz w:val="22"/>
          <w:szCs w:val="22"/>
        </w:rPr>
        <w:t xml:space="preserve"> </w:t>
      </w:r>
      <w:r w:rsidR="00DC2331" w:rsidRPr="00361437">
        <w:rPr>
          <w:rFonts w:ascii="Times New Roman" w:hAnsi="Times New Roman"/>
          <w:sz w:val="22"/>
          <w:szCs w:val="22"/>
        </w:rPr>
        <w:t xml:space="preserve">S. G. </w:t>
      </w:r>
      <w:r w:rsidRPr="00361437">
        <w:rPr>
          <w:rFonts w:ascii="Times New Roman" w:hAnsi="Times New Roman"/>
          <w:sz w:val="22"/>
          <w:szCs w:val="22"/>
        </w:rPr>
        <w:t>Donald. Testing identifiability and specification in instrumental variable models. Econometric Theory</w:t>
      </w:r>
      <w:r w:rsidR="00865A66" w:rsidRPr="00361437">
        <w:rPr>
          <w:rFonts w:ascii="Times New Roman" w:hAnsi="Times New Roman"/>
          <w:sz w:val="22"/>
          <w:szCs w:val="22"/>
        </w:rPr>
        <w:t>,</w:t>
      </w:r>
      <w:r w:rsidRPr="00361437">
        <w:rPr>
          <w:rFonts w:ascii="Times New Roman" w:hAnsi="Times New Roman"/>
          <w:sz w:val="22"/>
          <w:szCs w:val="22"/>
        </w:rPr>
        <w:t xml:space="preserve"> 9</w:t>
      </w:r>
      <w:r w:rsidR="00865A66" w:rsidRPr="00361437">
        <w:rPr>
          <w:rFonts w:ascii="Times New Roman" w:hAnsi="Times New Roman"/>
          <w:sz w:val="22"/>
          <w:szCs w:val="22"/>
        </w:rPr>
        <w:t xml:space="preserve"> (1993)</w:t>
      </w:r>
      <w:r w:rsidRPr="00361437">
        <w:rPr>
          <w:rFonts w:ascii="Times New Roman" w:hAnsi="Times New Roman"/>
          <w:sz w:val="22"/>
          <w:szCs w:val="22"/>
        </w:rPr>
        <w:t>, 222-240.</w:t>
      </w:r>
    </w:p>
    <w:p w14:paraId="29C2A80F" w14:textId="516DA54F" w:rsidR="008C4621" w:rsidRPr="00361437" w:rsidRDefault="008C4621"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Fich, E.</w:t>
      </w:r>
      <w:r w:rsidR="00DC2331" w:rsidRPr="00361437">
        <w:rPr>
          <w:rFonts w:ascii="Times New Roman" w:hAnsi="Times New Roman"/>
          <w:sz w:val="22"/>
          <w:szCs w:val="22"/>
        </w:rPr>
        <w:t>;</w:t>
      </w:r>
      <w:r w:rsidRPr="00361437">
        <w:rPr>
          <w:rFonts w:ascii="Times New Roman" w:hAnsi="Times New Roman"/>
          <w:sz w:val="22"/>
          <w:szCs w:val="22"/>
        </w:rPr>
        <w:t xml:space="preserve"> </w:t>
      </w:r>
      <w:r w:rsidR="00DC2331" w:rsidRPr="00361437">
        <w:rPr>
          <w:rFonts w:ascii="Times New Roman" w:hAnsi="Times New Roman"/>
          <w:sz w:val="22"/>
          <w:szCs w:val="22"/>
        </w:rPr>
        <w:t xml:space="preserve">J. </w:t>
      </w:r>
      <w:r w:rsidRPr="00361437">
        <w:rPr>
          <w:rFonts w:ascii="Times New Roman" w:hAnsi="Times New Roman"/>
          <w:sz w:val="22"/>
          <w:szCs w:val="22"/>
        </w:rPr>
        <w:t>Harford</w:t>
      </w:r>
      <w:r w:rsidR="00DC2331" w:rsidRPr="00361437">
        <w:rPr>
          <w:rFonts w:ascii="Times New Roman" w:hAnsi="Times New Roman"/>
          <w:sz w:val="22"/>
          <w:szCs w:val="22"/>
        </w:rPr>
        <w:t>; and</w:t>
      </w:r>
      <w:r w:rsidR="00CA745B" w:rsidRPr="00361437">
        <w:rPr>
          <w:rFonts w:ascii="Times New Roman" w:hAnsi="Times New Roman"/>
          <w:sz w:val="22"/>
          <w:szCs w:val="22"/>
        </w:rPr>
        <w:t xml:space="preserve"> </w:t>
      </w:r>
      <w:r w:rsidR="00DC2331" w:rsidRPr="00361437">
        <w:rPr>
          <w:rFonts w:ascii="Times New Roman" w:hAnsi="Times New Roman"/>
          <w:sz w:val="22"/>
          <w:szCs w:val="22"/>
        </w:rPr>
        <w:t xml:space="preserve">A. L. </w:t>
      </w:r>
      <w:r w:rsidRPr="00361437">
        <w:rPr>
          <w:rFonts w:ascii="Times New Roman" w:hAnsi="Times New Roman"/>
          <w:sz w:val="22"/>
          <w:szCs w:val="22"/>
        </w:rPr>
        <w:t>Tran</w:t>
      </w:r>
      <w:r w:rsidR="00CA745B" w:rsidRPr="00361437">
        <w:rPr>
          <w:rFonts w:ascii="Times New Roman" w:hAnsi="Times New Roman"/>
          <w:sz w:val="22"/>
          <w:szCs w:val="22"/>
        </w:rPr>
        <w:t xml:space="preserve">. </w:t>
      </w:r>
      <w:r w:rsidRPr="00361437">
        <w:rPr>
          <w:rFonts w:ascii="Times New Roman" w:hAnsi="Times New Roman"/>
          <w:sz w:val="22"/>
          <w:szCs w:val="22"/>
        </w:rPr>
        <w:t>Motivated monitors: The importance of institutional investors׳ portfolio weights. Journal of Financial Economics</w:t>
      </w:r>
      <w:r w:rsidR="00865A66" w:rsidRPr="00361437">
        <w:rPr>
          <w:rFonts w:ascii="Times New Roman" w:hAnsi="Times New Roman"/>
          <w:sz w:val="22"/>
          <w:szCs w:val="22"/>
        </w:rPr>
        <w:t>,</w:t>
      </w:r>
      <w:r w:rsidRPr="00361437">
        <w:rPr>
          <w:rFonts w:ascii="Times New Roman" w:hAnsi="Times New Roman"/>
          <w:sz w:val="22"/>
          <w:szCs w:val="22"/>
        </w:rPr>
        <w:t xml:space="preserve"> 118</w:t>
      </w:r>
      <w:r w:rsidR="00865A66" w:rsidRPr="00361437">
        <w:rPr>
          <w:rFonts w:ascii="Times New Roman" w:hAnsi="Times New Roman"/>
          <w:sz w:val="22"/>
          <w:szCs w:val="22"/>
        </w:rPr>
        <w:t xml:space="preserve"> (2015)</w:t>
      </w:r>
      <w:r w:rsidRPr="00361437">
        <w:rPr>
          <w:rFonts w:ascii="Times New Roman" w:hAnsi="Times New Roman"/>
          <w:sz w:val="22"/>
          <w:szCs w:val="22"/>
        </w:rPr>
        <w:t>, 21-48.</w:t>
      </w:r>
    </w:p>
    <w:p w14:paraId="0EAFEE4C" w14:textId="5A5CD63C" w:rsidR="00F202CA" w:rsidRPr="00361437" w:rsidRDefault="00F202CA"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 xml:space="preserve">Gopalan, R., </w:t>
      </w:r>
      <w:r w:rsidR="00DC2331" w:rsidRPr="00361437">
        <w:rPr>
          <w:rFonts w:ascii="Times New Roman" w:hAnsi="Times New Roman"/>
          <w:sz w:val="22"/>
          <w:szCs w:val="22"/>
        </w:rPr>
        <w:t xml:space="preserve">and K. </w:t>
      </w:r>
      <w:r w:rsidRPr="00361437">
        <w:rPr>
          <w:rFonts w:ascii="Times New Roman" w:hAnsi="Times New Roman"/>
          <w:sz w:val="22"/>
          <w:szCs w:val="22"/>
        </w:rPr>
        <w:t>Xie. Conglomerates and industry distress. Review of Financial Studies</w:t>
      </w:r>
      <w:r w:rsidR="00865A66" w:rsidRPr="00361437">
        <w:rPr>
          <w:rFonts w:ascii="Times New Roman" w:hAnsi="Times New Roman"/>
          <w:sz w:val="22"/>
          <w:szCs w:val="22"/>
        </w:rPr>
        <w:t>,</w:t>
      </w:r>
      <w:r w:rsidRPr="00361437">
        <w:rPr>
          <w:rFonts w:ascii="Times New Roman" w:hAnsi="Times New Roman"/>
          <w:sz w:val="22"/>
          <w:szCs w:val="22"/>
        </w:rPr>
        <w:t xml:space="preserve"> 24</w:t>
      </w:r>
      <w:r w:rsidR="00865A66" w:rsidRPr="00361437">
        <w:rPr>
          <w:rFonts w:ascii="Times New Roman" w:hAnsi="Times New Roman"/>
          <w:sz w:val="22"/>
          <w:szCs w:val="22"/>
        </w:rPr>
        <w:t xml:space="preserve"> (2011)</w:t>
      </w:r>
      <w:r w:rsidRPr="00361437">
        <w:rPr>
          <w:rFonts w:ascii="Times New Roman" w:hAnsi="Times New Roman"/>
          <w:sz w:val="22"/>
          <w:szCs w:val="22"/>
        </w:rPr>
        <w:t>, 3642-3687.</w:t>
      </w:r>
    </w:p>
    <w:p w14:paraId="7E4B2394" w14:textId="60FCF165" w:rsidR="004231B2" w:rsidRPr="00361437" w:rsidRDefault="004231B2"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He, J</w:t>
      </w:r>
      <w:r w:rsidR="00374382" w:rsidRPr="00361437">
        <w:rPr>
          <w:rFonts w:ascii="Times New Roman" w:hAnsi="Times New Roman"/>
          <w:sz w:val="22"/>
          <w:szCs w:val="22"/>
        </w:rPr>
        <w:t>.</w:t>
      </w:r>
      <w:r w:rsidRPr="00361437">
        <w:rPr>
          <w:rFonts w:ascii="Times New Roman" w:hAnsi="Times New Roman"/>
          <w:sz w:val="22"/>
          <w:szCs w:val="22"/>
        </w:rPr>
        <w:t xml:space="preserve">, </w:t>
      </w:r>
      <w:r w:rsidR="00DC2331" w:rsidRPr="00361437">
        <w:rPr>
          <w:rFonts w:ascii="Times New Roman" w:hAnsi="Times New Roman"/>
          <w:sz w:val="22"/>
          <w:szCs w:val="22"/>
        </w:rPr>
        <w:t xml:space="preserve">and J. </w:t>
      </w:r>
      <w:r w:rsidRPr="00361437">
        <w:rPr>
          <w:rFonts w:ascii="Times New Roman" w:hAnsi="Times New Roman"/>
          <w:sz w:val="22"/>
          <w:szCs w:val="22"/>
        </w:rPr>
        <w:t>Huang. Product market competition in a world of cross ownership: Evidence from institutional blockholdings, Review of Financial Studies</w:t>
      </w:r>
      <w:r w:rsidR="00865A66" w:rsidRPr="00361437">
        <w:rPr>
          <w:rFonts w:ascii="Times New Roman" w:hAnsi="Times New Roman"/>
          <w:sz w:val="22"/>
          <w:szCs w:val="22"/>
        </w:rPr>
        <w:t xml:space="preserve">, </w:t>
      </w:r>
      <w:r w:rsidRPr="00361437">
        <w:rPr>
          <w:rFonts w:ascii="Times New Roman" w:hAnsi="Times New Roman"/>
          <w:sz w:val="22"/>
          <w:szCs w:val="22"/>
        </w:rPr>
        <w:t>30</w:t>
      </w:r>
      <w:r w:rsidR="00865A66" w:rsidRPr="00361437">
        <w:rPr>
          <w:rFonts w:ascii="Times New Roman" w:hAnsi="Times New Roman"/>
          <w:sz w:val="22"/>
          <w:szCs w:val="22"/>
        </w:rPr>
        <w:t xml:space="preserve"> (2017)</w:t>
      </w:r>
      <w:r w:rsidRPr="00361437">
        <w:rPr>
          <w:rFonts w:ascii="Times New Roman" w:hAnsi="Times New Roman"/>
          <w:sz w:val="22"/>
          <w:szCs w:val="22"/>
        </w:rPr>
        <w:t>, 2674</w:t>
      </w:r>
      <w:r w:rsidR="00374382" w:rsidRPr="00361437">
        <w:rPr>
          <w:rFonts w:ascii="Times New Roman" w:hAnsi="Times New Roman"/>
          <w:sz w:val="22"/>
          <w:szCs w:val="22"/>
        </w:rPr>
        <w:t>-</w:t>
      </w:r>
      <w:r w:rsidRPr="00361437">
        <w:rPr>
          <w:rFonts w:ascii="Times New Roman" w:hAnsi="Times New Roman"/>
          <w:sz w:val="22"/>
          <w:szCs w:val="22"/>
        </w:rPr>
        <w:t>2718.</w:t>
      </w:r>
    </w:p>
    <w:p w14:paraId="7B2FCA8A" w14:textId="105C5B88" w:rsidR="00E354C5" w:rsidRPr="00361437" w:rsidRDefault="00E354C5"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 xml:space="preserve">Iliev, P., </w:t>
      </w:r>
      <w:r w:rsidR="00DC2331" w:rsidRPr="00361437">
        <w:rPr>
          <w:rFonts w:ascii="Times New Roman" w:hAnsi="Times New Roman"/>
          <w:sz w:val="22"/>
          <w:szCs w:val="22"/>
        </w:rPr>
        <w:t xml:space="preserve">and M. </w:t>
      </w:r>
      <w:r w:rsidRPr="00361437">
        <w:rPr>
          <w:rFonts w:ascii="Times New Roman" w:hAnsi="Times New Roman"/>
          <w:sz w:val="22"/>
          <w:szCs w:val="22"/>
        </w:rPr>
        <w:t>Lowry. Are mutual funds active voters? Review of Financial Studies</w:t>
      </w:r>
      <w:r w:rsidR="00865A66" w:rsidRPr="00361437">
        <w:rPr>
          <w:rFonts w:ascii="Times New Roman" w:hAnsi="Times New Roman"/>
          <w:sz w:val="22"/>
          <w:szCs w:val="22"/>
        </w:rPr>
        <w:t>,</w:t>
      </w:r>
      <w:r w:rsidRPr="00361437">
        <w:rPr>
          <w:rFonts w:ascii="Times New Roman" w:hAnsi="Times New Roman"/>
          <w:sz w:val="22"/>
          <w:szCs w:val="22"/>
        </w:rPr>
        <w:t xml:space="preserve"> 28</w:t>
      </w:r>
      <w:r w:rsidR="00865A66" w:rsidRPr="00361437">
        <w:rPr>
          <w:rFonts w:ascii="Times New Roman" w:hAnsi="Times New Roman"/>
          <w:sz w:val="22"/>
          <w:szCs w:val="22"/>
        </w:rPr>
        <w:t xml:space="preserve"> (2015)</w:t>
      </w:r>
      <w:r w:rsidRPr="00361437">
        <w:rPr>
          <w:rFonts w:ascii="Times New Roman" w:hAnsi="Times New Roman"/>
          <w:sz w:val="22"/>
          <w:szCs w:val="22"/>
        </w:rPr>
        <w:t xml:space="preserve">, 446-485. </w:t>
      </w:r>
    </w:p>
    <w:p w14:paraId="575CB54E" w14:textId="493D0C1B" w:rsidR="006E3F52" w:rsidRPr="00361437" w:rsidRDefault="006E3F52" w:rsidP="00865A66">
      <w:pPr>
        <w:ind w:left="360" w:hanging="360"/>
        <w:jc w:val="both"/>
        <w:rPr>
          <w:rFonts w:cs="Times New Roman"/>
        </w:rPr>
      </w:pPr>
      <w:r w:rsidRPr="00361437">
        <w:rPr>
          <w:rFonts w:cs="Times New Roman"/>
        </w:rPr>
        <w:t>Jiang, W.</w:t>
      </w:r>
      <w:r w:rsidR="00DC2331" w:rsidRPr="00361437">
        <w:rPr>
          <w:rFonts w:cs="Times New Roman"/>
        </w:rPr>
        <w:t xml:space="preserve">; K. </w:t>
      </w:r>
      <w:r w:rsidRPr="00361437">
        <w:rPr>
          <w:rFonts w:cs="Times New Roman"/>
        </w:rPr>
        <w:t>Li</w:t>
      </w:r>
      <w:r w:rsidR="00DC2331" w:rsidRPr="00361437">
        <w:rPr>
          <w:rFonts w:cs="Times New Roman"/>
        </w:rPr>
        <w:t>; and P.</w:t>
      </w:r>
      <w:r w:rsidR="008469FD" w:rsidRPr="00361437">
        <w:rPr>
          <w:rFonts w:cs="Times New Roman"/>
        </w:rPr>
        <w:t xml:space="preserve"> </w:t>
      </w:r>
      <w:r w:rsidRPr="00361437">
        <w:rPr>
          <w:rFonts w:cs="Times New Roman"/>
        </w:rPr>
        <w:t>Shao. When shareholders are creditors: Effects of the simultaneous holding of equity and debt by non-commercial banking institutions. Review of Financial Studies</w:t>
      </w:r>
      <w:r w:rsidR="00865A66" w:rsidRPr="00361437">
        <w:rPr>
          <w:rFonts w:cs="Times New Roman"/>
        </w:rPr>
        <w:t>,</w:t>
      </w:r>
      <w:r w:rsidRPr="00361437">
        <w:rPr>
          <w:rFonts w:cs="Times New Roman"/>
        </w:rPr>
        <w:t xml:space="preserve"> 23</w:t>
      </w:r>
      <w:r w:rsidR="00865A66" w:rsidRPr="00361437">
        <w:rPr>
          <w:rFonts w:cs="Times New Roman"/>
        </w:rPr>
        <w:t xml:space="preserve"> (2010)</w:t>
      </w:r>
      <w:r w:rsidRPr="00361437">
        <w:rPr>
          <w:rFonts w:cs="Times New Roman"/>
        </w:rPr>
        <w:t>, 3595-3637.</w:t>
      </w:r>
    </w:p>
    <w:p w14:paraId="737A08FD" w14:textId="15A28063" w:rsidR="00E354C5" w:rsidRPr="00361437" w:rsidRDefault="00613DA5" w:rsidP="00865A66">
      <w:pPr>
        <w:ind w:left="360" w:hanging="360"/>
        <w:jc w:val="both"/>
        <w:rPr>
          <w:rFonts w:cs="Times New Roman"/>
        </w:rPr>
      </w:pPr>
      <w:r w:rsidRPr="00361437">
        <w:rPr>
          <w:rFonts w:cs="Times New Roman"/>
        </w:rPr>
        <w:t>Keswani, A.</w:t>
      </w:r>
      <w:r w:rsidR="00DC2331" w:rsidRPr="00361437">
        <w:rPr>
          <w:rFonts w:cs="Times New Roman"/>
        </w:rPr>
        <w:t>;</w:t>
      </w:r>
      <w:r w:rsidRPr="00361437">
        <w:rPr>
          <w:rFonts w:cs="Times New Roman"/>
        </w:rPr>
        <w:t xml:space="preserve"> </w:t>
      </w:r>
      <w:r w:rsidR="00DC2331" w:rsidRPr="00361437">
        <w:rPr>
          <w:rFonts w:cs="Times New Roman"/>
        </w:rPr>
        <w:t xml:space="preserve">D. </w:t>
      </w:r>
      <w:r w:rsidRPr="00361437">
        <w:rPr>
          <w:rFonts w:cs="Times New Roman"/>
        </w:rPr>
        <w:t>Stolin</w:t>
      </w:r>
      <w:r w:rsidR="00DC2331" w:rsidRPr="00361437">
        <w:rPr>
          <w:rFonts w:cs="Times New Roman"/>
        </w:rPr>
        <w:t xml:space="preserve">; A. L. </w:t>
      </w:r>
      <w:r w:rsidR="00E354C5" w:rsidRPr="00361437">
        <w:rPr>
          <w:rFonts w:cs="Times New Roman"/>
        </w:rPr>
        <w:t>Tran. Frenemies: how do financial</w:t>
      </w:r>
      <w:r w:rsidRPr="00361437">
        <w:rPr>
          <w:rFonts w:cs="Times New Roman"/>
        </w:rPr>
        <w:t xml:space="preserve"> firms vote on their own kind? </w:t>
      </w:r>
      <w:r w:rsidR="00E354C5" w:rsidRPr="00361437">
        <w:rPr>
          <w:rFonts w:cs="Times New Roman"/>
        </w:rPr>
        <w:t>Management Science</w:t>
      </w:r>
      <w:r w:rsidR="00865A66" w:rsidRPr="00361437">
        <w:rPr>
          <w:rFonts w:cs="Times New Roman"/>
        </w:rPr>
        <w:t>,</w:t>
      </w:r>
      <w:r w:rsidR="00E354C5" w:rsidRPr="00361437">
        <w:rPr>
          <w:rFonts w:cs="Times New Roman"/>
        </w:rPr>
        <w:t xml:space="preserve"> 63</w:t>
      </w:r>
      <w:r w:rsidR="00865A66" w:rsidRPr="00361437">
        <w:rPr>
          <w:rFonts w:cs="Times New Roman"/>
        </w:rPr>
        <w:t xml:space="preserve"> (2017)</w:t>
      </w:r>
      <w:r w:rsidR="00E354C5" w:rsidRPr="00361437">
        <w:rPr>
          <w:rFonts w:cs="Times New Roman"/>
        </w:rPr>
        <w:t>, 631-</w:t>
      </w:r>
      <w:r w:rsidR="009D4A43" w:rsidRPr="00361437">
        <w:rPr>
          <w:rFonts w:cs="Times New Roman"/>
        </w:rPr>
        <w:t>6</w:t>
      </w:r>
      <w:r w:rsidR="00E354C5" w:rsidRPr="00361437">
        <w:rPr>
          <w:rFonts w:cs="Times New Roman"/>
        </w:rPr>
        <w:t>54.</w:t>
      </w:r>
    </w:p>
    <w:p w14:paraId="323E8BB3" w14:textId="39DDB8B7" w:rsidR="00AD5596" w:rsidRPr="00361437" w:rsidRDefault="00AD5596"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lastRenderedPageBreak/>
        <w:t xml:space="preserve">Matvos, G., </w:t>
      </w:r>
      <w:r w:rsidR="00DC2331" w:rsidRPr="00361437">
        <w:rPr>
          <w:rFonts w:ascii="Times New Roman" w:hAnsi="Times New Roman"/>
          <w:sz w:val="22"/>
          <w:szCs w:val="22"/>
        </w:rPr>
        <w:t xml:space="preserve">and M. </w:t>
      </w:r>
      <w:r w:rsidRPr="00361437">
        <w:rPr>
          <w:rFonts w:ascii="Times New Roman" w:hAnsi="Times New Roman"/>
          <w:sz w:val="22"/>
          <w:szCs w:val="22"/>
        </w:rPr>
        <w:t>Ostrovsky. Cross-ownership, returns, and voting in mergers, Journal of Financial Economics, 89</w:t>
      </w:r>
      <w:r w:rsidR="00865A66" w:rsidRPr="00361437">
        <w:rPr>
          <w:rFonts w:ascii="Times New Roman" w:hAnsi="Times New Roman"/>
          <w:sz w:val="22"/>
          <w:szCs w:val="22"/>
        </w:rPr>
        <w:t xml:space="preserve"> (2008)</w:t>
      </w:r>
      <w:r w:rsidRPr="00361437">
        <w:rPr>
          <w:rFonts w:ascii="Times New Roman" w:hAnsi="Times New Roman"/>
          <w:sz w:val="22"/>
          <w:szCs w:val="22"/>
        </w:rPr>
        <w:t>, 391-403.</w:t>
      </w:r>
    </w:p>
    <w:p w14:paraId="0B9F725A" w14:textId="333E5483" w:rsidR="00F65A9F" w:rsidRPr="00361437" w:rsidRDefault="00F65A9F"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 xml:space="preserve">Maxwell, W., </w:t>
      </w:r>
      <w:r w:rsidR="00DC2331" w:rsidRPr="00361437">
        <w:rPr>
          <w:rFonts w:ascii="Times New Roman" w:hAnsi="Times New Roman"/>
          <w:sz w:val="22"/>
          <w:szCs w:val="22"/>
        </w:rPr>
        <w:t xml:space="preserve">and R. </w:t>
      </w:r>
      <w:r w:rsidRPr="00361437">
        <w:rPr>
          <w:rFonts w:ascii="Times New Roman" w:hAnsi="Times New Roman"/>
          <w:sz w:val="22"/>
          <w:szCs w:val="22"/>
        </w:rPr>
        <w:t xml:space="preserve">Rao. Do </w:t>
      </w:r>
      <w:r w:rsidR="00590F94" w:rsidRPr="00361437">
        <w:rPr>
          <w:rFonts w:ascii="Times New Roman" w:hAnsi="Times New Roman"/>
          <w:sz w:val="22"/>
          <w:szCs w:val="22"/>
        </w:rPr>
        <w:t xml:space="preserve">spin-offs expropriate wealth from bondholders? </w:t>
      </w:r>
      <w:r w:rsidRPr="00361437">
        <w:rPr>
          <w:rFonts w:ascii="Times New Roman" w:hAnsi="Times New Roman"/>
          <w:sz w:val="22"/>
          <w:szCs w:val="22"/>
        </w:rPr>
        <w:t>Journal of Finance</w:t>
      </w:r>
      <w:r w:rsidR="00865A66" w:rsidRPr="00361437">
        <w:rPr>
          <w:rFonts w:ascii="Times New Roman" w:hAnsi="Times New Roman"/>
          <w:sz w:val="22"/>
          <w:szCs w:val="22"/>
        </w:rPr>
        <w:t>,</w:t>
      </w:r>
      <w:r w:rsidRPr="00361437">
        <w:rPr>
          <w:rFonts w:ascii="Times New Roman" w:hAnsi="Times New Roman"/>
          <w:sz w:val="22"/>
          <w:szCs w:val="22"/>
        </w:rPr>
        <w:t xml:space="preserve"> 58</w:t>
      </w:r>
      <w:r w:rsidR="00865A66" w:rsidRPr="00361437">
        <w:rPr>
          <w:rFonts w:ascii="Times New Roman" w:hAnsi="Times New Roman"/>
          <w:sz w:val="22"/>
          <w:szCs w:val="22"/>
        </w:rPr>
        <w:t xml:space="preserve"> (2003)</w:t>
      </w:r>
      <w:r w:rsidRPr="00361437">
        <w:rPr>
          <w:rFonts w:ascii="Times New Roman" w:hAnsi="Times New Roman"/>
          <w:sz w:val="22"/>
          <w:szCs w:val="22"/>
        </w:rPr>
        <w:t>, 2087-2108</w:t>
      </w:r>
      <w:r w:rsidR="002B716B" w:rsidRPr="00361437">
        <w:rPr>
          <w:rFonts w:ascii="Times New Roman" w:hAnsi="Times New Roman"/>
          <w:sz w:val="22"/>
          <w:szCs w:val="22"/>
        </w:rPr>
        <w:t>.</w:t>
      </w:r>
    </w:p>
    <w:p w14:paraId="45F3350F" w14:textId="481F75B7" w:rsidR="00E354C5" w:rsidRPr="00361437" w:rsidRDefault="00E354C5"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 xml:space="preserve">Opler, T., </w:t>
      </w:r>
      <w:r w:rsidR="00DC2331" w:rsidRPr="00361437">
        <w:rPr>
          <w:rFonts w:ascii="Times New Roman" w:hAnsi="Times New Roman"/>
          <w:sz w:val="22"/>
          <w:szCs w:val="22"/>
        </w:rPr>
        <w:t xml:space="preserve">and S. </w:t>
      </w:r>
      <w:r w:rsidRPr="00361437">
        <w:rPr>
          <w:rFonts w:ascii="Times New Roman" w:hAnsi="Times New Roman"/>
          <w:sz w:val="22"/>
          <w:szCs w:val="22"/>
        </w:rPr>
        <w:t xml:space="preserve">Titman. Financial </w:t>
      </w:r>
      <w:r w:rsidR="000B3505" w:rsidRPr="00361437">
        <w:rPr>
          <w:rFonts w:ascii="Times New Roman" w:hAnsi="Times New Roman"/>
          <w:sz w:val="22"/>
          <w:szCs w:val="22"/>
        </w:rPr>
        <w:t>distress and corporate pe</w:t>
      </w:r>
      <w:r w:rsidRPr="00361437">
        <w:rPr>
          <w:rFonts w:ascii="Times New Roman" w:hAnsi="Times New Roman"/>
          <w:sz w:val="22"/>
          <w:szCs w:val="22"/>
        </w:rPr>
        <w:t>rformance. Journal of Finance</w:t>
      </w:r>
      <w:r w:rsidR="00865A66" w:rsidRPr="00361437">
        <w:rPr>
          <w:rFonts w:ascii="Times New Roman" w:hAnsi="Times New Roman"/>
          <w:sz w:val="22"/>
          <w:szCs w:val="22"/>
        </w:rPr>
        <w:t>,</w:t>
      </w:r>
      <w:r w:rsidRPr="00361437">
        <w:rPr>
          <w:rFonts w:ascii="Times New Roman" w:hAnsi="Times New Roman"/>
          <w:sz w:val="22"/>
          <w:szCs w:val="22"/>
        </w:rPr>
        <w:t xml:space="preserve"> 49</w:t>
      </w:r>
      <w:r w:rsidR="00865A66" w:rsidRPr="00361437">
        <w:rPr>
          <w:rFonts w:ascii="Times New Roman" w:hAnsi="Times New Roman"/>
          <w:sz w:val="22"/>
          <w:szCs w:val="22"/>
        </w:rPr>
        <w:t xml:space="preserve"> (1994)</w:t>
      </w:r>
      <w:r w:rsidRPr="00361437">
        <w:rPr>
          <w:rFonts w:ascii="Times New Roman" w:hAnsi="Times New Roman"/>
          <w:sz w:val="22"/>
          <w:szCs w:val="22"/>
        </w:rPr>
        <w:t>, 1015-</w:t>
      </w:r>
      <w:r w:rsidR="009D4A43" w:rsidRPr="00361437">
        <w:rPr>
          <w:rFonts w:ascii="Times New Roman" w:hAnsi="Times New Roman"/>
          <w:sz w:val="22"/>
          <w:szCs w:val="22"/>
        </w:rPr>
        <w:t>10</w:t>
      </w:r>
      <w:r w:rsidRPr="00361437">
        <w:rPr>
          <w:rFonts w:ascii="Times New Roman" w:hAnsi="Times New Roman"/>
          <w:sz w:val="22"/>
          <w:szCs w:val="22"/>
        </w:rPr>
        <w:t>40.</w:t>
      </w:r>
    </w:p>
    <w:p w14:paraId="6D8A0319" w14:textId="11B32792" w:rsidR="00800882" w:rsidRPr="00361437" w:rsidRDefault="00800882" w:rsidP="00865A66">
      <w:pPr>
        <w:pStyle w:val="NormalWeb"/>
        <w:spacing w:before="0" w:beforeAutospacing="0" w:after="0" w:afterAutospacing="0"/>
        <w:ind w:left="360" w:hanging="360"/>
        <w:jc w:val="both"/>
        <w:rPr>
          <w:rFonts w:ascii="Times New Roman" w:hAnsi="Times New Roman"/>
          <w:sz w:val="22"/>
          <w:szCs w:val="22"/>
          <w:lang w:val="en"/>
        </w:rPr>
      </w:pPr>
      <w:r w:rsidRPr="00361437">
        <w:rPr>
          <w:rFonts w:ascii="Times New Roman" w:hAnsi="Times New Roman"/>
          <w:sz w:val="22"/>
          <w:szCs w:val="22"/>
        </w:rPr>
        <w:t>Pensions and Investments. Institutional investors own the majority of the stock market</w:t>
      </w:r>
      <w:r w:rsidR="00865A66" w:rsidRPr="00361437">
        <w:rPr>
          <w:rFonts w:ascii="Times New Roman" w:hAnsi="Times New Roman"/>
          <w:sz w:val="22"/>
          <w:szCs w:val="22"/>
        </w:rPr>
        <w:t xml:space="preserve"> (April 2017).</w:t>
      </w:r>
    </w:p>
    <w:p w14:paraId="2E0C4D03" w14:textId="79F3C5D1" w:rsidR="007453FD" w:rsidRPr="00361437" w:rsidRDefault="007453FD" w:rsidP="00865A66">
      <w:pPr>
        <w:pStyle w:val="NormalWeb"/>
        <w:spacing w:before="0" w:beforeAutospacing="0" w:after="0" w:afterAutospacing="0"/>
        <w:ind w:left="360" w:hanging="360"/>
        <w:jc w:val="both"/>
        <w:rPr>
          <w:rFonts w:ascii="Times New Roman" w:hAnsi="Times New Roman"/>
          <w:sz w:val="22"/>
          <w:szCs w:val="22"/>
          <w:lang w:val="en"/>
        </w:rPr>
      </w:pPr>
      <w:r w:rsidRPr="00361437">
        <w:rPr>
          <w:rFonts w:ascii="Times New Roman" w:hAnsi="Times New Roman"/>
          <w:sz w:val="22"/>
          <w:szCs w:val="22"/>
          <w:lang w:val="en"/>
        </w:rPr>
        <w:t>Rosenbaum, P. R. Attributing effects to treatment in matched observational studies. Journal of the American Stat</w:t>
      </w:r>
      <w:r w:rsidR="002B716B" w:rsidRPr="00361437">
        <w:rPr>
          <w:rFonts w:ascii="Times New Roman" w:hAnsi="Times New Roman"/>
          <w:sz w:val="22"/>
          <w:szCs w:val="22"/>
          <w:lang w:val="en"/>
        </w:rPr>
        <w:t>istical Association</w:t>
      </w:r>
      <w:r w:rsidR="00865A66" w:rsidRPr="00361437">
        <w:rPr>
          <w:rFonts w:ascii="Times New Roman" w:hAnsi="Times New Roman"/>
          <w:sz w:val="22"/>
          <w:szCs w:val="22"/>
          <w:lang w:val="en"/>
        </w:rPr>
        <w:t>,</w:t>
      </w:r>
      <w:r w:rsidR="002B716B" w:rsidRPr="00361437">
        <w:rPr>
          <w:rFonts w:ascii="Times New Roman" w:hAnsi="Times New Roman"/>
          <w:sz w:val="22"/>
          <w:szCs w:val="22"/>
          <w:lang w:val="en"/>
        </w:rPr>
        <w:t xml:space="preserve"> 97</w:t>
      </w:r>
      <w:r w:rsidR="00865A66" w:rsidRPr="00361437">
        <w:rPr>
          <w:rFonts w:ascii="Times New Roman" w:hAnsi="Times New Roman"/>
          <w:sz w:val="22"/>
          <w:szCs w:val="22"/>
          <w:lang w:val="en"/>
        </w:rPr>
        <w:t xml:space="preserve"> (2002)</w:t>
      </w:r>
      <w:r w:rsidR="002B716B" w:rsidRPr="00361437">
        <w:rPr>
          <w:rFonts w:ascii="Times New Roman" w:hAnsi="Times New Roman"/>
          <w:sz w:val="22"/>
          <w:szCs w:val="22"/>
          <w:lang w:val="en"/>
        </w:rPr>
        <w:t>, 183-192.</w:t>
      </w:r>
    </w:p>
    <w:p w14:paraId="7ED4B54B" w14:textId="18F4BB4C" w:rsidR="002B716B" w:rsidRPr="00361437" w:rsidRDefault="002B716B"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 xml:space="preserve">Stock, J., </w:t>
      </w:r>
      <w:r w:rsidR="00DC2331" w:rsidRPr="00361437">
        <w:rPr>
          <w:rFonts w:ascii="Times New Roman" w:hAnsi="Times New Roman"/>
          <w:sz w:val="22"/>
          <w:szCs w:val="22"/>
        </w:rPr>
        <w:t xml:space="preserve">and M. </w:t>
      </w:r>
      <w:r w:rsidRPr="00361437">
        <w:rPr>
          <w:rFonts w:ascii="Times New Roman" w:hAnsi="Times New Roman"/>
          <w:sz w:val="22"/>
          <w:szCs w:val="22"/>
        </w:rPr>
        <w:t>Yogo. Testing for weak instruments in linear IV regression. Ch.5 in J.H. Stock and D.W.K. Andrews (eds), Identification and Inference for Econometric Models: Essays in Honor of Thomas J. Rothenberg, Cambridge University Press</w:t>
      </w:r>
      <w:r w:rsidR="00865A66" w:rsidRPr="00361437">
        <w:rPr>
          <w:rFonts w:ascii="Times New Roman" w:hAnsi="Times New Roman"/>
          <w:sz w:val="22"/>
          <w:szCs w:val="22"/>
        </w:rPr>
        <w:t xml:space="preserve"> (2005)</w:t>
      </w:r>
      <w:r w:rsidRPr="00361437">
        <w:rPr>
          <w:rFonts w:ascii="Times New Roman" w:hAnsi="Times New Roman"/>
          <w:sz w:val="22"/>
          <w:szCs w:val="22"/>
        </w:rPr>
        <w:t>.</w:t>
      </w:r>
    </w:p>
    <w:p w14:paraId="1E47532C" w14:textId="57A43980" w:rsidR="00E354C5" w:rsidRPr="00361437" w:rsidRDefault="00E354C5"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 xml:space="preserve">Stock, J., </w:t>
      </w:r>
      <w:r w:rsidR="00DC2331" w:rsidRPr="00361437">
        <w:rPr>
          <w:rFonts w:ascii="Times New Roman" w:hAnsi="Times New Roman"/>
          <w:sz w:val="22"/>
          <w:szCs w:val="22"/>
        </w:rPr>
        <w:t xml:space="preserve">and M. </w:t>
      </w:r>
      <w:r w:rsidRPr="00361437">
        <w:rPr>
          <w:rFonts w:ascii="Times New Roman" w:hAnsi="Times New Roman"/>
          <w:sz w:val="22"/>
          <w:szCs w:val="22"/>
        </w:rPr>
        <w:t xml:space="preserve">Watson. Dynamic factor models. </w:t>
      </w:r>
      <w:r w:rsidR="0082083F" w:rsidRPr="00361437">
        <w:rPr>
          <w:rFonts w:ascii="Times New Roman" w:hAnsi="Times New Roman"/>
          <w:sz w:val="22"/>
          <w:szCs w:val="22"/>
        </w:rPr>
        <w:t>W</w:t>
      </w:r>
      <w:r w:rsidRPr="00361437">
        <w:rPr>
          <w:rFonts w:ascii="Times New Roman" w:hAnsi="Times New Roman"/>
          <w:sz w:val="22"/>
          <w:szCs w:val="22"/>
        </w:rPr>
        <w:t>orking paper, Princeton University</w:t>
      </w:r>
      <w:r w:rsidR="00865A66" w:rsidRPr="00361437">
        <w:rPr>
          <w:rFonts w:ascii="Times New Roman" w:hAnsi="Times New Roman"/>
          <w:sz w:val="22"/>
          <w:szCs w:val="22"/>
        </w:rPr>
        <w:t xml:space="preserve"> (2010)</w:t>
      </w:r>
      <w:r w:rsidRPr="00361437">
        <w:rPr>
          <w:rFonts w:ascii="Times New Roman" w:hAnsi="Times New Roman"/>
          <w:sz w:val="22"/>
          <w:szCs w:val="22"/>
        </w:rPr>
        <w:t>.</w:t>
      </w:r>
    </w:p>
    <w:p w14:paraId="3315AE8A" w14:textId="523EBDF0" w:rsidR="00F34893" w:rsidRPr="00361437" w:rsidRDefault="00F34893"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Wahal,</w:t>
      </w:r>
      <w:r w:rsidR="00CC4EBD" w:rsidRPr="00361437">
        <w:rPr>
          <w:rFonts w:ascii="Times New Roman" w:hAnsi="Times New Roman"/>
          <w:sz w:val="22"/>
          <w:szCs w:val="22"/>
        </w:rPr>
        <w:t xml:space="preserve"> </w:t>
      </w:r>
      <w:r w:rsidRPr="00361437">
        <w:rPr>
          <w:rFonts w:ascii="Times New Roman" w:hAnsi="Times New Roman"/>
          <w:sz w:val="22"/>
          <w:szCs w:val="22"/>
        </w:rPr>
        <w:t>S</w:t>
      </w:r>
      <w:r w:rsidR="00CC4EBD" w:rsidRPr="00361437">
        <w:rPr>
          <w:rFonts w:ascii="Times New Roman" w:hAnsi="Times New Roman"/>
          <w:sz w:val="22"/>
          <w:szCs w:val="22"/>
        </w:rPr>
        <w:t>.</w:t>
      </w:r>
      <w:r w:rsidRPr="00361437">
        <w:rPr>
          <w:rFonts w:ascii="Times New Roman" w:hAnsi="Times New Roman"/>
          <w:sz w:val="22"/>
          <w:szCs w:val="22"/>
        </w:rPr>
        <w:t xml:space="preserve"> Pension fund activism and firm performance, Journal of </w:t>
      </w:r>
      <w:r w:rsidR="00916EC1" w:rsidRPr="00361437">
        <w:rPr>
          <w:rFonts w:ascii="Times New Roman" w:hAnsi="Times New Roman"/>
          <w:sz w:val="22"/>
          <w:szCs w:val="22"/>
        </w:rPr>
        <w:t>F</w:t>
      </w:r>
      <w:r w:rsidRPr="00361437">
        <w:rPr>
          <w:rFonts w:ascii="Times New Roman" w:hAnsi="Times New Roman"/>
          <w:sz w:val="22"/>
          <w:szCs w:val="22"/>
        </w:rPr>
        <w:t xml:space="preserve">inancial and </w:t>
      </w:r>
      <w:r w:rsidR="00916EC1" w:rsidRPr="00361437">
        <w:rPr>
          <w:rFonts w:ascii="Times New Roman" w:hAnsi="Times New Roman"/>
          <w:sz w:val="22"/>
          <w:szCs w:val="22"/>
        </w:rPr>
        <w:t>Q</w:t>
      </w:r>
      <w:r w:rsidRPr="00361437">
        <w:rPr>
          <w:rFonts w:ascii="Times New Roman" w:hAnsi="Times New Roman"/>
          <w:sz w:val="22"/>
          <w:szCs w:val="22"/>
        </w:rPr>
        <w:t xml:space="preserve">uantitative </w:t>
      </w:r>
      <w:r w:rsidR="00916EC1" w:rsidRPr="00361437">
        <w:rPr>
          <w:rFonts w:ascii="Times New Roman" w:hAnsi="Times New Roman"/>
          <w:sz w:val="22"/>
          <w:szCs w:val="22"/>
        </w:rPr>
        <w:t>A</w:t>
      </w:r>
      <w:r w:rsidRPr="00361437">
        <w:rPr>
          <w:rFonts w:ascii="Times New Roman" w:hAnsi="Times New Roman"/>
          <w:sz w:val="22"/>
          <w:szCs w:val="22"/>
        </w:rPr>
        <w:t>nalysis</w:t>
      </w:r>
      <w:r w:rsidR="00865A66" w:rsidRPr="00361437">
        <w:rPr>
          <w:rFonts w:ascii="Times New Roman" w:hAnsi="Times New Roman"/>
          <w:sz w:val="22"/>
          <w:szCs w:val="22"/>
        </w:rPr>
        <w:t>,</w:t>
      </w:r>
      <w:r w:rsidRPr="00361437">
        <w:rPr>
          <w:rFonts w:ascii="Times New Roman" w:hAnsi="Times New Roman"/>
          <w:sz w:val="22"/>
          <w:szCs w:val="22"/>
        </w:rPr>
        <w:t xml:space="preserve"> 31</w:t>
      </w:r>
      <w:r w:rsidR="00865A66" w:rsidRPr="00361437">
        <w:rPr>
          <w:rFonts w:ascii="Times New Roman" w:hAnsi="Times New Roman"/>
          <w:sz w:val="22"/>
          <w:szCs w:val="22"/>
        </w:rPr>
        <w:t xml:space="preserve"> (1996)</w:t>
      </w:r>
      <w:r w:rsidRPr="00361437">
        <w:rPr>
          <w:rFonts w:ascii="Times New Roman" w:hAnsi="Times New Roman"/>
          <w:sz w:val="22"/>
          <w:szCs w:val="22"/>
        </w:rPr>
        <w:t>, 1-23</w:t>
      </w:r>
      <w:r w:rsidR="00916EC1" w:rsidRPr="00361437">
        <w:rPr>
          <w:rFonts w:ascii="Times New Roman" w:hAnsi="Times New Roman"/>
          <w:sz w:val="22"/>
          <w:szCs w:val="22"/>
        </w:rPr>
        <w:t>.</w:t>
      </w:r>
    </w:p>
    <w:p w14:paraId="15CB2113" w14:textId="759B3C7C" w:rsidR="00E2260C" w:rsidRPr="00361437" w:rsidRDefault="005B0D44" w:rsidP="00865A66">
      <w:pPr>
        <w:pStyle w:val="NormalWeb"/>
        <w:spacing w:before="0" w:beforeAutospacing="0" w:after="0" w:afterAutospacing="0"/>
        <w:ind w:left="360" w:hanging="360"/>
        <w:jc w:val="both"/>
      </w:pPr>
      <w:r w:rsidRPr="00361437">
        <w:rPr>
          <w:rFonts w:ascii="Times New Roman" w:hAnsi="Times New Roman"/>
          <w:sz w:val="22"/>
          <w:szCs w:val="22"/>
        </w:rPr>
        <w:t xml:space="preserve">Wooldridge, J. M. Econometric </w:t>
      </w:r>
      <w:r w:rsidR="00DC7BD4" w:rsidRPr="00361437">
        <w:rPr>
          <w:rFonts w:ascii="Times New Roman" w:hAnsi="Times New Roman"/>
          <w:sz w:val="22"/>
          <w:szCs w:val="22"/>
        </w:rPr>
        <w:t>analysis of cross-section and panel data</w:t>
      </w:r>
      <w:r w:rsidRPr="00361437">
        <w:rPr>
          <w:rFonts w:ascii="Times New Roman" w:hAnsi="Times New Roman"/>
          <w:sz w:val="22"/>
          <w:szCs w:val="22"/>
        </w:rPr>
        <w:t>. Cambridge MIT Press</w:t>
      </w:r>
      <w:r w:rsidR="00865A66" w:rsidRPr="00361437">
        <w:rPr>
          <w:rFonts w:ascii="Times New Roman" w:hAnsi="Times New Roman"/>
          <w:sz w:val="22"/>
          <w:szCs w:val="22"/>
        </w:rPr>
        <w:t xml:space="preserve"> (2002)</w:t>
      </w:r>
      <w:r w:rsidRPr="00361437">
        <w:rPr>
          <w:rFonts w:ascii="Times New Roman" w:hAnsi="Times New Roman"/>
          <w:sz w:val="22"/>
          <w:szCs w:val="22"/>
        </w:rPr>
        <w:t>.</w:t>
      </w:r>
      <w:r w:rsidR="00E2260C" w:rsidRPr="00361437">
        <w:t xml:space="preserve"> </w:t>
      </w:r>
    </w:p>
    <w:p w14:paraId="33D76F72" w14:textId="74F19D66" w:rsidR="00032E88" w:rsidRPr="00361437" w:rsidRDefault="00E2260C" w:rsidP="00865A66">
      <w:pPr>
        <w:pStyle w:val="NormalWeb"/>
        <w:spacing w:before="0" w:beforeAutospacing="0" w:after="0" w:afterAutospacing="0"/>
        <w:ind w:left="360" w:hanging="360"/>
        <w:jc w:val="both"/>
        <w:rPr>
          <w:rFonts w:ascii="Times New Roman" w:hAnsi="Times New Roman"/>
          <w:sz w:val="22"/>
          <w:szCs w:val="22"/>
        </w:rPr>
      </w:pPr>
      <w:r w:rsidRPr="00361437">
        <w:rPr>
          <w:rFonts w:ascii="Times New Roman" w:hAnsi="Times New Roman"/>
          <w:sz w:val="22"/>
          <w:szCs w:val="22"/>
        </w:rPr>
        <w:t>Yang, H. Institutional dual holdings and risk shifting: Evidence from corporate innovation. Working paper</w:t>
      </w:r>
      <w:r w:rsidR="00865A66" w:rsidRPr="00361437">
        <w:rPr>
          <w:rFonts w:ascii="Times New Roman" w:hAnsi="Times New Roman"/>
          <w:sz w:val="22"/>
          <w:szCs w:val="22"/>
        </w:rPr>
        <w:t>, University of Massachusetts (2019)</w:t>
      </w:r>
      <w:r w:rsidRPr="00361437">
        <w:rPr>
          <w:rFonts w:ascii="Times New Roman" w:hAnsi="Times New Roman"/>
          <w:sz w:val="22"/>
          <w:szCs w:val="22"/>
        </w:rPr>
        <w:t>.</w:t>
      </w:r>
    </w:p>
    <w:p w14:paraId="4F4A9BE6" w14:textId="588CFD1F" w:rsidR="00916EC1" w:rsidRPr="00361437" w:rsidRDefault="00916EC1" w:rsidP="00032E88">
      <w:pPr>
        <w:pStyle w:val="NormalWeb"/>
        <w:jc w:val="both"/>
        <w:rPr>
          <w:rFonts w:ascii="Times New Roman" w:hAnsi="Times New Roman"/>
          <w:sz w:val="22"/>
          <w:szCs w:val="22"/>
        </w:rPr>
        <w:sectPr w:rsidR="00916EC1" w:rsidRPr="00361437" w:rsidSect="00E309D8">
          <w:pgSz w:w="11906" w:h="16838" w:code="9"/>
          <w:pgMar w:top="1296" w:right="1440" w:bottom="1296" w:left="1440" w:header="706" w:footer="0" w:gutter="0"/>
          <w:cols w:space="708"/>
          <w:docGrid w:linePitch="360"/>
        </w:sectPr>
      </w:pPr>
    </w:p>
    <w:p w14:paraId="23FCC04F" w14:textId="5A9A5D63" w:rsidR="00DC2331" w:rsidRPr="00361437" w:rsidRDefault="00DC2331" w:rsidP="00DC2331">
      <w:pPr>
        <w:pBdr>
          <w:top w:val="single" w:sz="4" w:space="1" w:color="auto"/>
        </w:pBdr>
        <w:jc w:val="center"/>
        <w:rPr>
          <w:rFonts w:ascii="Arial" w:eastAsia="Calibri" w:hAnsi="Arial" w:cs="Arial"/>
          <w:sz w:val="24"/>
        </w:rPr>
      </w:pPr>
      <w:bookmarkStart w:id="14" w:name="_Hlk29815035"/>
      <w:r w:rsidRPr="00361437">
        <w:rPr>
          <w:rFonts w:ascii="Arial" w:eastAsia="Calibri" w:hAnsi="Arial" w:cs="Arial"/>
          <w:sz w:val="24"/>
        </w:rPr>
        <w:lastRenderedPageBreak/>
        <w:t>TABLE 1</w:t>
      </w:r>
    </w:p>
    <w:p w14:paraId="168D8425" w14:textId="562EC076" w:rsidR="00032E88" w:rsidRPr="00361437" w:rsidRDefault="00DC2331" w:rsidP="00DC2331">
      <w:pPr>
        <w:pBdr>
          <w:bottom w:val="single" w:sz="4" w:space="1" w:color="auto"/>
        </w:pBdr>
        <w:jc w:val="center"/>
        <w:rPr>
          <w:rFonts w:ascii="Arial" w:eastAsia="Calibri" w:hAnsi="Arial" w:cs="Arial"/>
          <w:sz w:val="24"/>
        </w:rPr>
      </w:pPr>
      <w:r w:rsidRPr="00361437">
        <w:rPr>
          <w:rFonts w:ascii="Arial" w:eastAsia="Calibri" w:hAnsi="Arial" w:cs="Arial"/>
          <w:sz w:val="24"/>
        </w:rPr>
        <w:t>Fund Family Debt Holding Statistics</w:t>
      </w:r>
    </w:p>
    <w:p w14:paraId="4E132ECC" w14:textId="77777777" w:rsidR="00032E88" w:rsidRPr="00361437" w:rsidRDefault="00032E88" w:rsidP="00032E88">
      <w:pPr>
        <w:rPr>
          <w:rFonts w:ascii="Arial" w:eastAsia="Calibri" w:hAnsi="Arial" w:cs="Arial"/>
          <w:sz w:val="20"/>
        </w:rPr>
      </w:pPr>
    </w:p>
    <w:p w14:paraId="50F71A28" w14:textId="6905D30C" w:rsidR="00032E88" w:rsidRPr="00361437" w:rsidRDefault="00032E88" w:rsidP="000E77D9">
      <w:pPr>
        <w:spacing w:before="100" w:beforeAutospacing="1" w:after="100" w:afterAutospacing="1"/>
        <w:contextualSpacing/>
        <w:jc w:val="both"/>
        <w:rPr>
          <w:rFonts w:ascii="Arial" w:eastAsia="Calibri" w:hAnsi="Arial" w:cs="Arial"/>
          <w:sz w:val="20"/>
        </w:rPr>
      </w:pPr>
      <w:r w:rsidRPr="00361437">
        <w:rPr>
          <w:rFonts w:ascii="Arial" w:eastAsia="Calibri" w:hAnsi="Arial" w:cs="Arial"/>
          <w:sz w:val="20"/>
        </w:rPr>
        <w:t xml:space="preserve">This table presents summary statistics for the sample of </w:t>
      </w:r>
      <w:r w:rsidR="00655474" w:rsidRPr="00361437">
        <w:rPr>
          <w:rFonts w:ascii="Arial" w:eastAsia="Calibri" w:hAnsi="Arial" w:cs="Arial"/>
          <w:sz w:val="20"/>
        </w:rPr>
        <w:t>12,327</w:t>
      </w:r>
      <w:r w:rsidRPr="00361437">
        <w:rPr>
          <w:rFonts w:ascii="Arial" w:eastAsia="Calibri" w:hAnsi="Arial" w:cs="Arial"/>
          <w:sz w:val="20"/>
        </w:rPr>
        <w:t xml:space="preserve"> firm-year observations during the 2009-2013 period. For all </w:t>
      </w:r>
      <w:r w:rsidR="00F100BA" w:rsidRPr="00361437">
        <w:rPr>
          <w:rFonts w:ascii="Arial" w:eastAsia="Calibri" w:hAnsi="Arial" w:cs="Arial"/>
          <w:sz w:val="20"/>
        </w:rPr>
        <w:t>US</w:t>
      </w:r>
      <w:r w:rsidRPr="00361437">
        <w:rPr>
          <w:rFonts w:ascii="Arial" w:eastAsia="Calibri" w:hAnsi="Arial" w:cs="Arial"/>
          <w:sz w:val="20"/>
        </w:rPr>
        <w:t xml:space="preserve"> publicly traded firms in Compustat with positive leverage, we collect from Morningstar Direct the debt and equity holdings of all </w:t>
      </w:r>
      <w:r w:rsidR="00F100BA" w:rsidRPr="00361437">
        <w:rPr>
          <w:rFonts w:ascii="Arial" w:eastAsia="Calibri" w:hAnsi="Arial" w:cs="Arial"/>
          <w:sz w:val="20"/>
        </w:rPr>
        <w:t>US</w:t>
      </w:r>
      <w:r w:rsidRPr="00361437">
        <w:rPr>
          <w:rFonts w:ascii="Arial" w:eastAsia="Calibri" w:hAnsi="Arial" w:cs="Arial"/>
          <w:sz w:val="20"/>
        </w:rPr>
        <w:t xml:space="preserve"> funds on </w:t>
      </w:r>
      <w:r w:rsidR="00F100BA" w:rsidRPr="00361437">
        <w:rPr>
          <w:rFonts w:ascii="Arial" w:eastAsia="Calibri" w:hAnsi="Arial" w:cs="Arial"/>
          <w:sz w:val="20"/>
        </w:rPr>
        <w:t>US</w:t>
      </w:r>
      <w:r w:rsidRPr="00361437">
        <w:rPr>
          <w:rFonts w:ascii="Arial" w:eastAsia="Calibri" w:hAnsi="Arial" w:cs="Arial"/>
          <w:sz w:val="20"/>
        </w:rPr>
        <w:t xml:space="preserve"> publicly traded companies. We report the mean, median, the standard deviation and the lower and upper quartiles of the time-series average </w:t>
      </w:r>
      <w:r w:rsidR="00BB530E" w:rsidRPr="00361437">
        <w:rPr>
          <w:rFonts w:ascii="Arial" w:eastAsia="Calibri" w:hAnsi="Arial" w:cs="Arial"/>
          <w:sz w:val="20"/>
        </w:rPr>
        <w:t xml:space="preserve">debt and equity </w:t>
      </w:r>
      <w:r w:rsidRPr="00361437">
        <w:rPr>
          <w:rFonts w:ascii="Arial" w:eastAsia="Calibri" w:hAnsi="Arial" w:cs="Arial"/>
          <w:sz w:val="20"/>
        </w:rPr>
        <w:t>holding</w:t>
      </w:r>
      <w:r w:rsidR="00BB530E" w:rsidRPr="00361437">
        <w:rPr>
          <w:rFonts w:ascii="Arial" w:eastAsia="Calibri" w:hAnsi="Arial" w:cs="Arial"/>
          <w:sz w:val="20"/>
        </w:rPr>
        <w:t>s</w:t>
      </w:r>
      <w:r w:rsidRPr="00361437">
        <w:rPr>
          <w:rFonts w:ascii="Arial" w:eastAsia="Calibri" w:hAnsi="Arial" w:cs="Arial"/>
          <w:sz w:val="20"/>
        </w:rPr>
        <w:t xml:space="preserve"> across mutual fund families in individual firms. All variables are defined in </w:t>
      </w:r>
      <w:r w:rsidR="00435978" w:rsidRPr="00361437">
        <w:rPr>
          <w:rFonts w:ascii="Arial" w:eastAsia="Calibri" w:hAnsi="Arial" w:cs="Arial"/>
          <w:sz w:val="20"/>
        </w:rPr>
        <w:t xml:space="preserve">the </w:t>
      </w:r>
      <w:r w:rsidRPr="00361437">
        <w:rPr>
          <w:rFonts w:ascii="Arial" w:eastAsia="Calibri" w:hAnsi="Arial" w:cs="Arial"/>
          <w:sz w:val="20"/>
        </w:rPr>
        <w:t>Appendix.</w:t>
      </w:r>
    </w:p>
    <w:p w14:paraId="7A9F9991" w14:textId="77777777" w:rsidR="00032E88" w:rsidRPr="00361437" w:rsidRDefault="00032E88" w:rsidP="00032E88">
      <w:pPr>
        <w:spacing w:before="100" w:beforeAutospacing="1" w:after="100" w:afterAutospacing="1"/>
        <w:contextualSpacing/>
        <w:jc w:val="both"/>
        <w:rPr>
          <w:rFonts w:ascii="Arial" w:hAnsi="Arial" w:cs="Arial"/>
          <w:sz w:val="20"/>
        </w:rPr>
      </w:pPr>
      <w:bookmarkStart w:id="15" w:name="_Hlk29815280"/>
    </w:p>
    <w:tbl>
      <w:tblPr>
        <w:tblW w:w="0" w:type="auto"/>
        <w:tblLayout w:type="fixed"/>
        <w:tblLook w:val="04A0" w:firstRow="1" w:lastRow="0" w:firstColumn="1" w:lastColumn="0" w:noHBand="0" w:noVBand="1"/>
      </w:tblPr>
      <w:tblGrid>
        <w:gridCol w:w="2971"/>
        <w:gridCol w:w="989"/>
        <w:gridCol w:w="1013"/>
        <w:gridCol w:w="1013"/>
        <w:gridCol w:w="944"/>
        <w:gridCol w:w="989"/>
        <w:gridCol w:w="1107"/>
      </w:tblGrid>
      <w:tr w:rsidR="00032E88" w:rsidRPr="00361437" w14:paraId="7D64C080" w14:textId="77777777" w:rsidTr="00032E88">
        <w:trPr>
          <w:trHeight w:val="360"/>
        </w:trPr>
        <w:tc>
          <w:tcPr>
            <w:tcW w:w="2971" w:type="dxa"/>
            <w:tcBorders>
              <w:top w:val="single" w:sz="4" w:space="0" w:color="auto"/>
              <w:left w:val="nil"/>
              <w:bottom w:val="single" w:sz="4" w:space="0" w:color="auto"/>
              <w:right w:val="nil"/>
            </w:tcBorders>
            <w:noWrap/>
            <w:vAlign w:val="center"/>
          </w:tcPr>
          <w:p w14:paraId="57D355F2" w14:textId="77777777" w:rsidR="00032E88" w:rsidRPr="00361437" w:rsidRDefault="00032E88">
            <w:pPr>
              <w:spacing w:before="100" w:beforeAutospacing="1" w:after="100" w:afterAutospacing="1" w:line="256" w:lineRule="auto"/>
              <w:contextualSpacing/>
              <w:rPr>
                <w:rFonts w:ascii="Arial" w:eastAsia="Times New Roman" w:hAnsi="Arial" w:cs="Arial"/>
                <w:color w:val="000000"/>
                <w:sz w:val="20"/>
                <w:lang w:eastAsia="en-GB"/>
              </w:rPr>
            </w:pPr>
          </w:p>
        </w:tc>
        <w:tc>
          <w:tcPr>
            <w:tcW w:w="989" w:type="dxa"/>
            <w:tcBorders>
              <w:top w:val="single" w:sz="4" w:space="0" w:color="auto"/>
              <w:left w:val="nil"/>
              <w:bottom w:val="single" w:sz="4" w:space="0" w:color="auto"/>
              <w:right w:val="nil"/>
            </w:tcBorders>
            <w:noWrap/>
            <w:vAlign w:val="center"/>
            <w:hideMark/>
          </w:tcPr>
          <w:p w14:paraId="619511EF" w14:textId="77777777" w:rsidR="00032E88" w:rsidRPr="00361437" w:rsidRDefault="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Number of families</w:t>
            </w:r>
          </w:p>
        </w:tc>
        <w:tc>
          <w:tcPr>
            <w:tcW w:w="1013" w:type="dxa"/>
            <w:tcBorders>
              <w:top w:val="single" w:sz="4" w:space="0" w:color="auto"/>
              <w:left w:val="nil"/>
              <w:bottom w:val="single" w:sz="4" w:space="0" w:color="auto"/>
              <w:right w:val="nil"/>
            </w:tcBorders>
            <w:noWrap/>
            <w:vAlign w:val="center"/>
            <w:hideMark/>
          </w:tcPr>
          <w:p w14:paraId="2EDDE2AE" w14:textId="77777777" w:rsidR="00032E88" w:rsidRPr="00361437" w:rsidRDefault="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Mean</w:t>
            </w:r>
          </w:p>
        </w:tc>
        <w:tc>
          <w:tcPr>
            <w:tcW w:w="1013" w:type="dxa"/>
            <w:tcBorders>
              <w:top w:val="single" w:sz="4" w:space="0" w:color="auto"/>
              <w:left w:val="nil"/>
              <w:bottom w:val="single" w:sz="4" w:space="0" w:color="auto"/>
              <w:right w:val="nil"/>
            </w:tcBorders>
            <w:vAlign w:val="center"/>
            <w:hideMark/>
          </w:tcPr>
          <w:p w14:paraId="114DF36C" w14:textId="77777777" w:rsidR="00032E88" w:rsidRPr="00361437" w:rsidRDefault="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Median</w:t>
            </w:r>
          </w:p>
        </w:tc>
        <w:tc>
          <w:tcPr>
            <w:tcW w:w="944" w:type="dxa"/>
            <w:tcBorders>
              <w:top w:val="single" w:sz="4" w:space="0" w:color="auto"/>
              <w:left w:val="nil"/>
              <w:bottom w:val="single" w:sz="4" w:space="0" w:color="auto"/>
              <w:right w:val="nil"/>
            </w:tcBorders>
            <w:vAlign w:val="center"/>
            <w:hideMark/>
          </w:tcPr>
          <w:p w14:paraId="76803146" w14:textId="77777777" w:rsidR="00032E88" w:rsidRPr="00361437" w:rsidRDefault="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Q1</w:t>
            </w:r>
          </w:p>
        </w:tc>
        <w:tc>
          <w:tcPr>
            <w:tcW w:w="989" w:type="dxa"/>
            <w:tcBorders>
              <w:top w:val="single" w:sz="4" w:space="0" w:color="auto"/>
              <w:left w:val="nil"/>
              <w:bottom w:val="single" w:sz="4" w:space="0" w:color="auto"/>
              <w:right w:val="nil"/>
            </w:tcBorders>
            <w:vAlign w:val="center"/>
            <w:hideMark/>
          </w:tcPr>
          <w:p w14:paraId="2EEF4FBA" w14:textId="77777777" w:rsidR="00032E88" w:rsidRPr="00361437" w:rsidRDefault="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Q3</w:t>
            </w:r>
          </w:p>
        </w:tc>
        <w:tc>
          <w:tcPr>
            <w:tcW w:w="1107" w:type="dxa"/>
            <w:tcBorders>
              <w:top w:val="single" w:sz="4" w:space="0" w:color="auto"/>
              <w:left w:val="nil"/>
              <w:bottom w:val="single" w:sz="4" w:space="0" w:color="auto"/>
              <w:right w:val="nil"/>
            </w:tcBorders>
            <w:vAlign w:val="center"/>
            <w:hideMark/>
          </w:tcPr>
          <w:p w14:paraId="2DD271CE" w14:textId="77777777" w:rsidR="00032E88" w:rsidRPr="00361437" w:rsidRDefault="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Std dev</w:t>
            </w:r>
          </w:p>
        </w:tc>
      </w:tr>
      <w:tr w:rsidR="00032E88" w:rsidRPr="00361437" w14:paraId="43F1B21C" w14:textId="77777777" w:rsidTr="00032E88">
        <w:trPr>
          <w:trHeight w:val="300"/>
        </w:trPr>
        <w:tc>
          <w:tcPr>
            <w:tcW w:w="2971" w:type="dxa"/>
            <w:noWrap/>
            <w:vAlign w:val="bottom"/>
            <w:hideMark/>
          </w:tcPr>
          <w:p w14:paraId="1D39F872" w14:textId="77777777" w:rsidR="00032E88" w:rsidRPr="00361437" w:rsidRDefault="00032E88">
            <w:pPr>
              <w:spacing w:before="100" w:beforeAutospacing="1" w:after="100" w:afterAutospacing="1" w:line="256" w:lineRule="auto"/>
              <w:contextualSpacing/>
              <w:rPr>
                <w:rFonts w:ascii="Arial" w:eastAsia="Times New Roman" w:hAnsi="Arial" w:cs="Arial"/>
                <w:color w:val="000000"/>
                <w:sz w:val="20"/>
                <w:lang w:eastAsia="en-GB"/>
              </w:rPr>
            </w:pPr>
            <w:r w:rsidRPr="00361437">
              <w:rPr>
                <w:rFonts w:ascii="Arial" w:eastAsia="Times New Roman" w:hAnsi="Arial" w:cs="Arial"/>
                <w:color w:val="000000"/>
                <w:sz w:val="20"/>
                <w:lang w:eastAsia="en-GB"/>
              </w:rPr>
              <w:t>Value of debt and equity holding in each firm (mil $US)</w:t>
            </w:r>
          </w:p>
        </w:tc>
        <w:tc>
          <w:tcPr>
            <w:tcW w:w="989" w:type="dxa"/>
            <w:noWrap/>
            <w:vAlign w:val="bottom"/>
            <w:hideMark/>
          </w:tcPr>
          <w:p w14:paraId="53FCF053" w14:textId="77777777" w:rsidR="00032E88" w:rsidRPr="00361437" w:rsidRDefault="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571</w:t>
            </w:r>
          </w:p>
        </w:tc>
        <w:tc>
          <w:tcPr>
            <w:tcW w:w="1013" w:type="dxa"/>
            <w:noWrap/>
            <w:vAlign w:val="bottom"/>
            <w:hideMark/>
          </w:tcPr>
          <w:p w14:paraId="299C81DC" w14:textId="275A8F93" w:rsidR="00032E88" w:rsidRPr="00361437" w:rsidRDefault="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22.</w:t>
            </w:r>
            <w:r w:rsidR="00AE3BE7" w:rsidRPr="00361437">
              <w:rPr>
                <w:rFonts w:ascii="Arial" w:eastAsia="Times New Roman" w:hAnsi="Arial" w:cs="Arial"/>
                <w:color w:val="000000"/>
                <w:sz w:val="20"/>
                <w:lang w:eastAsia="en-GB"/>
              </w:rPr>
              <w:t>9505</w:t>
            </w:r>
          </w:p>
        </w:tc>
        <w:tc>
          <w:tcPr>
            <w:tcW w:w="1013" w:type="dxa"/>
            <w:vAlign w:val="bottom"/>
            <w:hideMark/>
          </w:tcPr>
          <w:p w14:paraId="742EA95D" w14:textId="1B030B71" w:rsidR="00032E88" w:rsidRPr="00361437" w:rsidRDefault="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1.6</w:t>
            </w:r>
            <w:r w:rsidR="00AE3BE7" w:rsidRPr="00361437">
              <w:rPr>
                <w:rFonts w:ascii="Arial" w:eastAsia="Times New Roman" w:hAnsi="Arial" w:cs="Arial"/>
                <w:color w:val="000000"/>
                <w:sz w:val="20"/>
                <w:lang w:eastAsia="en-GB"/>
              </w:rPr>
              <w:t>76</w:t>
            </w:r>
            <w:r w:rsidRPr="00361437">
              <w:rPr>
                <w:rFonts w:ascii="Arial" w:eastAsia="Times New Roman" w:hAnsi="Arial" w:cs="Arial"/>
                <w:color w:val="000000"/>
                <w:sz w:val="20"/>
                <w:lang w:eastAsia="en-GB"/>
              </w:rPr>
              <w:t>0</w:t>
            </w:r>
          </w:p>
        </w:tc>
        <w:tc>
          <w:tcPr>
            <w:tcW w:w="944" w:type="dxa"/>
            <w:vAlign w:val="bottom"/>
            <w:hideMark/>
          </w:tcPr>
          <w:p w14:paraId="3D2449D3" w14:textId="54DC9096" w:rsidR="00032E88" w:rsidRPr="00361437" w:rsidRDefault="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0.42</w:t>
            </w:r>
            <w:r w:rsidR="00AE3BE7" w:rsidRPr="00361437">
              <w:rPr>
                <w:rFonts w:ascii="Arial" w:eastAsia="Times New Roman" w:hAnsi="Arial" w:cs="Arial"/>
                <w:color w:val="000000"/>
                <w:sz w:val="20"/>
                <w:lang w:eastAsia="en-GB"/>
              </w:rPr>
              <w:t>40</w:t>
            </w:r>
          </w:p>
        </w:tc>
        <w:tc>
          <w:tcPr>
            <w:tcW w:w="989" w:type="dxa"/>
            <w:vAlign w:val="bottom"/>
            <w:hideMark/>
          </w:tcPr>
          <w:p w14:paraId="3430F301" w14:textId="49617CFC" w:rsidR="00032E88" w:rsidRPr="00361437" w:rsidRDefault="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7.3</w:t>
            </w:r>
            <w:r w:rsidR="00AE3BE7" w:rsidRPr="00361437">
              <w:rPr>
                <w:rFonts w:ascii="Arial" w:eastAsia="Times New Roman" w:hAnsi="Arial" w:cs="Arial"/>
                <w:color w:val="000000"/>
                <w:sz w:val="20"/>
                <w:lang w:eastAsia="en-GB"/>
              </w:rPr>
              <w:t>525</w:t>
            </w:r>
          </w:p>
        </w:tc>
        <w:tc>
          <w:tcPr>
            <w:tcW w:w="1107" w:type="dxa"/>
            <w:vAlign w:val="bottom"/>
            <w:hideMark/>
          </w:tcPr>
          <w:p w14:paraId="54E72E8D" w14:textId="76DBB322" w:rsidR="00032E88" w:rsidRPr="00361437" w:rsidRDefault="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19</w:t>
            </w:r>
            <w:r w:rsidR="00AE3BE7" w:rsidRPr="00361437">
              <w:rPr>
                <w:rFonts w:ascii="Arial" w:eastAsia="Times New Roman" w:hAnsi="Arial" w:cs="Arial"/>
                <w:color w:val="000000"/>
                <w:sz w:val="20"/>
                <w:lang w:eastAsia="en-GB"/>
              </w:rPr>
              <w:t>4</w:t>
            </w:r>
            <w:r w:rsidRPr="00361437">
              <w:rPr>
                <w:rFonts w:ascii="Arial" w:eastAsia="Times New Roman" w:hAnsi="Arial" w:cs="Arial"/>
                <w:color w:val="000000"/>
                <w:sz w:val="20"/>
                <w:lang w:eastAsia="en-GB"/>
              </w:rPr>
              <w:t>.</w:t>
            </w:r>
            <w:r w:rsidR="00AE3BE7" w:rsidRPr="00361437">
              <w:rPr>
                <w:rFonts w:ascii="Arial" w:eastAsia="Times New Roman" w:hAnsi="Arial" w:cs="Arial"/>
                <w:color w:val="000000"/>
                <w:sz w:val="20"/>
                <w:lang w:eastAsia="en-GB"/>
              </w:rPr>
              <w:t>9690</w:t>
            </w:r>
          </w:p>
        </w:tc>
      </w:tr>
      <w:tr w:rsidR="00032E88" w:rsidRPr="00361437" w14:paraId="6A1530A7" w14:textId="77777777" w:rsidTr="00032E88">
        <w:trPr>
          <w:trHeight w:val="300"/>
        </w:trPr>
        <w:tc>
          <w:tcPr>
            <w:tcW w:w="2971" w:type="dxa"/>
            <w:noWrap/>
            <w:vAlign w:val="bottom"/>
            <w:hideMark/>
          </w:tcPr>
          <w:p w14:paraId="2A4AC2AD" w14:textId="77777777" w:rsidR="00032E88" w:rsidRPr="00361437" w:rsidRDefault="00032E88">
            <w:pPr>
              <w:spacing w:before="100" w:beforeAutospacing="1" w:after="100" w:afterAutospacing="1" w:line="256" w:lineRule="auto"/>
              <w:contextualSpacing/>
              <w:rPr>
                <w:rFonts w:ascii="Arial" w:eastAsia="Times New Roman" w:hAnsi="Arial" w:cs="Arial"/>
                <w:color w:val="000000"/>
                <w:sz w:val="20"/>
                <w:lang w:eastAsia="en-GB"/>
              </w:rPr>
            </w:pPr>
            <w:r w:rsidRPr="00361437">
              <w:rPr>
                <w:rFonts w:ascii="Arial" w:eastAsia="Times New Roman" w:hAnsi="Arial" w:cs="Arial"/>
                <w:color w:val="000000"/>
                <w:sz w:val="20"/>
                <w:lang w:eastAsia="en-GB"/>
              </w:rPr>
              <w:t>Debt fraction in each firm</w:t>
            </w:r>
          </w:p>
        </w:tc>
        <w:tc>
          <w:tcPr>
            <w:tcW w:w="989" w:type="dxa"/>
            <w:noWrap/>
            <w:vAlign w:val="bottom"/>
            <w:hideMark/>
          </w:tcPr>
          <w:p w14:paraId="111B2CE9" w14:textId="77777777" w:rsidR="00032E88" w:rsidRPr="00361437" w:rsidRDefault="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571</w:t>
            </w:r>
          </w:p>
        </w:tc>
        <w:tc>
          <w:tcPr>
            <w:tcW w:w="1013" w:type="dxa"/>
            <w:noWrap/>
            <w:vAlign w:val="bottom"/>
            <w:hideMark/>
          </w:tcPr>
          <w:p w14:paraId="5A9693C0" w14:textId="152BB357" w:rsidR="00032E88" w:rsidRPr="00361437" w:rsidRDefault="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0.07</w:t>
            </w:r>
            <w:r w:rsidR="00AE3BE7" w:rsidRPr="00361437">
              <w:rPr>
                <w:rFonts w:ascii="Arial" w:eastAsia="Times New Roman" w:hAnsi="Arial" w:cs="Arial"/>
                <w:color w:val="000000"/>
                <w:sz w:val="20"/>
                <w:lang w:eastAsia="en-GB"/>
              </w:rPr>
              <w:t>8</w:t>
            </w:r>
            <w:r w:rsidRPr="00361437">
              <w:rPr>
                <w:rFonts w:ascii="Arial" w:eastAsia="Times New Roman" w:hAnsi="Arial" w:cs="Arial"/>
                <w:color w:val="000000"/>
                <w:sz w:val="20"/>
                <w:lang w:eastAsia="en-GB"/>
              </w:rPr>
              <w:t>4</w:t>
            </w:r>
          </w:p>
        </w:tc>
        <w:tc>
          <w:tcPr>
            <w:tcW w:w="1013" w:type="dxa"/>
            <w:vAlign w:val="bottom"/>
            <w:hideMark/>
          </w:tcPr>
          <w:p w14:paraId="5DAF13ED" w14:textId="77777777" w:rsidR="00032E88" w:rsidRPr="00361437" w:rsidRDefault="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0.0000</w:t>
            </w:r>
          </w:p>
        </w:tc>
        <w:tc>
          <w:tcPr>
            <w:tcW w:w="944" w:type="dxa"/>
            <w:vAlign w:val="bottom"/>
            <w:hideMark/>
          </w:tcPr>
          <w:p w14:paraId="209C4982" w14:textId="77777777" w:rsidR="00032E88" w:rsidRPr="00361437" w:rsidRDefault="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0.0000</w:t>
            </w:r>
          </w:p>
        </w:tc>
        <w:tc>
          <w:tcPr>
            <w:tcW w:w="989" w:type="dxa"/>
            <w:vAlign w:val="bottom"/>
            <w:hideMark/>
          </w:tcPr>
          <w:p w14:paraId="26BCD4F9" w14:textId="39067FB2" w:rsidR="00032E88" w:rsidRPr="00361437" w:rsidRDefault="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0.0</w:t>
            </w:r>
            <w:r w:rsidR="00AE3BE7" w:rsidRPr="00361437">
              <w:rPr>
                <w:rFonts w:ascii="Arial" w:eastAsia="Times New Roman" w:hAnsi="Arial" w:cs="Arial"/>
                <w:color w:val="000000"/>
                <w:sz w:val="20"/>
                <w:lang w:eastAsia="en-GB"/>
              </w:rPr>
              <w:t>735</w:t>
            </w:r>
          </w:p>
        </w:tc>
        <w:tc>
          <w:tcPr>
            <w:tcW w:w="1107" w:type="dxa"/>
            <w:vAlign w:val="bottom"/>
            <w:hideMark/>
          </w:tcPr>
          <w:p w14:paraId="354318A5" w14:textId="6E86AA82" w:rsidR="00032E88" w:rsidRPr="00361437" w:rsidRDefault="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0.18</w:t>
            </w:r>
            <w:r w:rsidR="00AE3BE7" w:rsidRPr="00361437">
              <w:rPr>
                <w:rFonts w:ascii="Arial" w:eastAsia="Times New Roman" w:hAnsi="Arial" w:cs="Arial"/>
                <w:color w:val="000000"/>
                <w:sz w:val="20"/>
                <w:lang w:eastAsia="en-GB"/>
              </w:rPr>
              <w:t>24</w:t>
            </w:r>
          </w:p>
        </w:tc>
      </w:tr>
      <w:tr w:rsidR="00032E88" w:rsidRPr="00361437" w14:paraId="37BA8D1B" w14:textId="77777777" w:rsidTr="00032E88">
        <w:trPr>
          <w:trHeight w:val="300"/>
        </w:trPr>
        <w:tc>
          <w:tcPr>
            <w:tcW w:w="9026" w:type="dxa"/>
            <w:gridSpan w:val="7"/>
            <w:noWrap/>
            <w:vAlign w:val="bottom"/>
          </w:tcPr>
          <w:p w14:paraId="49F87825" w14:textId="77777777" w:rsidR="00032E88" w:rsidRPr="00361437" w:rsidRDefault="00032E88">
            <w:pPr>
              <w:spacing w:before="100" w:beforeAutospacing="1" w:after="100" w:afterAutospacing="1" w:line="256" w:lineRule="auto"/>
              <w:contextualSpacing/>
              <w:rPr>
                <w:rFonts w:ascii="Arial" w:eastAsia="Times New Roman" w:hAnsi="Arial" w:cs="Arial"/>
                <w:color w:val="000000"/>
                <w:sz w:val="20"/>
                <w:lang w:eastAsia="en-GB"/>
              </w:rPr>
            </w:pPr>
          </w:p>
          <w:p w14:paraId="5C25F87C" w14:textId="77777777" w:rsidR="00032E88" w:rsidRPr="00361437" w:rsidRDefault="00032E88">
            <w:pPr>
              <w:spacing w:before="100" w:beforeAutospacing="1" w:after="100" w:afterAutospacing="1" w:line="256" w:lineRule="auto"/>
              <w:contextualSpacing/>
              <w:rPr>
                <w:rFonts w:ascii="Arial" w:eastAsia="Times New Roman" w:hAnsi="Arial" w:cs="Arial"/>
                <w:color w:val="000000"/>
                <w:sz w:val="20"/>
                <w:lang w:eastAsia="en-GB"/>
              </w:rPr>
            </w:pPr>
            <w:r w:rsidRPr="00361437">
              <w:rPr>
                <w:rFonts w:ascii="Arial" w:eastAsia="Times New Roman" w:hAnsi="Arial" w:cs="Arial"/>
                <w:color w:val="000000"/>
                <w:sz w:val="20"/>
                <w:lang w:eastAsia="en-GB"/>
              </w:rPr>
              <w:t>Conditional on family holding both debt and equity in the firm</w:t>
            </w:r>
          </w:p>
        </w:tc>
      </w:tr>
      <w:tr w:rsidR="00032E88" w:rsidRPr="00361437" w14:paraId="2432A268" w14:textId="77777777" w:rsidTr="00032E88">
        <w:trPr>
          <w:trHeight w:val="300"/>
        </w:trPr>
        <w:tc>
          <w:tcPr>
            <w:tcW w:w="2971" w:type="dxa"/>
            <w:noWrap/>
            <w:vAlign w:val="bottom"/>
            <w:hideMark/>
          </w:tcPr>
          <w:p w14:paraId="0AC41968" w14:textId="77777777" w:rsidR="00032E88" w:rsidRPr="00361437" w:rsidRDefault="00032E88">
            <w:pPr>
              <w:spacing w:before="100" w:beforeAutospacing="1" w:after="100" w:afterAutospacing="1" w:line="256" w:lineRule="auto"/>
              <w:contextualSpacing/>
              <w:rPr>
                <w:rFonts w:ascii="Arial" w:eastAsia="Times New Roman" w:hAnsi="Arial" w:cs="Arial"/>
                <w:color w:val="000000"/>
                <w:sz w:val="20"/>
                <w:lang w:eastAsia="en-GB"/>
              </w:rPr>
            </w:pPr>
            <w:r w:rsidRPr="00361437">
              <w:rPr>
                <w:rFonts w:ascii="Arial" w:eastAsia="Times New Roman" w:hAnsi="Arial" w:cs="Arial"/>
                <w:color w:val="000000"/>
                <w:sz w:val="20"/>
                <w:lang w:eastAsia="en-GB"/>
              </w:rPr>
              <w:t>Value of debt and equity holding in each firm (mil $US)</w:t>
            </w:r>
          </w:p>
        </w:tc>
        <w:tc>
          <w:tcPr>
            <w:tcW w:w="989" w:type="dxa"/>
            <w:noWrap/>
            <w:vAlign w:val="bottom"/>
            <w:hideMark/>
          </w:tcPr>
          <w:p w14:paraId="200F6108" w14:textId="77777777" w:rsidR="00032E88" w:rsidRPr="00361437" w:rsidRDefault="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248</w:t>
            </w:r>
          </w:p>
        </w:tc>
        <w:tc>
          <w:tcPr>
            <w:tcW w:w="1013" w:type="dxa"/>
            <w:noWrap/>
            <w:vAlign w:val="bottom"/>
            <w:hideMark/>
          </w:tcPr>
          <w:p w14:paraId="090A36DE" w14:textId="384A1818" w:rsidR="00032E88" w:rsidRPr="00361437" w:rsidRDefault="004342D3">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43</w:t>
            </w:r>
            <w:r w:rsidR="00032E88" w:rsidRPr="00361437">
              <w:rPr>
                <w:rFonts w:ascii="Arial" w:eastAsia="Times New Roman" w:hAnsi="Arial" w:cs="Arial"/>
                <w:color w:val="000000"/>
                <w:sz w:val="20"/>
                <w:lang w:eastAsia="en-GB"/>
              </w:rPr>
              <w:t>.</w:t>
            </w:r>
            <w:r w:rsidRPr="00361437">
              <w:rPr>
                <w:rFonts w:ascii="Arial" w:eastAsia="Times New Roman" w:hAnsi="Arial" w:cs="Arial"/>
                <w:color w:val="000000"/>
                <w:sz w:val="20"/>
                <w:lang w:eastAsia="en-GB"/>
              </w:rPr>
              <w:t>1757</w:t>
            </w:r>
          </w:p>
        </w:tc>
        <w:tc>
          <w:tcPr>
            <w:tcW w:w="1013" w:type="dxa"/>
            <w:vAlign w:val="bottom"/>
            <w:hideMark/>
          </w:tcPr>
          <w:p w14:paraId="67E796A6" w14:textId="3779A1B4" w:rsidR="00032E88" w:rsidRPr="00361437" w:rsidRDefault="004342D3">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9</w:t>
            </w:r>
            <w:r w:rsidR="00032E88" w:rsidRPr="00361437">
              <w:rPr>
                <w:rFonts w:ascii="Arial" w:eastAsia="Times New Roman" w:hAnsi="Arial" w:cs="Arial"/>
                <w:color w:val="000000"/>
                <w:sz w:val="20"/>
                <w:lang w:eastAsia="en-GB"/>
              </w:rPr>
              <w:t>.</w:t>
            </w:r>
            <w:r w:rsidRPr="00361437">
              <w:rPr>
                <w:rFonts w:ascii="Arial" w:eastAsia="Times New Roman" w:hAnsi="Arial" w:cs="Arial"/>
                <w:color w:val="000000"/>
                <w:sz w:val="20"/>
                <w:lang w:eastAsia="en-GB"/>
              </w:rPr>
              <w:t>1374</w:t>
            </w:r>
          </w:p>
        </w:tc>
        <w:tc>
          <w:tcPr>
            <w:tcW w:w="944" w:type="dxa"/>
            <w:vAlign w:val="bottom"/>
            <w:hideMark/>
          </w:tcPr>
          <w:p w14:paraId="3A8B3A64" w14:textId="649D1A6D" w:rsidR="00032E88" w:rsidRPr="00361437" w:rsidRDefault="004342D3">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2</w:t>
            </w:r>
            <w:r w:rsidR="00032E88" w:rsidRPr="00361437">
              <w:rPr>
                <w:rFonts w:ascii="Arial" w:eastAsia="Times New Roman" w:hAnsi="Arial" w:cs="Arial"/>
                <w:color w:val="000000"/>
                <w:sz w:val="20"/>
                <w:lang w:eastAsia="en-GB"/>
              </w:rPr>
              <w:t>.</w:t>
            </w:r>
            <w:r w:rsidRPr="00361437">
              <w:rPr>
                <w:rFonts w:ascii="Arial" w:eastAsia="Times New Roman" w:hAnsi="Arial" w:cs="Arial"/>
                <w:color w:val="000000"/>
                <w:sz w:val="20"/>
                <w:lang w:eastAsia="en-GB"/>
              </w:rPr>
              <w:t>2248</w:t>
            </w:r>
          </w:p>
        </w:tc>
        <w:tc>
          <w:tcPr>
            <w:tcW w:w="989" w:type="dxa"/>
            <w:vAlign w:val="bottom"/>
            <w:hideMark/>
          </w:tcPr>
          <w:p w14:paraId="0A4BF13D" w14:textId="46317E2F" w:rsidR="00032E88" w:rsidRPr="00361437" w:rsidRDefault="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2</w:t>
            </w:r>
            <w:r w:rsidR="004342D3" w:rsidRPr="00361437">
              <w:rPr>
                <w:rFonts w:ascii="Arial" w:eastAsia="Times New Roman" w:hAnsi="Arial" w:cs="Arial"/>
                <w:color w:val="000000"/>
                <w:sz w:val="20"/>
                <w:lang w:eastAsia="en-GB"/>
              </w:rPr>
              <w:t>8</w:t>
            </w:r>
            <w:r w:rsidRPr="00361437">
              <w:rPr>
                <w:rFonts w:ascii="Arial" w:eastAsia="Times New Roman" w:hAnsi="Arial" w:cs="Arial"/>
                <w:color w:val="000000"/>
                <w:sz w:val="20"/>
                <w:lang w:eastAsia="en-GB"/>
              </w:rPr>
              <w:t>.</w:t>
            </w:r>
            <w:r w:rsidR="004342D3" w:rsidRPr="00361437">
              <w:rPr>
                <w:rFonts w:ascii="Arial" w:eastAsia="Times New Roman" w:hAnsi="Arial" w:cs="Arial"/>
                <w:color w:val="000000"/>
                <w:sz w:val="20"/>
                <w:lang w:eastAsia="en-GB"/>
              </w:rPr>
              <w:t>5720</w:t>
            </w:r>
          </w:p>
        </w:tc>
        <w:tc>
          <w:tcPr>
            <w:tcW w:w="1107" w:type="dxa"/>
            <w:vAlign w:val="bottom"/>
            <w:hideMark/>
          </w:tcPr>
          <w:p w14:paraId="1E725BA6" w14:textId="482CBF8A" w:rsidR="00032E88" w:rsidRPr="00361437" w:rsidRDefault="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1</w:t>
            </w:r>
            <w:r w:rsidR="004342D3" w:rsidRPr="00361437">
              <w:rPr>
                <w:rFonts w:ascii="Arial" w:eastAsia="Times New Roman" w:hAnsi="Arial" w:cs="Arial"/>
                <w:color w:val="000000"/>
                <w:sz w:val="20"/>
                <w:lang w:eastAsia="en-GB"/>
              </w:rPr>
              <w:t>49</w:t>
            </w:r>
            <w:r w:rsidRPr="00361437">
              <w:rPr>
                <w:rFonts w:ascii="Arial" w:eastAsia="Times New Roman" w:hAnsi="Arial" w:cs="Arial"/>
                <w:color w:val="000000"/>
                <w:sz w:val="20"/>
                <w:lang w:eastAsia="en-GB"/>
              </w:rPr>
              <w:t>.</w:t>
            </w:r>
            <w:r w:rsidR="004342D3" w:rsidRPr="00361437">
              <w:rPr>
                <w:rFonts w:ascii="Arial" w:eastAsia="Times New Roman" w:hAnsi="Arial" w:cs="Arial"/>
                <w:color w:val="000000"/>
                <w:sz w:val="20"/>
                <w:lang w:eastAsia="en-GB"/>
              </w:rPr>
              <w:t>0736</w:t>
            </w:r>
          </w:p>
        </w:tc>
      </w:tr>
      <w:tr w:rsidR="00032E88" w:rsidRPr="00361437" w14:paraId="40F36737" w14:textId="77777777" w:rsidTr="00032E88">
        <w:trPr>
          <w:trHeight w:val="300"/>
        </w:trPr>
        <w:tc>
          <w:tcPr>
            <w:tcW w:w="2971" w:type="dxa"/>
            <w:tcBorders>
              <w:top w:val="nil"/>
              <w:left w:val="nil"/>
              <w:bottom w:val="single" w:sz="4" w:space="0" w:color="auto"/>
              <w:right w:val="nil"/>
            </w:tcBorders>
            <w:noWrap/>
            <w:vAlign w:val="bottom"/>
            <w:hideMark/>
          </w:tcPr>
          <w:p w14:paraId="458D44FA" w14:textId="77777777" w:rsidR="00032E88" w:rsidRPr="00361437" w:rsidRDefault="00032E88">
            <w:pPr>
              <w:spacing w:before="100" w:beforeAutospacing="1" w:after="100" w:afterAutospacing="1" w:line="256" w:lineRule="auto"/>
              <w:contextualSpacing/>
              <w:rPr>
                <w:rFonts w:ascii="Arial" w:eastAsia="Times New Roman" w:hAnsi="Arial" w:cs="Arial"/>
                <w:color w:val="000000"/>
                <w:sz w:val="20"/>
                <w:lang w:eastAsia="en-GB"/>
              </w:rPr>
            </w:pPr>
            <w:r w:rsidRPr="00361437">
              <w:rPr>
                <w:rFonts w:ascii="Arial" w:eastAsia="Times New Roman" w:hAnsi="Arial" w:cs="Arial"/>
                <w:color w:val="000000"/>
                <w:sz w:val="20"/>
                <w:lang w:eastAsia="en-GB"/>
              </w:rPr>
              <w:t>Debt fraction in each firm</w:t>
            </w:r>
          </w:p>
        </w:tc>
        <w:tc>
          <w:tcPr>
            <w:tcW w:w="989" w:type="dxa"/>
            <w:tcBorders>
              <w:top w:val="nil"/>
              <w:left w:val="nil"/>
              <w:bottom w:val="single" w:sz="4" w:space="0" w:color="auto"/>
              <w:right w:val="nil"/>
            </w:tcBorders>
            <w:noWrap/>
            <w:vAlign w:val="bottom"/>
            <w:hideMark/>
          </w:tcPr>
          <w:p w14:paraId="579BF273" w14:textId="77777777" w:rsidR="00032E88" w:rsidRPr="00361437" w:rsidRDefault="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248</w:t>
            </w:r>
          </w:p>
        </w:tc>
        <w:tc>
          <w:tcPr>
            <w:tcW w:w="1013" w:type="dxa"/>
            <w:tcBorders>
              <w:top w:val="nil"/>
              <w:left w:val="nil"/>
              <w:bottom w:val="single" w:sz="4" w:space="0" w:color="auto"/>
              <w:right w:val="nil"/>
            </w:tcBorders>
            <w:noWrap/>
            <w:vAlign w:val="bottom"/>
            <w:hideMark/>
          </w:tcPr>
          <w:p w14:paraId="14B1187F" w14:textId="7E1E6723" w:rsidR="00032E88" w:rsidRPr="00361437" w:rsidRDefault="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0.3</w:t>
            </w:r>
            <w:r w:rsidR="004342D3" w:rsidRPr="00361437">
              <w:rPr>
                <w:rFonts w:ascii="Arial" w:eastAsia="Times New Roman" w:hAnsi="Arial" w:cs="Arial"/>
                <w:color w:val="000000"/>
                <w:sz w:val="20"/>
                <w:lang w:eastAsia="en-GB"/>
              </w:rPr>
              <w:t>468</w:t>
            </w:r>
          </w:p>
        </w:tc>
        <w:tc>
          <w:tcPr>
            <w:tcW w:w="1013" w:type="dxa"/>
            <w:tcBorders>
              <w:top w:val="nil"/>
              <w:left w:val="nil"/>
              <w:bottom w:val="single" w:sz="4" w:space="0" w:color="auto"/>
              <w:right w:val="nil"/>
            </w:tcBorders>
            <w:vAlign w:val="bottom"/>
            <w:hideMark/>
          </w:tcPr>
          <w:p w14:paraId="69057722" w14:textId="2B684DAF" w:rsidR="00032E88" w:rsidRPr="00361437" w:rsidRDefault="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0.3</w:t>
            </w:r>
            <w:r w:rsidR="004342D3" w:rsidRPr="00361437">
              <w:rPr>
                <w:rFonts w:ascii="Arial" w:eastAsia="Times New Roman" w:hAnsi="Arial" w:cs="Arial"/>
                <w:color w:val="000000"/>
                <w:sz w:val="20"/>
                <w:lang w:eastAsia="en-GB"/>
              </w:rPr>
              <w:t>424</w:t>
            </w:r>
          </w:p>
        </w:tc>
        <w:tc>
          <w:tcPr>
            <w:tcW w:w="944" w:type="dxa"/>
            <w:tcBorders>
              <w:top w:val="nil"/>
              <w:left w:val="nil"/>
              <w:bottom w:val="single" w:sz="4" w:space="0" w:color="auto"/>
              <w:right w:val="nil"/>
            </w:tcBorders>
            <w:vAlign w:val="bottom"/>
            <w:hideMark/>
          </w:tcPr>
          <w:p w14:paraId="11B839A2" w14:textId="3BFCE938" w:rsidR="00032E88" w:rsidRPr="00361437" w:rsidRDefault="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0.2</w:t>
            </w:r>
            <w:r w:rsidR="004342D3" w:rsidRPr="00361437">
              <w:rPr>
                <w:rFonts w:ascii="Arial" w:eastAsia="Times New Roman" w:hAnsi="Arial" w:cs="Arial"/>
                <w:color w:val="000000"/>
                <w:sz w:val="20"/>
                <w:lang w:eastAsia="en-GB"/>
              </w:rPr>
              <w:t>419</w:t>
            </w:r>
          </w:p>
        </w:tc>
        <w:tc>
          <w:tcPr>
            <w:tcW w:w="989" w:type="dxa"/>
            <w:tcBorders>
              <w:top w:val="nil"/>
              <w:left w:val="nil"/>
              <w:bottom w:val="single" w:sz="4" w:space="0" w:color="auto"/>
              <w:right w:val="nil"/>
            </w:tcBorders>
            <w:vAlign w:val="bottom"/>
            <w:hideMark/>
          </w:tcPr>
          <w:p w14:paraId="6387AD01" w14:textId="670455A0" w:rsidR="00032E88" w:rsidRPr="00361437" w:rsidRDefault="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0.4</w:t>
            </w:r>
            <w:r w:rsidR="004342D3" w:rsidRPr="00361437">
              <w:rPr>
                <w:rFonts w:ascii="Arial" w:eastAsia="Times New Roman" w:hAnsi="Arial" w:cs="Arial"/>
                <w:color w:val="000000"/>
                <w:sz w:val="20"/>
                <w:lang w:eastAsia="en-GB"/>
              </w:rPr>
              <w:t>49</w:t>
            </w:r>
            <w:r w:rsidRPr="00361437">
              <w:rPr>
                <w:rFonts w:ascii="Arial" w:eastAsia="Times New Roman" w:hAnsi="Arial" w:cs="Arial"/>
                <w:color w:val="000000"/>
                <w:sz w:val="20"/>
                <w:lang w:eastAsia="en-GB"/>
              </w:rPr>
              <w:t>7</w:t>
            </w:r>
          </w:p>
        </w:tc>
        <w:tc>
          <w:tcPr>
            <w:tcW w:w="1107" w:type="dxa"/>
            <w:tcBorders>
              <w:top w:val="nil"/>
              <w:left w:val="nil"/>
              <w:bottom w:val="single" w:sz="4" w:space="0" w:color="auto"/>
              <w:right w:val="nil"/>
            </w:tcBorders>
            <w:vAlign w:val="bottom"/>
            <w:hideMark/>
          </w:tcPr>
          <w:p w14:paraId="6704DF32" w14:textId="3183FBF0" w:rsidR="00032E88" w:rsidRPr="00361437" w:rsidRDefault="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0.16</w:t>
            </w:r>
            <w:r w:rsidR="004342D3" w:rsidRPr="00361437">
              <w:rPr>
                <w:rFonts w:ascii="Arial" w:eastAsia="Times New Roman" w:hAnsi="Arial" w:cs="Arial"/>
                <w:color w:val="000000"/>
                <w:sz w:val="20"/>
                <w:lang w:eastAsia="en-GB"/>
              </w:rPr>
              <w:t>25</w:t>
            </w:r>
          </w:p>
        </w:tc>
      </w:tr>
      <w:bookmarkEnd w:id="15"/>
    </w:tbl>
    <w:p w14:paraId="54CB91F4" w14:textId="77777777" w:rsidR="00032E88" w:rsidRPr="00361437" w:rsidRDefault="00032E88" w:rsidP="00032E88">
      <w:pPr>
        <w:spacing w:before="100" w:beforeAutospacing="1" w:after="100" w:afterAutospacing="1"/>
        <w:contextualSpacing/>
        <w:jc w:val="both"/>
        <w:rPr>
          <w:rFonts w:ascii="Arial" w:hAnsi="Arial" w:cs="Arial"/>
          <w:sz w:val="14"/>
        </w:rPr>
      </w:pPr>
    </w:p>
    <w:p w14:paraId="7D619CC2" w14:textId="77777777" w:rsidR="00032E88" w:rsidRPr="00361437" w:rsidRDefault="00032E88" w:rsidP="000E77D9">
      <w:pPr>
        <w:spacing w:before="100" w:beforeAutospacing="1" w:after="100" w:afterAutospacing="1"/>
        <w:contextualSpacing/>
        <w:jc w:val="both"/>
        <w:rPr>
          <w:rFonts w:ascii="Arial" w:eastAsia="Calibri" w:hAnsi="Arial" w:cs="Arial"/>
          <w:sz w:val="14"/>
        </w:rPr>
      </w:pPr>
    </w:p>
    <w:p w14:paraId="24C7B17E" w14:textId="77777777" w:rsidR="00032E88" w:rsidRPr="00361437" w:rsidRDefault="00032E88" w:rsidP="00032E88">
      <w:pPr>
        <w:rPr>
          <w:rFonts w:ascii="Arial" w:eastAsia="Calibri" w:hAnsi="Arial" w:cs="Arial"/>
          <w:b/>
          <w:sz w:val="20"/>
        </w:rPr>
        <w:sectPr w:rsidR="00032E88" w:rsidRPr="00361437" w:rsidSect="000E77D9">
          <w:pgSz w:w="11906" w:h="16838"/>
          <w:pgMar w:top="1440" w:right="1440" w:bottom="1440" w:left="1440" w:header="708" w:footer="0" w:gutter="0"/>
          <w:cols w:space="720"/>
        </w:sectPr>
      </w:pPr>
    </w:p>
    <w:p w14:paraId="2354DF6C" w14:textId="77777777" w:rsidR="00DC2331" w:rsidRPr="00361437" w:rsidRDefault="00032E88" w:rsidP="00DC2331">
      <w:pPr>
        <w:pBdr>
          <w:top w:val="single" w:sz="4" w:space="1" w:color="auto"/>
        </w:pBdr>
        <w:jc w:val="center"/>
        <w:rPr>
          <w:rFonts w:ascii="Arial" w:eastAsia="Calibri" w:hAnsi="Arial" w:cs="Arial"/>
          <w:sz w:val="24"/>
        </w:rPr>
      </w:pPr>
      <w:r w:rsidRPr="00361437">
        <w:rPr>
          <w:rFonts w:ascii="Arial" w:eastAsia="Calibri" w:hAnsi="Arial" w:cs="Arial"/>
          <w:sz w:val="24"/>
        </w:rPr>
        <w:lastRenderedPageBreak/>
        <w:t>T</w:t>
      </w:r>
      <w:r w:rsidR="00DC2331" w:rsidRPr="00361437">
        <w:rPr>
          <w:rFonts w:ascii="Arial" w:eastAsia="Calibri" w:hAnsi="Arial" w:cs="Arial"/>
          <w:sz w:val="24"/>
        </w:rPr>
        <w:t>ABLE</w:t>
      </w:r>
      <w:r w:rsidRPr="00361437">
        <w:rPr>
          <w:rFonts w:ascii="Arial" w:eastAsia="Calibri" w:hAnsi="Arial" w:cs="Arial"/>
          <w:sz w:val="24"/>
        </w:rPr>
        <w:t xml:space="preserve"> 2</w:t>
      </w:r>
    </w:p>
    <w:p w14:paraId="1BF101B9" w14:textId="5EAA7F4A" w:rsidR="00032E88" w:rsidRPr="00361437" w:rsidRDefault="00032E88" w:rsidP="00DC2331">
      <w:pPr>
        <w:pBdr>
          <w:bottom w:val="single" w:sz="4" w:space="1" w:color="auto"/>
        </w:pBdr>
        <w:jc w:val="center"/>
        <w:rPr>
          <w:rFonts w:ascii="Arial" w:eastAsia="Calibri" w:hAnsi="Arial" w:cs="Arial"/>
          <w:sz w:val="24"/>
        </w:rPr>
      </w:pPr>
      <w:r w:rsidRPr="00361437">
        <w:rPr>
          <w:rFonts w:ascii="Arial" w:eastAsia="Calibri" w:hAnsi="Arial" w:cs="Arial"/>
          <w:sz w:val="24"/>
        </w:rPr>
        <w:t xml:space="preserve">Voting </w:t>
      </w:r>
      <w:r w:rsidR="00DC2331" w:rsidRPr="00361437">
        <w:rPr>
          <w:rFonts w:ascii="Arial" w:eastAsia="Calibri" w:hAnsi="Arial" w:cs="Arial"/>
          <w:sz w:val="24"/>
        </w:rPr>
        <w:t>P</w:t>
      </w:r>
      <w:r w:rsidRPr="00361437">
        <w:rPr>
          <w:rFonts w:ascii="Arial" w:eastAsia="Calibri" w:hAnsi="Arial" w:cs="Arial"/>
          <w:sz w:val="24"/>
        </w:rPr>
        <w:t xml:space="preserve">roposal and </w:t>
      </w:r>
      <w:r w:rsidR="00DC2331" w:rsidRPr="00361437">
        <w:rPr>
          <w:rFonts w:ascii="Arial" w:eastAsia="Calibri" w:hAnsi="Arial" w:cs="Arial"/>
          <w:sz w:val="24"/>
        </w:rPr>
        <w:t>Voting Sample Statistics</w:t>
      </w:r>
    </w:p>
    <w:p w14:paraId="07DBCC9C" w14:textId="77777777" w:rsidR="00032E88" w:rsidRPr="00361437" w:rsidRDefault="00032E88" w:rsidP="00032E88">
      <w:pPr>
        <w:rPr>
          <w:rFonts w:ascii="Arial" w:eastAsia="Calibri" w:hAnsi="Arial" w:cs="Arial"/>
          <w:sz w:val="20"/>
        </w:rPr>
      </w:pPr>
    </w:p>
    <w:p w14:paraId="16452B35" w14:textId="5C72FE55" w:rsidR="00032E88" w:rsidRPr="00361437" w:rsidRDefault="00032E88" w:rsidP="00032E88">
      <w:pPr>
        <w:jc w:val="both"/>
        <w:rPr>
          <w:rFonts w:ascii="Arial" w:eastAsia="Calibri" w:hAnsi="Arial" w:cs="Arial"/>
          <w:sz w:val="20"/>
        </w:rPr>
      </w:pPr>
      <w:r w:rsidRPr="00361437">
        <w:rPr>
          <w:rFonts w:ascii="Arial" w:eastAsia="Calibri" w:hAnsi="Arial" w:cs="Arial"/>
          <w:sz w:val="20"/>
        </w:rPr>
        <w:t xml:space="preserve">Table A presents statistics on the full sample of proposals we examine. We break down proposals into those that are less likely to result in a conflict of interest between debt holders and equity holders (non-conflict proposals) and those that are more likely to entail a conflict of interest between debt holders and equity holders (conflict proposals). We further breakup the category of conflict proposals by proposal type. We calculate for each type of proposal, the number of proposals, the average number of fund families voting within this proposal type and the fraction of proposals for which ISS agrees with management’s recommendation. Table B presents the statistics on the sample of </w:t>
      </w:r>
      <w:r w:rsidR="00655474" w:rsidRPr="00361437">
        <w:rPr>
          <w:rFonts w:ascii="Arial" w:eastAsia="Calibri" w:hAnsi="Arial" w:cs="Arial"/>
          <w:sz w:val="20"/>
        </w:rPr>
        <w:t>52,745</w:t>
      </w:r>
      <w:r w:rsidRPr="00361437">
        <w:rPr>
          <w:rFonts w:ascii="Arial" w:eastAsia="Calibri" w:hAnsi="Arial" w:cs="Arial"/>
          <w:sz w:val="20"/>
        </w:rPr>
        <w:t xml:space="preserve"> votes on </w:t>
      </w:r>
      <w:r w:rsidR="001620E6" w:rsidRPr="00361437">
        <w:rPr>
          <w:rFonts w:ascii="Arial" w:eastAsia="Calibri" w:hAnsi="Arial" w:cs="Arial"/>
          <w:sz w:val="20"/>
        </w:rPr>
        <w:t>2,081</w:t>
      </w:r>
      <w:r w:rsidRPr="00361437">
        <w:rPr>
          <w:rFonts w:ascii="Arial" w:eastAsia="Calibri" w:hAnsi="Arial" w:cs="Arial"/>
          <w:sz w:val="20"/>
        </w:rPr>
        <w:t xml:space="preserve"> conflict proposals. For each of the proposals subject to a vote, we calculate</w:t>
      </w:r>
      <w:r w:rsidR="000659CB" w:rsidRPr="00361437">
        <w:rPr>
          <w:rFonts w:ascii="Arial" w:eastAsia="Calibri" w:hAnsi="Arial" w:cs="Arial"/>
          <w:sz w:val="20"/>
        </w:rPr>
        <w:t xml:space="preserve"> VOTE_WITH_CREDITORS_(0,1)</w:t>
      </w:r>
      <w:r w:rsidRPr="00361437">
        <w:rPr>
          <w:rFonts w:ascii="Arial" w:eastAsia="Calibri" w:hAnsi="Arial" w:cs="Arial"/>
          <w:sz w:val="20"/>
        </w:rPr>
        <w:t xml:space="preserve">, which is set equal to one if a given fund family casts more than 50% of the votes of its funds in favor of creditors for the given proposal and zero otherwise. Our voting sample consists of </w:t>
      </w:r>
      <w:r w:rsidR="00655474" w:rsidRPr="00361437">
        <w:rPr>
          <w:rFonts w:ascii="Arial" w:eastAsia="Calibri" w:hAnsi="Arial" w:cs="Arial"/>
          <w:sz w:val="20"/>
        </w:rPr>
        <w:t>52,745</w:t>
      </w:r>
      <w:r w:rsidRPr="00361437">
        <w:rPr>
          <w:rFonts w:ascii="Arial" w:eastAsia="Calibri" w:hAnsi="Arial" w:cs="Arial"/>
          <w:sz w:val="20"/>
        </w:rPr>
        <w:t xml:space="preserve"> decisions by fund families in support or against </w:t>
      </w:r>
      <w:r w:rsidR="001620E6" w:rsidRPr="00361437">
        <w:rPr>
          <w:rFonts w:ascii="Arial" w:eastAsia="Calibri" w:hAnsi="Arial" w:cs="Arial"/>
          <w:sz w:val="20"/>
        </w:rPr>
        <w:t>2,081</w:t>
      </w:r>
      <w:r w:rsidRPr="00361437">
        <w:rPr>
          <w:rFonts w:ascii="Arial" w:eastAsia="Calibri" w:hAnsi="Arial" w:cs="Arial"/>
          <w:sz w:val="20"/>
        </w:rPr>
        <w:t xml:space="preserve"> conflict proposals. </w:t>
      </w:r>
    </w:p>
    <w:p w14:paraId="76973C02" w14:textId="77777777" w:rsidR="00032E88" w:rsidRPr="00361437" w:rsidRDefault="00032E88" w:rsidP="00032E88">
      <w:pPr>
        <w:jc w:val="both"/>
        <w:rPr>
          <w:rFonts w:ascii="Arial" w:eastAsia="Calibri" w:hAnsi="Arial" w:cs="Arial"/>
          <w:sz w:val="20"/>
        </w:rPr>
      </w:pPr>
    </w:p>
    <w:tbl>
      <w:tblPr>
        <w:tblW w:w="5000" w:type="pct"/>
        <w:tblLook w:val="04A0" w:firstRow="1" w:lastRow="0" w:firstColumn="1" w:lastColumn="0" w:noHBand="0" w:noVBand="1"/>
      </w:tblPr>
      <w:tblGrid>
        <w:gridCol w:w="3509"/>
        <w:gridCol w:w="1260"/>
        <w:gridCol w:w="2161"/>
        <w:gridCol w:w="2096"/>
      </w:tblGrid>
      <w:tr w:rsidR="00032E88" w:rsidRPr="00361437" w14:paraId="70CA2F08" w14:textId="77777777" w:rsidTr="006F39AD">
        <w:trPr>
          <w:trHeight w:val="360"/>
        </w:trPr>
        <w:tc>
          <w:tcPr>
            <w:tcW w:w="5000" w:type="pct"/>
            <w:gridSpan w:val="4"/>
            <w:tcBorders>
              <w:left w:val="nil"/>
              <w:bottom w:val="single" w:sz="4" w:space="0" w:color="auto"/>
              <w:right w:val="nil"/>
            </w:tcBorders>
            <w:tcMar>
              <w:top w:w="0" w:type="dxa"/>
              <w:left w:w="115" w:type="dxa"/>
              <w:bottom w:w="0" w:type="dxa"/>
              <w:right w:w="0" w:type="dxa"/>
            </w:tcMar>
            <w:vAlign w:val="center"/>
            <w:hideMark/>
          </w:tcPr>
          <w:p w14:paraId="22E61BEE" w14:textId="77777777" w:rsidR="00032E88" w:rsidRPr="00361437" w:rsidRDefault="00032E88" w:rsidP="00032E88">
            <w:pPr>
              <w:spacing w:line="256" w:lineRule="auto"/>
              <w:rPr>
                <w:rFonts w:ascii="Arial" w:eastAsia="Times New Roman" w:hAnsi="Arial" w:cs="Arial"/>
                <w:bCs/>
                <w:i/>
                <w:color w:val="000000"/>
                <w:sz w:val="20"/>
                <w:lang w:eastAsia="en-GB"/>
              </w:rPr>
            </w:pPr>
            <w:r w:rsidRPr="00361437">
              <w:rPr>
                <w:rFonts w:ascii="Arial" w:eastAsia="Times New Roman" w:hAnsi="Arial" w:cs="Arial"/>
                <w:bCs/>
                <w:i/>
                <w:color w:val="000000"/>
                <w:sz w:val="20"/>
                <w:lang w:eastAsia="en-GB"/>
              </w:rPr>
              <w:t>Panel A: Proposal statistics</w:t>
            </w:r>
          </w:p>
        </w:tc>
      </w:tr>
      <w:tr w:rsidR="00032E88" w:rsidRPr="00361437" w14:paraId="2E7580B9" w14:textId="77777777" w:rsidTr="00DC2331">
        <w:tc>
          <w:tcPr>
            <w:tcW w:w="1944" w:type="pct"/>
            <w:tcBorders>
              <w:top w:val="single" w:sz="4" w:space="0" w:color="auto"/>
              <w:left w:val="nil"/>
              <w:bottom w:val="single" w:sz="4" w:space="0" w:color="auto"/>
              <w:right w:val="nil"/>
            </w:tcBorders>
            <w:tcMar>
              <w:top w:w="0" w:type="dxa"/>
              <w:left w:w="115" w:type="dxa"/>
              <w:bottom w:w="0" w:type="dxa"/>
              <w:right w:w="0" w:type="dxa"/>
            </w:tcMar>
            <w:vAlign w:val="center"/>
            <w:hideMark/>
          </w:tcPr>
          <w:p w14:paraId="177B413E" w14:textId="77777777" w:rsidR="00032E88" w:rsidRPr="00361437" w:rsidRDefault="00032E88" w:rsidP="00032E88">
            <w:pPr>
              <w:spacing w:line="256" w:lineRule="auto"/>
              <w:rPr>
                <w:rFonts w:ascii="Arial" w:eastAsia="Times New Roman" w:hAnsi="Arial" w:cs="Arial"/>
                <w:color w:val="000000"/>
                <w:sz w:val="20"/>
                <w:lang w:eastAsia="en-GB"/>
              </w:rPr>
            </w:pPr>
            <w:r w:rsidRPr="00361437">
              <w:rPr>
                <w:rFonts w:ascii="Arial" w:eastAsia="Times New Roman" w:hAnsi="Arial" w:cs="Arial"/>
                <w:color w:val="000000"/>
                <w:sz w:val="20"/>
                <w:lang w:eastAsia="en-GB"/>
              </w:rPr>
              <w:t>Proposal types</w:t>
            </w:r>
          </w:p>
        </w:tc>
        <w:tc>
          <w:tcPr>
            <w:tcW w:w="698" w:type="pct"/>
            <w:tcBorders>
              <w:top w:val="single" w:sz="4" w:space="0" w:color="auto"/>
              <w:left w:val="nil"/>
              <w:bottom w:val="single" w:sz="4" w:space="0" w:color="auto"/>
              <w:right w:val="nil"/>
            </w:tcBorders>
            <w:vAlign w:val="center"/>
            <w:hideMark/>
          </w:tcPr>
          <w:p w14:paraId="6E829A66" w14:textId="77777777" w:rsidR="00032E88" w:rsidRPr="00361437" w:rsidRDefault="00032E88" w:rsidP="00032E88">
            <w:pPr>
              <w:spacing w:line="256" w:lineRule="auto"/>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Number of proposals</w:t>
            </w:r>
          </w:p>
        </w:tc>
        <w:tc>
          <w:tcPr>
            <w:tcW w:w="1197" w:type="pct"/>
            <w:tcBorders>
              <w:top w:val="single" w:sz="4" w:space="0" w:color="auto"/>
              <w:left w:val="nil"/>
              <w:bottom w:val="single" w:sz="4" w:space="0" w:color="auto"/>
              <w:right w:val="nil"/>
            </w:tcBorders>
            <w:vAlign w:val="center"/>
            <w:hideMark/>
          </w:tcPr>
          <w:p w14:paraId="236A21B5" w14:textId="77777777" w:rsidR="00032E88" w:rsidRPr="00361437" w:rsidRDefault="00032E88" w:rsidP="00032E88">
            <w:pPr>
              <w:spacing w:line="256" w:lineRule="auto"/>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Average number of fund families voting</w:t>
            </w:r>
          </w:p>
        </w:tc>
        <w:tc>
          <w:tcPr>
            <w:tcW w:w="1161" w:type="pct"/>
            <w:tcBorders>
              <w:top w:val="single" w:sz="4" w:space="0" w:color="auto"/>
              <w:left w:val="nil"/>
              <w:bottom w:val="single" w:sz="4" w:space="0" w:color="auto"/>
              <w:right w:val="nil"/>
            </w:tcBorders>
            <w:vAlign w:val="center"/>
            <w:hideMark/>
          </w:tcPr>
          <w:p w14:paraId="399BF0E6" w14:textId="77777777" w:rsidR="00032E88" w:rsidRPr="00361437" w:rsidRDefault="00032E88" w:rsidP="00032E88">
            <w:pPr>
              <w:spacing w:line="256" w:lineRule="auto"/>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Proportion of proposals for which ISS = management</w:t>
            </w:r>
          </w:p>
        </w:tc>
      </w:tr>
      <w:tr w:rsidR="00032E88" w:rsidRPr="00361437" w14:paraId="3738915A" w14:textId="77777777" w:rsidTr="00DC2331">
        <w:tc>
          <w:tcPr>
            <w:tcW w:w="1944" w:type="pct"/>
            <w:tcMar>
              <w:top w:w="0" w:type="dxa"/>
              <w:left w:w="115" w:type="dxa"/>
              <w:bottom w:w="0" w:type="dxa"/>
              <w:right w:w="0" w:type="dxa"/>
            </w:tcMar>
            <w:vAlign w:val="center"/>
            <w:hideMark/>
          </w:tcPr>
          <w:p w14:paraId="6CD7F286" w14:textId="77777777" w:rsidR="00032E88" w:rsidRPr="00361437" w:rsidRDefault="00032E88" w:rsidP="00032E88">
            <w:pPr>
              <w:spacing w:line="256" w:lineRule="auto"/>
              <w:rPr>
                <w:rFonts w:ascii="Arial" w:eastAsia="Times New Roman" w:hAnsi="Arial" w:cs="Arial"/>
                <w:color w:val="000000"/>
                <w:sz w:val="20"/>
                <w:lang w:eastAsia="en-GB"/>
              </w:rPr>
            </w:pPr>
            <w:r w:rsidRPr="00361437">
              <w:rPr>
                <w:rFonts w:ascii="Arial" w:eastAsia="Times New Roman" w:hAnsi="Arial" w:cs="Arial"/>
                <w:color w:val="000000"/>
                <w:sz w:val="20"/>
                <w:lang w:eastAsia="en-GB"/>
              </w:rPr>
              <w:t>1. Conflict proposals</w:t>
            </w:r>
          </w:p>
        </w:tc>
        <w:tc>
          <w:tcPr>
            <w:tcW w:w="698" w:type="pct"/>
            <w:vAlign w:val="center"/>
            <w:hideMark/>
          </w:tcPr>
          <w:p w14:paraId="337FFD29" w14:textId="5BF0B5C0" w:rsidR="00032E88" w:rsidRPr="00361437" w:rsidRDefault="00032E88" w:rsidP="00032E88">
            <w:pPr>
              <w:tabs>
                <w:tab w:val="decimal" w:pos="792"/>
              </w:tabs>
              <w:spacing w:line="256" w:lineRule="auto"/>
              <w:rPr>
                <w:rFonts w:ascii="Arial" w:eastAsia="Calibri" w:hAnsi="Arial" w:cs="Arial"/>
                <w:color w:val="000000"/>
                <w:sz w:val="20"/>
              </w:rPr>
            </w:pPr>
            <w:r w:rsidRPr="00361437">
              <w:rPr>
                <w:rFonts w:ascii="Arial" w:eastAsia="Calibri" w:hAnsi="Arial" w:cs="Arial"/>
                <w:color w:val="000000"/>
                <w:sz w:val="20"/>
              </w:rPr>
              <w:t>2,</w:t>
            </w:r>
            <w:r w:rsidR="00E94BAF" w:rsidRPr="00361437">
              <w:rPr>
                <w:rFonts w:ascii="Arial" w:eastAsia="Calibri" w:hAnsi="Arial" w:cs="Arial"/>
                <w:color w:val="000000"/>
                <w:sz w:val="20"/>
              </w:rPr>
              <w:t>08</w:t>
            </w:r>
            <w:r w:rsidR="00F44A24" w:rsidRPr="00361437">
              <w:rPr>
                <w:rFonts w:ascii="Arial" w:eastAsia="Calibri" w:hAnsi="Arial" w:cs="Arial"/>
                <w:color w:val="000000"/>
                <w:sz w:val="20"/>
              </w:rPr>
              <w:t>1</w:t>
            </w:r>
          </w:p>
        </w:tc>
        <w:tc>
          <w:tcPr>
            <w:tcW w:w="1197" w:type="pct"/>
            <w:vAlign w:val="center"/>
            <w:hideMark/>
          </w:tcPr>
          <w:p w14:paraId="501FD8BF" w14:textId="17F703F9"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2</w:t>
            </w:r>
            <w:r w:rsidR="00E94BAF" w:rsidRPr="00361437">
              <w:rPr>
                <w:rFonts w:ascii="Arial" w:eastAsia="Calibri" w:hAnsi="Arial" w:cs="Arial"/>
                <w:color w:val="000000"/>
                <w:sz w:val="20"/>
              </w:rPr>
              <w:t>5.7</w:t>
            </w:r>
            <w:r w:rsidR="00F44A24" w:rsidRPr="00361437">
              <w:rPr>
                <w:rFonts w:ascii="Arial" w:eastAsia="Calibri" w:hAnsi="Arial" w:cs="Arial"/>
                <w:color w:val="000000"/>
                <w:sz w:val="20"/>
              </w:rPr>
              <w:t>6</w:t>
            </w:r>
          </w:p>
        </w:tc>
        <w:tc>
          <w:tcPr>
            <w:tcW w:w="1161" w:type="pct"/>
            <w:vAlign w:val="center"/>
            <w:hideMark/>
          </w:tcPr>
          <w:p w14:paraId="70CB02D5" w14:textId="7960FC7A"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0.8</w:t>
            </w:r>
            <w:r w:rsidR="00E94BAF" w:rsidRPr="00361437">
              <w:rPr>
                <w:rFonts w:ascii="Arial" w:eastAsia="Calibri" w:hAnsi="Arial" w:cs="Arial"/>
                <w:color w:val="000000"/>
                <w:sz w:val="20"/>
              </w:rPr>
              <w:t>4</w:t>
            </w:r>
          </w:p>
        </w:tc>
      </w:tr>
      <w:tr w:rsidR="00032E88" w:rsidRPr="00361437" w14:paraId="2172F294" w14:textId="77777777" w:rsidTr="00DC2331">
        <w:tc>
          <w:tcPr>
            <w:tcW w:w="1944" w:type="pct"/>
            <w:tcMar>
              <w:top w:w="0" w:type="dxa"/>
              <w:left w:w="115" w:type="dxa"/>
              <w:bottom w:w="0" w:type="dxa"/>
              <w:right w:w="0" w:type="dxa"/>
            </w:tcMar>
            <w:vAlign w:val="center"/>
          </w:tcPr>
          <w:p w14:paraId="102CF9CC" w14:textId="77777777" w:rsidR="00032E88" w:rsidRPr="00361437" w:rsidRDefault="00032E88" w:rsidP="00032E88">
            <w:pPr>
              <w:spacing w:line="256" w:lineRule="auto"/>
              <w:rPr>
                <w:rFonts w:ascii="Arial" w:eastAsia="Times New Roman" w:hAnsi="Arial" w:cs="Arial"/>
                <w:color w:val="000000"/>
                <w:sz w:val="14"/>
                <w:lang w:eastAsia="en-GB"/>
              </w:rPr>
            </w:pPr>
          </w:p>
        </w:tc>
        <w:tc>
          <w:tcPr>
            <w:tcW w:w="698" w:type="pct"/>
            <w:vAlign w:val="center"/>
          </w:tcPr>
          <w:p w14:paraId="2877C141" w14:textId="77777777" w:rsidR="00032E88" w:rsidRPr="00361437" w:rsidRDefault="00032E88" w:rsidP="00032E88">
            <w:pPr>
              <w:tabs>
                <w:tab w:val="decimal" w:pos="792"/>
              </w:tabs>
              <w:spacing w:line="256" w:lineRule="auto"/>
              <w:rPr>
                <w:rFonts w:ascii="Arial" w:eastAsia="Calibri" w:hAnsi="Arial" w:cs="Arial"/>
                <w:color w:val="000000"/>
                <w:sz w:val="14"/>
              </w:rPr>
            </w:pPr>
          </w:p>
        </w:tc>
        <w:tc>
          <w:tcPr>
            <w:tcW w:w="1197" w:type="pct"/>
            <w:vAlign w:val="center"/>
          </w:tcPr>
          <w:p w14:paraId="153DB2A8" w14:textId="77777777" w:rsidR="00032E88" w:rsidRPr="00361437" w:rsidRDefault="00032E88" w:rsidP="00032E88">
            <w:pPr>
              <w:spacing w:line="256" w:lineRule="auto"/>
              <w:jc w:val="center"/>
              <w:rPr>
                <w:rFonts w:ascii="Arial" w:eastAsia="Calibri" w:hAnsi="Arial" w:cs="Arial"/>
                <w:color w:val="000000"/>
                <w:sz w:val="14"/>
              </w:rPr>
            </w:pPr>
          </w:p>
        </w:tc>
        <w:tc>
          <w:tcPr>
            <w:tcW w:w="1161" w:type="pct"/>
            <w:vAlign w:val="center"/>
          </w:tcPr>
          <w:p w14:paraId="7AFB9AEA" w14:textId="77777777" w:rsidR="00032E88" w:rsidRPr="00361437" w:rsidRDefault="00032E88" w:rsidP="00032E88">
            <w:pPr>
              <w:spacing w:line="256" w:lineRule="auto"/>
              <w:jc w:val="center"/>
              <w:rPr>
                <w:rFonts w:ascii="Arial" w:eastAsia="Calibri" w:hAnsi="Arial" w:cs="Arial"/>
                <w:color w:val="000000"/>
                <w:sz w:val="14"/>
              </w:rPr>
            </w:pPr>
          </w:p>
        </w:tc>
      </w:tr>
      <w:tr w:rsidR="00032E88" w:rsidRPr="00361437" w14:paraId="6DD86822" w14:textId="77777777" w:rsidTr="00DC2331">
        <w:tc>
          <w:tcPr>
            <w:tcW w:w="1944" w:type="pct"/>
            <w:tcMar>
              <w:top w:w="0" w:type="dxa"/>
              <w:left w:w="115" w:type="dxa"/>
              <w:bottom w:w="0" w:type="dxa"/>
              <w:right w:w="0" w:type="dxa"/>
            </w:tcMar>
            <w:vAlign w:val="center"/>
            <w:hideMark/>
          </w:tcPr>
          <w:p w14:paraId="51D0DD13" w14:textId="77777777" w:rsidR="00032E88" w:rsidRPr="00361437" w:rsidRDefault="00032E88" w:rsidP="00032E88">
            <w:pPr>
              <w:spacing w:line="256" w:lineRule="auto"/>
              <w:rPr>
                <w:rFonts w:ascii="Arial" w:eastAsia="Times New Roman" w:hAnsi="Arial" w:cs="Arial"/>
                <w:color w:val="000000"/>
                <w:sz w:val="20"/>
                <w:lang w:eastAsia="en-GB"/>
              </w:rPr>
            </w:pPr>
            <w:r w:rsidRPr="00361437">
              <w:rPr>
                <w:rFonts w:ascii="Arial" w:eastAsia="Times New Roman" w:hAnsi="Arial" w:cs="Arial"/>
                <w:color w:val="000000"/>
                <w:sz w:val="20"/>
                <w:lang w:eastAsia="en-GB"/>
              </w:rPr>
              <w:t>1.1. Dividends and share repurchases</w:t>
            </w:r>
          </w:p>
        </w:tc>
        <w:tc>
          <w:tcPr>
            <w:tcW w:w="698" w:type="pct"/>
            <w:vAlign w:val="center"/>
            <w:hideMark/>
          </w:tcPr>
          <w:p w14:paraId="54BDFC6A" w14:textId="7CBD3B52" w:rsidR="00032E88" w:rsidRPr="00361437" w:rsidRDefault="00032E88" w:rsidP="00032E88">
            <w:pPr>
              <w:tabs>
                <w:tab w:val="decimal" w:pos="792"/>
              </w:tabs>
              <w:spacing w:line="256" w:lineRule="auto"/>
              <w:rPr>
                <w:rFonts w:ascii="Arial" w:eastAsia="Calibri" w:hAnsi="Arial" w:cs="Arial"/>
                <w:color w:val="000000"/>
                <w:sz w:val="20"/>
              </w:rPr>
            </w:pPr>
            <w:r w:rsidRPr="00361437">
              <w:rPr>
                <w:rFonts w:ascii="Arial" w:eastAsia="Calibri" w:hAnsi="Arial" w:cs="Arial"/>
                <w:color w:val="000000"/>
                <w:sz w:val="20"/>
              </w:rPr>
              <w:t>2</w:t>
            </w:r>
            <w:r w:rsidR="00F44A24" w:rsidRPr="00361437">
              <w:rPr>
                <w:rFonts w:ascii="Arial" w:eastAsia="Calibri" w:hAnsi="Arial" w:cs="Arial"/>
                <w:color w:val="000000"/>
                <w:sz w:val="20"/>
              </w:rPr>
              <w:t>0</w:t>
            </w:r>
          </w:p>
        </w:tc>
        <w:tc>
          <w:tcPr>
            <w:tcW w:w="1197" w:type="pct"/>
            <w:vAlign w:val="center"/>
            <w:hideMark/>
          </w:tcPr>
          <w:p w14:paraId="17895889" w14:textId="166087CD"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3</w:t>
            </w:r>
            <w:r w:rsidR="00F44A24" w:rsidRPr="00361437">
              <w:rPr>
                <w:rFonts w:ascii="Arial" w:eastAsia="Calibri" w:hAnsi="Arial" w:cs="Arial"/>
                <w:color w:val="000000"/>
                <w:sz w:val="20"/>
              </w:rPr>
              <w:t>3.5</w:t>
            </w:r>
            <w:r w:rsidRPr="00361437">
              <w:rPr>
                <w:rFonts w:ascii="Arial" w:eastAsia="Calibri" w:hAnsi="Arial" w:cs="Arial"/>
                <w:color w:val="000000"/>
                <w:sz w:val="20"/>
              </w:rPr>
              <w:t>2</w:t>
            </w:r>
          </w:p>
        </w:tc>
        <w:tc>
          <w:tcPr>
            <w:tcW w:w="1161" w:type="pct"/>
            <w:vAlign w:val="center"/>
            <w:hideMark/>
          </w:tcPr>
          <w:p w14:paraId="0B163413" w14:textId="77777777"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0.96</w:t>
            </w:r>
          </w:p>
        </w:tc>
      </w:tr>
      <w:tr w:rsidR="00032E88" w:rsidRPr="00361437" w14:paraId="68407B18" w14:textId="77777777" w:rsidTr="00DC2331">
        <w:tc>
          <w:tcPr>
            <w:tcW w:w="1944" w:type="pct"/>
            <w:tcMar>
              <w:top w:w="0" w:type="dxa"/>
              <w:left w:w="115" w:type="dxa"/>
              <w:bottom w:w="0" w:type="dxa"/>
              <w:right w:w="0" w:type="dxa"/>
            </w:tcMar>
            <w:vAlign w:val="center"/>
            <w:hideMark/>
          </w:tcPr>
          <w:p w14:paraId="221FD923" w14:textId="77777777" w:rsidR="00032E88" w:rsidRPr="00361437" w:rsidRDefault="00032E88" w:rsidP="00032E88">
            <w:pPr>
              <w:spacing w:line="256" w:lineRule="auto"/>
              <w:rPr>
                <w:rFonts w:ascii="Arial" w:eastAsia="Times New Roman" w:hAnsi="Arial" w:cs="Arial"/>
                <w:color w:val="000000"/>
                <w:sz w:val="20"/>
                <w:lang w:eastAsia="en-GB"/>
              </w:rPr>
            </w:pPr>
            <w:r w:rsidRPr="00361437">
              <w:rPr>
                <w:rFonts w:ascii="Arial" w:eastAsia="Times New Roman" w:hAnsi="Arial" w:cs="Arial"/>
                <w:color w:val="000000"/>
                <w:sz w:val="20"/>
                <w:lang w:eastAsia="en-GB"/>
              </w:rPr>
              <w:t>1.2. Equity issuance</w:t>
            </w:r>
          </w:p>
        </w:tc>
        <w:tc>
          <w:tcPr>
            <w:tcW w:w="698" w:type="pct"/>
            <w:vAlign w:val="center"/>
            <w:hideMark/>
          </w:tcPr>
          <w:p w14:paraId="3AD9E610" w14:textId="2A294DD0" w:rsidR="00032E88" w:rsidRPr="00361437" w:rsidRDefault="00770C69" w:rsidP="00032E88">
            <w:pPr>
              <w:tabs>
                <w:tab w:val="decimal" w:pos="792"/>
              </w:tabs>
              <w:spacing w:line="256" w:lineRule="auto"/>
              <w:rPr>
                <w:rFonts w:ascii="Arial" w:eastAsia="Calibri" w:hAnsi="Arial" w:cs="Arial"/>
                <w:color w:val="000000"/>
                <w:sz w:val="20"/>
              </w:rPr>
            </w:pPr>
            <w:r w:rsidRPr="00361437">
              <w:rPr>
                <w:rFonts w:ascii="Arial" w:eastAsia="Calibri" w:hAnsi="Arial" w:cs="Arial"/>
                <w:color w:val="000000"/>
                <w:sz w:val="20"/>
              </w:rPr>
              <w:t>3</w:t>
            </w:r>
            <w:r w:rsidR="00032E88" w:rsidRPr="00361437">
              <w:rPr>
                <w:rFonts w:ascii="Arial" w:eastAsia="Calibri" w:hAnsi="Arial" w:cs="Arial"/>
                <w:color w:val="000000"/>
                <w:sz w:val="20"/>
              </w:rPr>
              <w:t>64</w:t>
            </w:r>
          </w:p>
        </w:tc>
        <w:tc>
          <w:tcPr>
            <w:tcW w:w="1197" w:type="pct"/>
            <w:vAlign w:val="center"/>
            <w:hideMark/>
          </w:tcPr>
          <w:p w14:paraId="545BBF30" w14:textId="30221F70" w:rsidR="00032E88" w:rsidRPr="00361437" w:rsidRDefault="00E94BAF"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20.06</w:t>
            </w:r>
          </w:p>
        </w:tc>
        <w:tc>
          <w:tcPr>
            <w:tcW w:w="1161" w:type="pct"/>
            <w:vAlign w:val="center"/>
            <w:hideMark/>
          </w:tcPr>
          <w:p w14:paraId="5EC28A4C" w14:textId="787E7F20"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0.8</w:t>
            </w:r>
            <w:r w:rsidR="00E94BAF" w:rsidRPr="00361437">
              <w:rPr>
                <w:rFonts w:ascii="Arial" w:eastAsia="Calibri" w:hAnsi="Arial" w:cs="Arial"/>
                <w:color w:val="000000"/>
                <w:sz w:val="20"/>
              </w:rPr>
              <w:t>5</w:t>
            </w:r>
          </w:p>
        </w:tc>
      </w:tr>
      <w:tr w:rsidR="00032E88" w:rsidRPr="00361437" w14:paraId="159D36F3" w14:textId="77777777" w:rsidTr="00DC2331">
        <w:tc>
          <w:tcPr>
            <w:tcW w:w="1944" w:type="pct"/>
            <w:tcMar>
              <w:top w:w="0" w:type="dxa"/>
              <w:left w:w="115" w:type="dxa"/>
              <w:bottom w:w="0" w:type="dxa"/>
              <w:right w:w="0" w:type="dxa"/>
            </w:tcMar>
            <w:vAlign w:val="center"/>
            <w:hideMark/>
          </w:tcPr>
          <w:p w14:paraId="0CBF40BB" w14:textId="77777777" w:rsidR="00032E88" w:rsidRPr="00361437" w:rsidRDefault="00032E88" w:rsidP="00032E88">
            <w:pPr>
              <w:spacing w:line="256" w:lineRule="auto"/>
              <w:rPr>
                <w:rFonts w:ascii="Arial" w:eastAsia="Times New Roman" w:hAnsi="Arial" w:cs="Arial"/>
                <w:color w:val="000000"/>
                <w:sz w:val="20"/>
                <w:lang w:eastAsia="en-GB"/>
              </w:rPr>
            </w:pPr>
            <w:r w:rsidRPr="00361437">
              <w:rPr>
                <w:rFonts w:ascii="Arial" w:eastAsia="Times New Roman" w:hAnsi="Arial" w:cs="Arial"/>
                <w:color w:val="000000"/>
                <w:sz w:val="20"/>
                <w:lang w:eastAsia="en-GB"/>
              </w:rPr>
              <w:t>1.3. Anti-takeover provisions</w:t>
            </w:r>
          </w:p>
        </w:tc>
        <w:tc>
          <w:tcPr>
            <w:tcW w:w="698" w:type="pct"/>
            <w:vAlign w:val="center"/>
            <w:hideMark/>
          </w:tcPr>
          <w:p w14:paraId="202306D3" w14:textId="420195A8" w:rsidR="00032E88" w:rsidRPr="00361437" w:rsidRDefault="00770C69" w:rsidP="00032E88">
            <w:pPr>
              <w:tabs>
                <w:tab w:val="decimal" w:pos="792"/>
              </w:tabs>
              <w:spacing w:line="256" w:lineRule="auto"/>
              <w:rPr>
                <w:rFonts w:ascii="Arial" w:eastAsia="Calibri" w:hAnsi="Arial" w:cs="Arial"/>
                <w:color w:val="000000"/>
                <w:sz w:val="20"/>
              </w:rPr>
            </w:pPr>
            <w:r w:rsidRPr="00361437">
              <w:rPr>
                <w:rFonts w:ascii="Arial" w:eastAsia="Calibri" w:hAnsi="Arial" w:cs="Arial"/>
                <w:color w:val="000000"/>
                <w:sz w:val="20"/>
              </w:rPr>
              <w:t>468</w:t>
            </w:r>
          </w:p>
        </w:tc>
        <w:tc>
          <w:tcPr>
            <w:tcW w:w="1197" w:type="pct"/>
            <w:vAlign w:val="center"/>
            <w:hideMark/>
          </w:tcPr>
          <w:p w14:paraId="7AC98BAA" w14:textId="200045A3"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3</w:t>
            </w:r>
            <w:r w:rsidR="00E94BAF" w:rsidRPr="00361437">
              <w:rPr>
                <w:rFonts w:ascii="Arial" w:eastAsia="Calibri" w:hAnsi="Arial" w:cs="Arial"/>
                <w:color w:val="000000"/>
                <w:sz w:val="20"/>
              </w:rPr>
              <w:t>5.15</w:t>
            </w:r>
          </w:p>
        </w:tc>
        <w:tc>
          <w:tcPr>
            <w:tcW w:w="1161" w:type="pct"/>
            <w:vAlign w:val="center"/>
            <w:hideMark/>
          </w:tcPr>
          <w:p w14:paraId="20FFEFBF" w14:textId="77777777"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0.82</w:t>
            </w:r>
          </w:p>
        </w:tc>
      </w:tr>
      <w:tr w:rsidR="00032E88" w:rsidRPr="00361437" w14:paraId="1BEFE546" w14:textId="77777777" w:rsidTr="00DC2331">
        <w:tc>
          <w:tcPr>
            <w:tcW w:w="1944" w:type="pct"/>
            <w:tcMar>
              <w:top w:w="0" w:type="dxa"/>
              <w:left w:w="115" w:type="dxa"/>
              <w:bottom w:w="0" w:type="dxa"/>
              <w:right w:w="0" w:type="dxa"/>
            </w:tcMar>
            <w:vAlign w:val="center"/>
            <w:hideMark/>
          </w:tcPr>
          <w:p w14:paraId="4B51C378" w14:textId="77777777" w:rsidR="00032E88" w:rsidRPr="00361437" w:rsidRDefault="00032E88" w:rsidP="00032E88">
            <w:pPr>
              <w:spacing w:line="256" w:lineRule="auto"/>
              <w:rPr>
                <w:rFonts w:ascii="Arial" w:eastAsia="Times New Roman" w:hAnsi="Arial" w:cs="Arial"/>
                <w:color w:val="000000"/>
                <w:sz w:val="20"/>
                <w:lang w:eastAsia="en-GB"/>
              </w:rPr>
            </w:pPr>
            <w:r w:rsidRPr="00361437">
              <w:rPr>
                <w:rFonts w:ascii="Arial" w:eastAsia="Times New Roman" w:hAnsi="Arial" w:cs="Arial"/>
                <w:color w:val="000000"/>
                <w:sz w:val="20"/>
                <w:lang w:eastAsia="en-GB"/>
              </w:rPr>
              <w:t>1.4. Executive compensation</w:t>
            </w:r>
          </w:p>
        </w:tc>
        <w:tc>
          <w:tcPr>
            <w:tcW w:w="698" w:type="pct"/>
            <w:vAlign w:val="center"/>
            <w:hideMark/>
          </w:tcPr>
          <w:p w14:paraId="1AC4BF78" w14:textId="47DEF3A3" w:rsidR="00032E88" w:rsidRPr="00361437" w:rsidRDefault="00032E88" w:rsidP="00032E88">
            <w:pPr>
              <w:tabs>
                <w:tab w:val="decimal" w:pos="792"/>
              </w:tabs>
              <w:spacing w:line="256" w:lineRule="auto"/>
              <w:rPr>
                <w:rFonts w:ascii="Arial" w:eastAsia="Calibri" w:hAnsi="Arial" w:cs="Arial"/>
                <w:color w:val="000000"/>
                <w:sz w:val="20"/>
              </w:rPr>
            </w:pPr>
            <w:r w:rsidRPr="00361437">
              <w:rPr>
                <w:rFonts w:ascii="Arial" w:eastAsia="Calibri" w:hAnsi="Arial" w:cs="Arial"/>
                <w:color w:val="000000"/>
                <w:sz w:val="20"/>
              </w:rPr>
              <w:t>1,</w:t>
            </w:r>
            <w:r w:rsidR="00770C69" w:rsidRPr="00361437">
              <w:rPr>
                <w:rFonts w:ascii="Arial" w:eastAsia="Calibri" w:hAnsi="Arial" w:cs="Arial"/>
                <w:color w:val="000000"/>
                <w:sz w:val="20"/>
              </w:rPr>
              <w:t>0</w:t>
            </w:r>
            <w:r w:rsidRPr="00361437">
              <w:rPr>
                <w:rFonts w:ascii="Arial" w:eastAsia="Calibri" w:hAnsi="Arial" w:cs="Arial"/>
                <w:color w:val="000000"/>
                <w:sz w:val="20"/>
              </w:rPr>
              <w:t>29</w:t>
            </w:r>
          </w:p>
        </w:tc>
        <w:tc>
          <w:tcPr>
            <w:tcW w:w="1197" w:type="pct"/>
            <w:vAlign w:val="center"/>
            <w:hideMark/>
          </w:tcPr>
          <w:p w14:paraId="08F20F27" w14:textId="051DD65A"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2</w:t>
            </w:r>
            <w:r w:rsidR="00E94BAF" w:rsidRPr="00361437">
              <w:rPr>
                <w:rFonts w:ascii="Arial" w:eastAsia="Calibri" w:hAnsi="Arial" w:cs="Arial"/>
                <w:color w:val="000000"/>
                <w:sz w:val="20"/>
              </w:rPr>
              <w:t>5</w:t>
            </w:r>
            <w:r w:rsidRPr="00361437">
              <w:rPr>
                <w:rFonts w:ascii="Arial" w:eastAsia="Calibri" w:hAnsi="Arial" w:cs="Arial"/>
                <w:color w:val="000000"/>
                <w:sz w:val="20"/>
              </w:rPr>
              <w:t>.</w:t>
            </w:r>
            <w:r w:rsidR="00E94BAF" w:rsidRPr="00361437">
              <w:rPr>
                <w:rFonts w:ascii="Arial" w:eastAsia="Calibri" w:hAnsi="Arial" w:cs="Arial"/>
                <w:color w:val="000000"/>
                <w:sz w:val="20"/>
              </w:rPr>
              <w:t>49</w:t>
            </w:r>
          </w:p>
        </w:tc>
        <w:tc>
          <w:tcPr>
            <w:tcW w:w="1161" w:type="pct"/>
            <w:vAlign w:val="center"/>
            <w:hideMark/>
          </w:tcPr>
          <w:p w14:paraId="493BF341" w14:textId="0CD417A4"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0.8</w:t>
            </w:r>
            <w:r w:rsidR="00E94BAF" w:rsidRPr="00361437">
              <w:rPr>
                <w:rFonts w:ascii="Arial" w:eastAsia="Calibri" w:hAnsi="Arial" w:cs="Arial"/>
                <w:color w:val="000000"/>
                <w:sz w:val="20"/>
              </w:rPr>
              <w:t>3</w:t>
            </w:r>
          </w:p>
        </w:tc>
      </w:tr>
      <w:tr w:rsidR="00032E88" w:rsidRPr="00361437" w14:paraId="44FBDEE2" w14:textId="77777777" w:rsidTr="00DC2331">
        <w:tc>
          <w:tcPr>
            <w:tcW w:w="1944" w:type="pct"/>
            <w:tcMar>
              <w:top w:w="0" w:type="dxa"/>
              <w:left w:w="115" w:type="dxa"/>
              <w:bottom w:w="0" w:type="dxa"/>
              <w:right w:w="0" w:type="dxa"/>
            </w:tcMar>
            <w:vAlign w:val="center"/>
            <w:hideMark/>
          </w:tcPr>
          <w:p w14:paraId="5D3B6E0B" w14:textId="77777777" w:rsidR="00032E88" w:rsidRPr="00361437" w:rsidRDefault="00032E88" w:rsidP="00032E88">
            <w:pPr>
              <w:spacing w:line="256" w:lineRule="auto"/>
              <w:rPr>
                <w:rFonts w:ascii="Arial" w:eastAsia="Times New Roman" w:hAnsi="Arial" w:cs="Arial"/>
                <w:color w:val="000000"/>
                <w:sz w:val="20"/>
                <w:lang w:eastAsia="en-GB"/>
              </w:rPr>
            </w:pPr>
            <w:r w:rsidRPr="00361437">
              <w:rPr>
                <w:rFonts w:ascii="Arial" w:eastAsia="Times New Roman" w:hAnsi="Arial" w:cs="Arial"/>
                <w:color w:val="000000"/>
                <w:sz w:val="20"/>
                <w:lang w:eastAsia="en-GB"/>
              </w:rPr>
              <w:t>1.5. Restructuring activities</w:t>
            </w:r>
          </w:p>
        </w:tc>
        <w:tc>
          <w:tcPr>
            <w:tcW w:w="698" w:type="pct"/>
            <w:vAlign w:val="center"/>
            <w:hideMark/>
          </w:tcPr>
          <w:p w14:paraId="4BF97E00" w14:textId="58C8FAF3" w:rsidR="00032E88" w:rsidRPr="00361437" w:rsidRDefault="00032E88" w:rsidP="00032E88">
            <w:pPr>
              <w:tabs>
                <w:tab w:val="decimal" w:pos="792"/>
              </w:tabs>
              <w:spacing w:line="256" w:lineRule="auto"/>
              <w:rPr>
                <w:rFonts w:ascii="Arial" w:eastAsia="Calibri" w:hAnsi="Arial" w:cs="Arial"/>
                <w:color w:val="000000"/>
                <w:sz w:val="20"/>
              </w:rPr>
            </w:pPr>
            <w:r w:rsidRPr="00361437">
              <w:rPr>
                <w:rFonts w:ascii="Arial" w:eastAsia="Calibri" w:hAnsi="Arial" w:cs="Arial"/>
                <w:color w:val="000000"/>
                <w:sz w:val="20"/>
              </w:rPr>
              <w:t>2</w:t>
            </w:r>
            <w:r w:rsidR="00770C69" w:rsidRPr="00361437">
              <w:rPr>
                <w:rFonts w:ascii="Arial" w:eastAsia="Calibri" w:hAnsi="Arial" w:cs="Arial"/>
                <w:color w:val="000000"/>
                <w:sz w:val="20"/>
              </w:rPr>
              <w:t>00</w:t>
            </w:r>
          </w:p>
        </w:tc>
        <w:tc>
          <w:tcPr>
            <w:tcW w:w="1197" w:type="pct"/>
            <w:vAlign w:val="center"/>
            <w:hideMark/>
          </w:tcPr>
          <w:p w14:paraId="3D63B651" w14:textId="6F312006"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1</w:t>
            </w:r>
            <w:r w:rsidR="00E94BAF" w:rsidRPr="00361437">
              <w:rPr>
                <w:rFonts w:ascii="Arial" w:eastAsia="Calibri" w:hAnsi="Arial" w:cs="Arial"/>
                <w:color w:val="000000"/>
                <w:sz w:val="20"/>
              </w:rPr>
              <w:t>4</w:t>
            </w:r>
            <w:r w:rsidRPr="00361437">
              <w:rPr>
                <w:rFonts w:ascii="Arial" w:eastAsia="Calibri" w:hAnsi="Arial" w:cs="Arial"/>
                <w:color w:val="000000"/>
                <w:sz w:val="20"/>
              </w:rPr>
              <w:t>.</w:t>
            </w:r>
            <w:r w:rsidR="00E94BAF" w:rsidRPr="00361437">
              <w:rPr>
                <w:rFonts w:ascii="Arial" w:eastAsia="Calibri" w:hAnsi="Arial" w:cs="Arial"/>
                <w:color w:val="000000"/>
                <w:sz w:val="20"/>
              </w:rPr>
              <w:t>82</w:t>
            </w:r>
          </w:p>
        </w:tc>
        <w:tc>
          <w:tcPr>
            <w:tcW w:w="1161" w:type="pct"/>
            <w:vAlign w:val="center"/>
            <w:hideMark/>
          </w:tcPr>
          <w:p w14:paraId="355625FB" w14:textId="77777777"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0.90</w:t>
            </w:r>
          </w:p>
        </w:tc>
      </w:tr>
      <w:tr w:rsidR="00032E88" w:rsidRPr="00361437" w14:paraId="724E480C" w14:textId="77777777" w:rsidTr="00DC2331">
        <w:tc>
          <w:tcPr>
            <w:tcW w:w="1944" w:type="pct"/>
            <w:tcMar>
              <w:top w:w="0" w:type="dxa"/>
              <w:left w:w="115" w:type="dxa"/>
              <w:bottom w:w="0" w:type="dxa"/>
              <w:right w:w="0" w:type="dxa"/>
            </w:tcMar>
            <w:vAlign w:val="center"/>
          </w:tcPr>
          <w:p w14:paraId="0DA24FA2" w14:textId="77777777" w:rsidR="00032E88" w:rsidRPr="00361437" w:rsidRDefault="00032E88" w:rsidP="00032E88">
            <w:pPr>
              <w:spacing w:line="256" w:lineRule="auto"/>
              <w:rPr>
                <w:rFonts w:ascii="Arial" w:eastAsia="Times New Roman" w:hAnsi="Arial" w:cs="Arial"/>
                <w:color w:val="000000"/>
                <w:sz w:val="14"/>
                <w:lang w:eastAsia="en-GB"/>
              </w:rPr>
            </w:pPr>
          </w:p>
        </w:tc>
        <w:tc>
          <w:tcPr>
            <w:tcW w:w="698" w:type="pct"/>
            <w:vAlign w:val="center"/>
          </w:tcPr>
          <w:p w14:paraId="26D5B0ED" w14:textId="77777777" w:rsidR="00032E88" w:rsidRPr="00361437" w:rsidRDefault="00032E88" w:rsidP="00032E88">
            <w:pPr>
              <w:tabs>
                <w:tab w:val="decimal" w:pos="792"/>
              </w:tabs>
              <w:spacing w:line="256" w:lineRule="auto"/>
              <w:rPr>
                <w:rFonts w:ascii="Arial" w:eastAsia="Calibri" w:hAnsi="Arial" w:cs="Arial"/>
                <w:color w:val="000000"/>
                <w:sz w:val="14"/>
              </w:rPr>
            </w:pPr>
          </w:p>
        </w:tc>
        <w:tc>
          <w:tcPr>
            <w:tcW w:w="1197" w:type="pct"/>
            <w:vAlign w:val="center"/>
          </w:tcPr>
          <w:p w14:paraId="6EF13AFA" w14:textId="77777777" w:rsidR="00032E88" w:rsidRPr="00361437" w:rsidRDefault="00032E88" w:rsidP="00032E88">
            <w:pPr>
              <w:spacing w:line="256" w:lineRule="auto"/>
              <w:jc w:val="center"/>
              <w:rPr>
                <w:rFonts w:ascii="Arial" w:eastAsia="Calibri" w:hAnsi="Arial" w:cs="Arial"/>
                <w:color w:val="000000"/>
                <w:sz w:val="14"/>
              </w:rPr>
            </w:pPr>
          </w:p>
        </w:tc>
        <w:tc>
          <w:tcPr>
            <w:tcW w:w="1161" w:type="pct"/>
            <w:vAlign w:val="center"/>
          </w:tcPr>
          <w:p w14:paraId="37708294" w14:textId="77777777" w:rsidR="00032E88" w:rsidRPr="00361437" w:rsidRDefault="00032E88" w:rsidP="00032E88">
            <w:pPr>
              <w:spacing w:line="256" w:lineRule="auto"/>
              <w:jc w:val="center"/>
              <w:rPr>
                <w:rFonts w:ascii="Arial" w:eastAsia="Calibri" w:hAnsi="Arial" w:cs="Arial"/>
                <w:color w:val="000000"/>
                <w:sz w:val="14"/>
              </w:rPr>
            </w:pPr>
          </w:p>
        </w:tc>
      </w:tr>
      <w:tr w:rsidR="00032E88" w:rsidRPr="00361437" w14:paraId="6CB0FF74" w14:textId="77777777" w:rsidTr="00DC2331">
        <w:tc>
          <w:tcPr>
            <w:tcW w:w="1944" w:type="pct"/>
            <w:tcMar>
              <w:top w:w="0" w:type="dxa"/>
              <w:left w:w="115" w:type="dxa"/>
              <w:bottom w:w="0" w:type="dxa"/>
              <w:right w:w="0" w:type="dxa"/>
            </w:tcMar>
            <w:vAlign w:val="center"/>
            <w:hideMark/>
          </w:tcPr>
          <w:p w14:paraId="402EDDDC" w14:textId="77777777" w:rsidR="00032E88" w:rsidRPr="00361437" w:rsidRDefault="00032E88" w:rsidP="00032E88">
            <w:pPr>
              <w:spacing w:line="256" w:lineRule="auto"/>
              <w:rPr>
                <w:rFonts w:ascii="Arial" w:eastAsia="Times New Roman" w:hAnsi="Arial" w:cs="Arial"/>
                <w:color w:val="000000"/>
                <w:sz w:val="20"/>
                <w:lang w:eastAsia="en-GB"/>
              </w:rPr>
            </w:pPr>
            <w:r w:rsidRPr="00361437">
              <w:rPr>
                <w:rFonts w:ascii="Arial" w:eastAsia="Times New Roman" w:hAnsi="Arial" w:cs="Arial"/>
                <w:color w:val="000000"/>
                <w:sz w:val="20"/>
                <w:lang w:eastAsia="en-GB"/>
              </w:rPr>
              <w:t>2. Non-conflict proposals</w:t>
            </w:r>
          </w:p>
        </w:tc>
        <w:tc>
          <w:tcPr>
            <w:tcW w:w="698" w:type="pct"/>
            <w:vAlign w:val="center"/>
            <w:hideMark/>
          </w:tcPr>
          <w:p w14:paraId="6102112B" w14:textId="54E8891A" w:rsidR="00032E88" w:rsidRPr="00361437" w:rsidRDefault="00E94BAF" w:rsidP="00032E88">
            <w:pPr>
              <w:tabs>
                <w:tab w:val="decimal" w:pos="792"/>
              </w:tabs>
              <w:spacing w:line="256" w:lineRule="auto"/>
              <w:rPr>
                <w:rFonts w:ascii="Arial" w:eastAsia="Calibri" w:hAnsi="Arial" w:cs="Arial"/>
                <w:color w:val="000000"/>
                <w:sz w:val="20"/>
              </w:rPr>
            </w:pPr>
            <w:r w:rsidRPr="00361437">
              <w:rPr>
                <w:rFonts w:ascii="Arial" w:eastAsia="Calibri" w:hAnsi="Arial" w:cs="Arial"/>
                <w:color w:val="000000"/>
                <w:sz w:val="20"/>
              </w:rPr>
              <w:t>72</w:t>
            </w:r>
            <w:r w:rsidR="00032E88" w:rsidRPr="00361437">
              <w:rPr>
                <w:rFonts w:ascii="Arial" w:eastAsia="Calibri" w:hAnsi="Arial" w:cs="Arial"/>
                <w:color w:val="000000"/>
                <w:sz w:val="20"/>
              </w:rPr>
              <w:t>,</w:t>
            </w:r>
            <w:r w:rsidRPr="00361437">
              <w:rPr>
                <w:rFonts w:ascii="Arial" w:eastAsia="Calibri" w:hAnsi="Arial" w:cs="Arial"/>
                <w:color w:val="000000"/>
                <w:sz w:val="20"/>
              </w:rPr>
              <w:t>393</w:t>
            </w:r>
          </w:p>
        </w:tc>
        <w:tc>
          <w:tcPr>
            <w:tcW w:w="1197" w:type="pct"/>
            <w:vAlign w:val="center"/>
            <w:hideMark/>
          </w:tcPr>
          <w:p w14:paraId="27598D11" w14:textId="77777777"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25.77</w:t>
            </w:r>
          </w:p>
        </w:tc>
        <w:tc>
          <w:tcPr>
            <w:tcW w:w="1161" w:type="pct"/>
            <w:vAlign w:val="center"/>
            <w:hideMark/>
          </w:tcPr>
          <w:p w14:paraId="318594FA" w14:textId="6845240F"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0.8</w:t>
            </w:r>
            <w:r w:rsidR="00E94BAF" w:rsidRPr="00361437">
              <w:rPr>
                <w:rFonts w:ascii="Arial" w:eastAsia="Calibri" w:hAnsi="Arial" w:cs="Arial"/>
                <w:color w:val="000000"/>
                <w:sz w:val="20"/>
              </w:rPr>
              <w:t>9</w:t>
            </w:r>
          </w:p>
        </w:tc>
      </w:tr>
      <w:tr w:rsidR="00032E88" w:rsidRPr="00361437" w14:paraId="76968B24" w14:textId="77777777" w:rsidTr="00DC2331">
        <w:tc>
          <w:tcPr>
            <w:tcW w:w="1944" w:type="pct"/>
            <w:tcMar>
              <w:top w:w="0" w:type="dxa"/>
              <w:left w:w="115" w:type="dxa"/>
              <w:bottom w:w="0" w:type="dxa"/>
              <w:right w:w="0" w:type="dxa"/>
            </w:tcMar>
            <w:vAlign w:val="center"/>
          </w:tcPr>
          <w:p w14:paraId="5D44EDAA" w14:textId="77777777" w:rsidR="00032E88" w:rsidRPr="00361437" w:rsidRDefault="00032E88" w:rsidP="00032E88">
            <w:pPr>
              <w:spacing w:line="256" w:lineRule="auto"/>
              <w:rPr>
                <w:rFonts w:ascii="Arial" w:eastAsia="Times New Roman" w:hAnsi="Arial" w:cs="Arial"/>
                <w:color w:val="000000"/>
                <w:sz w:val="14"/>
                <w:lang w:eastAsia="en-GB"/>
              </w:rPr>
            </w:pPr>
          </w:p>
        </w:tc>
        <w:tc>
          <w:tcPr>
            <w:tcW w:w="698" w:type="pct"/>
            <w:vAlign w:val="center"/>
          </w:tcPr>
          <w:p w14:paraId="385E7B95" w14:textId="77777777" w:rsidR="00032E88" w:rsidRPr="00361437" w:rsidRDefault="00032E88" w:rsidP="00032E88">
            <w:pPr>
              <w:tabs>
                <w:tab w:val="decimal" w:pos="792"/>
              </w:tabs>
              <w:spacing w:line="256" w:lineRule="auto"/>
              <w:rPr>
                <w:rFonts w:ascii="Arial" w:eastAsia="Calibri" w:hAnsi="Arial" w:cs="Arial"/>
                <w:color w:val="000000"/>
                <w:sz w:val="14"/>
              </w:rPr>
            </w:pPr>
          </w:p>
        </w:tc>
        <w:tc>
          <w:tcPr>
            <w:tcW w:w="1197" w:type="pct"/>
            <w:vAlign w:val="center"/>
          </w:tcPr>
          <w:p w14:paraId="1BB7E164" w14:textId="77777777" w:rsidR="00032E88" w:rsidRPr="00361437" w:rsidRDefault="00032E88" w:rsidP="00032E88">
            <w:pPr>
              <w:spacing w:line="256" w:lineRule="auto"/>
              <w:jc w:val="center"/>
              <w:rPr>
                <w:rFonts w:ascii="Arial" w:eastAsia="Calibri" w:hAnsi="Arial" w:cs="Arial"/>
                <w:color w:val="000000"/>
                <w:sz w:val="14"/>
              </w:rPr>
            </w:pPr>
          </w:p>
        </w:tc>
        <w:tc>
          <w:tcPr>
            <w:tcW w:w="1161" w:type="pct"/>
            <w:vAlign w:val="center"/>
          </w:tcPr>
          <w:p w14:paraId="784E8022" w14:textId="77777777" w:rsidR="00032E88" w:rsidRPr="00361437" w:rsidRDefault="00032E88" w:rsidP="00032E88">
            <w:pPr>
              <w:spacing w:line="256" w:lineRule="auto"/>
              <w:jc w:val="center"/>
              <w:rPr>
                <w:rFonts w:ascii="Arial" w:eastAsia="Calibri" w:hAnsi="Arial" w:cs="Arial"/>
                <w:color w:val="000000"/>
                <w:sz w:val="14"/>
              </w:rPr>
            </w:pPr>
          </w:p>
        </w:tc>
      </w:tr>
      <w:tr w:rsidR="00032E88" w:rsidRPr="00361437" w14:paraId="611F006A" w14:textId="77777777" w:rsidTr="00DC2331">
        <w:tc>
          <w:tcPr>
            <w:tcW w:w="1944" w:type="pct"/>
            <w:tcMar>
              <w:top w:w="0" w:type="dxa"/>
              <w:left w:w="115" w:type="dxa"/>
              <w:bottom w:w="0" w:type="dxa"/>
              <w:right w:w="0" w:type="dxa"/>
            </w:tcMar>
            <w:vAlign w:val="center"/>
            <w:hideMark/>
          </w:tcPr>
          <w:p w14:paraId="0864C869" w14:textId="77777777" w:rsidR="00032E88" w:rsidRPr="00361437" w:rsidRDefault="00032E88" w:rsidP="00032E88">
            <w:pPr>
              <w:spacing w:line="256" w:lineRule="auto"/>
              <w:rPr>
                <w:rFonts w:ascii="Arial" w:eastAsia="Times New Roman" w:hAnsi="Arial" w:cs="Arial"/>
                <w:color w:val="000000"/>
                <w:sz w:val="20"/>
                <w:lang w:eastAsia="en-GB"/>
              </w:rPr>
            </w:pPr>
            <w:r w:rsidRPr="00361437">
              <w:rPr>
                <w:rFonts w:ascii="Arial" w:eastAsia="Times New Roman" w:hAnsi="Arial" w:cs="Arial"/>
                <w:color w:val="000000"/>
                <w:sz w:val="20"/>
                <w:lang w:eastAsia="en-GB"/>
              </w:rPr>
              <w:t>2.1. Director election proposals</w:t>
            </w:r>
          </w:p>
        </w:tc>
        <w:tc>
          <w:tcPr>
            <w:tcW w:w="698" w:type="pct"/>
            <w:vAlign w:val="center"/>
            <w:hideMark/>
          </w:tcPr>
          <w:p w14:paraId="1D692004" w14:textId="26402FC2" w:rsidR="00032E88" w:rsidRPr="00361437" w:rsidRDefault="00770C69" w:rsidP="00032E88">
            <w:pPr>
              <w:tabs>
                <w:tab w:val="decimal" w:pos="792"/>
              </w:tabs>
              <w:spacing w:line="256" w:lineRule="auto"/>
              <w:rPr>
                <w:rFonts w:ascii="Arial" w:eastAsia="Calibri" w:hAnsi="Arial" w:cs="Arial"/>
                <w:color w:val="000000"/>
                <w:sz w:val="20"/>
              </w:rPr>
            </w:pPr>
            <w:r w:rsidRPr="00361437">
              <w:rPr>
                <w:rFonts w:ascii="Arial" w:eastAsia="Calibri" w:hAnsi="Arial" w:cs="Arial"/>
                <w:color w:val="000000"/>
                <w:sz w:val="20"/>
              </w:rPr>
              <w:t>51</w:t>
            </w:r>
            <w:r w:rsidR="00032E88" w:rsidRPr="00361437">
              <w:rPr>
                <w:rFonts w:ascii="Arial" w:eastAsia="Calibri" w:hAnsi="Arial" w:cs="Arial"/>
                <w:color w:val="000000"/>
                <w:sz w:val="20"/>
              </w:rPr>
              <w:t>,</w:t>
            </w:r>
            <w:r w:rsidRPr="00361437">
              <w:rPr>
                <w:rFonts w:ascii="Arial" w:eastAsia="Calibri" w:hAnsi="Arial" w:cs="Arial"/>
                <w:color w:val="000000"/>
                <w:sz w:val="20"/>
              </w:rPr>
              <w:t>883</w:t>
            </w:r>
          </w:p>
        </w:tc>
        <w:tc>
          <w:tcPr>
            <w:tcW w:w="1197" w:type="pct"/>
            <w:vAlign w:val="center"/>
            <w:hideMark/>
          </w:tcPr>
          <w:p w14:paraId="64FDF1F2" w14:textId="64900661"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2</w:t>
            </w:r>
            <w:r w:rsidR="00770C69" w:rsidRPr="00361437">
              <w:rPr>
                <w:rFonts w:ascii="Arial" w:eastAsia="Calibri" w:hAnsi="Arial" w:cs="Arial"/>
                <w:color w:val="000000"/>
                <w:sz w:val="20"/>
              </w:rPr>
              <w:t>6.9</w:t>
            </w:r>
            <w:r w:rsidRPr="00361437">
              <w:rPr>
                <w:rFonts w:ascii="Arial" w:eastAsia="Calibri" w:hAnsi="Arial" w:cs="Arial"/>
                <w:color w:val="000000"/>
                <w:sz w:val="20"/>
              </w:rPr>
              <w:t>0</w:t>
            </w:r>
          </w:p>
        </w:tc>
        <w:tc>
          <w:tcPr>
            <w:tcW w:w="1161" w:type="pct"/>
            <w:vAlign w:val="center"/>
            <w:hideMark/>
          </w:tcPr>
          <w:p w14:paraId="7D37CF77" w14:textId="689A6731"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w:t>
            </w:r>
            <w:r w:rsidR="00770C69" w:rsidRPr="00361437">
              <w:rPr>
                <w:rFonts w:ascii="Arial" w:eastAsia="Calibri" w:hAnsi="Arial" w:cs="Arial"/>
                <w:color w:val="000000"/>
                <w:sz w:val="20"/>
              </w:rPr>
              <w:t>90</w:t>
            </w:r>
          </w:p>
        </w:tc>
      </w:tr>
      <w:tr w:rsidR="00032E88" w:rsidRPr="00361437" w14:paraId="15892490" w14:textId="77777777" w:rsidTr="00DC2331">
        <w:tc>
          <w:tcPr>
            <w:tcW w:w="1944" w:type="pct"/>
            <w:tcMar>
              <w:top w:w="0" w:type="dxa"/>
              <w:left w:w="115" w:type="dxa"/>
              <w:bottom w:w="0" w:type="dxa"/>
              <w:right w:w="0" w:type="dxa"/>
            </w:tcMar>
            <w:vAlign w:val="center"/>
            <w:hideMark/>
          </w:tcPr>
          <w:p w14:paraId="7D5FC9D5" w14:textId="77777777" w:rsidR="00032E88" w:rsidRPr="00361437" w:rsidRDefault="00032E88" w:rsidP="00032E88">
            <w:pPr>
              <w:spacing w:line="256" w:lineRule="auto"/>
              <w:rPr>
                <w:rFonts w:ascii="Arial" w:eastAsia="Times New Roman" w:hAnsi="Arial" w:cs="Arial"/>
                <w:color w:val="000000"/>
                <w:sz w:val="20"/>
                <w:lang w:eastAsia="en-GB"/>
              </w:rPr>
            </w:pPr>
            <w:r w:rsidRPr="00361437">
              <w:rPr>
                <w:rFonts w:ascii="Arial" w:eastAsia="Times New Roman" w:hAnsi="Arial" w:cs="Arial"/>
                <w:color w:val="000000"/>
                <w:sz w:val="20"/>
                <w:lang w:eastAsia="en-GB"/>
              </w:rPr>
              <w:t>2.2. Other non-conflict proposals</w:t>
            </w:r>
          </w:p>
        </w:tc>
        <w:tc>
          <w:tcPr>
            <w:tcW w:w="698" w:type="pct"/>
            <w:vAlign w:val="center"/>
            <w:hideMark/>
          </w:tcPr>
          <w:p w14:paraId="5ECEDCB9" w14:textId="0707B7BF" w:rsidR="00032E88" w:rsidRPr="00361437" w:rsidRDefault="00032E88" w:rsidP="00032E88">
            <w:pPr>
              <w:tabs>
                <w:tab w:val="decimal" w:pos="792"/>
              </w:tabs>
              <w:spacing w:line="256" w:lineRule="auto"/>
              <w:rPr>
                <w:rFonts w:ascii="Arial" w:eastAsia="Calibri" w:hAnsi="Arial" w:cs="Arial"/>
                <w:color w:val="000000"/>
                <w:sz w:val="20"/>
              </w:rPr>
            </w:pPr>
            <w:r w:rsidRPr="00361437">
              <w:rPr>
                <w:rFonts w:ascii="Arial" w:eastAsia="Calibri" w:hAnsi="Arial" w:cs="Arial"/>
                <w:color w:val="000000"/>
                <w:sz w:val="20"/>
              </w:rPr>
              <w:t>2</w:t>
            </w:r>
            <w:r w:rsidR="00770C69" w:rsidRPr="00361437">
              <w:rPr>
                <w:rFonts w:ascii="Arial" w:eastAsia="Calibri" w:hAnsi="Arial" w:cs="Arial"/>
                <w:color w:val="000000"/>
                <w:sz w:val="20"/>
              </w:rPr>
              <w:t>0</w:t>
            </w:r>
            <w:r w:rsidRPr="00361437">
              <w:rPr>
                <w:rFonts w:ascii="Arial" w:eastAsia="Calibri" w:hAnsi="Arial" w:cs="Arial"/>
                <w:color w:val="000000"/>
                <w:sz w:val="20"/>
              </w:rPr>
              <w:t>,</w:t>
            </w:r>
            <w:r w:rsidR="00770C69" w:rsidRPr="00361437">
              <w:rPr>
                <w:rFonts w:ascii="Arial" w:eastAsia="Calibri" w:hAnsi="Arial" w:cs="Arial"/>
                <w:color w:val="000000"/>
                <w:sz w:val="20"/>
              </w:rPr>
              <w:t>510</w:t>
            </w:r>
          </w:p>
        </w:tc>
        <w:tc>
          <w:tcPr>
            <w:tcW w:w="1197" w:type="pct"/>
            <w:vAlign w:val="center"/>
            <w:hideMark/>
          </w:tcPr>
          <w:p w14:paraId="40F69839" w14:textId="3F771E03"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2</w:t>
            </w:r>
            <w:r w:rsidR="00770C69" w:rsidRPr="00361437">
              <w:rPr>
                <w:rFonts w:ascii="Arial" w:eastAsia="Calibri" w:hAnsi="Arial" w:cs="Arial"/>
                <w:color w:val="000000"/>
                <w:sz w:val="20"/>
              </w:rPr>
              <w:t>6</w:t>
            </w:r>
            <w:r w:rsidRPr="00361437">
              <w:rPr>
                <w:rFonts w:ascii="Arial" w:eastAsia="Calibri" w:hAnsi="Arial" w:cs="Arial"/>
                <w:color w:val="000000"/>
                <w:sz w:val="20"/>
              </w:rPr>
              <w:t>.</w:t>
            </w:r>
            <w:r w:rsidR="00770C69" w:rsidRPr="00361437">
              <w:rPr>
                <w:rFonts w:ascii="Arial" w:eastAsia="Calibri" w:hAnsi="Arial" w:cs="Arial"/>
                <w:color w:val="000000"/>
                <w:sz w:val="20"/>
              </w:rPr>
              <w:t>99</w:t>
            </w:r>
          </w:p>
        </w:tc>
        <w:tc>
          <w:tcPr>
            <w:tcW w:w="1161" w:type="pct"/>
            <w:vAlign w:val="center"/>
            <w:hideMark/>
          </w:tcPr>
          <w:p w14:paraId="4F3A9594" w14:textId="0D842275"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0.8</w:t>
            </w:r>
            <w:r w:rsidR="00770C69" w:rsidRPr="00361437">
              <w:rPr>
                <w:rFonts w:ascii="Arial" w:eastAsia="Calibri" w:hAnsi="Arial" w:cs="Arial"/>
                <w:color w:val="000000"/>
                <w:sz w:val="20"/>
              </w:rPr>
              <w:t>5</w:t>
            </w:r>
          </w:p>
        </w:tc>
      </w:tr>
      <w:tr w:rsidR="00032E88" w:rsidRPr="00361437" w14:paraId="35F043A1" w14:textId="77777777" w:rsidTr="00DC2331">
        <w:tc>
          <w:tcPr>
            <w:tcW w:w="1944" w:type="pct"/>
            <w:tcMar>
              <w:top w:w="0" w:type="dxa"/>
              <w:left w:w="115" w:type="dxa"/>
              <w:bottom w:w="0" w:type="dxa"/>
              <w:right w:w="0" w:type="dxa"/>
            </w:tcMar>
            <w:vAlign w:val="center"/>
          </w:tcPr>
          <w:p w14:paraId="494C5AF7" w14:textId="77777777" w:rsidR="00032E88" w:rsidRPr="00361437" w:rsidRDefault="00032E88" w:rsidP="00032E88">
            <w:pPr>
              <w:spacing w:line="256" w:lineRule="auto"/>
              <w:rPr>
                <w:rFonts w:ascii="Arial" w:eastAsia="Times New Roman" w:hAnsi="Arial" w:cs="Arial"/>
                <w:color w:val="000000"/>
                <w:sz w:val="14"/>
                <w:lang w:eastAsia="en-GB"/>
              </w:rPr>
            </w:pPr>
          </w:p>
        </w:tc>
        <w:tc>
          <w:tcPr>
            <w:tcW w:w="698" w:type="pct"/>
            <w:vAlign w:val="center"/>
          </w:tcPr>
          <w:p w14:paraId="114A877B" w14:textId="77777777" w:rsidR="00032E88" w:rsidRPr="00361437" w:rsidRDefault="00032E88" w:rsidP="00032E88">
            <w:pPr>
              <w:tabs>
                <w:tab w:val="decimal" w:pos="792"/>
              </w:tabs>
              <w:spacing w:line="256" w:lineRule="auto"/>
              <w:rPr>
                <w:rFonts w:ascii="Arial" w:eastAsia="Calibri" w:hAnsi="Arial" w:cs="Arial"/>
                <w:color w:val="000000"/>
                <w:sz w:val="14"/>
              </w:rPr>
            </w:pPr>
          </w:p>
        </w:tc>
        <w:tc>
          <w:tcPr>
            <w:tcW w:w="1197" w:type="pct"/>
            <w:vAlign w:val="center"/>
          </w:tcPr>
          <w:p w14:paraId="733C33AD" w14:textId="77777777" w:rsidR="00032E88" w:rsidRPr="00361437" w:rsidRDefault="00032E88" w:rsidP="00032E88">
            <w:pPr>
              <w:spacing w:line="256" w:lineRule="auto"/>
              <w:jc w:val="center"/>
              <w:rPr>
                <w:rFonts w:ascii="Arial" w:eastAsia="Calibri" w:hAnsi="Arial" w:cs="Arial"/>
                <w:color w:val="000000"/>
                <w:sz w:val="14"/>
              </w:rPr>
            </w:pPr>
          </w:p>
        </w:tc>
        <w:tc>
          <w:tcPr>
            <w:tcW w:w="1161" w:type="pct"/>
            <w:vAlign w:val="center"/>
          </w:tcPr>
          <w:p w14:paraId="67976450" w14:textId="77777777" w:rsidR="00032E88" w:rsidRPr="00361437" w:rsidRDefault="00032E88" w:rsidP="00032E88">
            <w:pPr>
              <w:spacing w:line="256" w:lineRule="auto"/>
              <w:jc w:val="center"/>
              <w:rPr>
                <w:rFonts w:ascii="Arial" w:eastAsia="Calibri" w:hAnsi="Arial" w:cs="Arial"/>
                <w:color w:val="000000"/>
                <w:sz w:val="14"/>
              </w:rPr>
            </w:pPr>
          </w:p>
        </w:tc>
      </w:tr>
      <w:tr w:rsidR="00032E88" w:rsidRPr="00361437" w14:paraId="5009900F" w14:textId="77777777" w:rsidTr="00DC2331">
        <w:tc>
          <w:tcPr>
            <w:tcW w:w="1944" w:type="pct"/>
            <w:tcMar>
              <w:top w:w="0" w:type="dxa"/>
              <w:left w:w="115" w:type="dxa"/>
              <w:bottom w:w="0" w:type="dxa"/>
              <w:right w:w="0" w:type="dxa"/>
            </w:tcMar>
            <w:vAlign w:val="center"/>
            <w:hideMark/>
          </w:tcPr>
          <w:p w14:paraId="5D5F46E9" w14:textId="77777777" w:rsidR="00032E88" w:rsidRPr="00361437" w:rsidRDefault="00032E88" w:rsidP="00032E88">
            <w:pPr>
              <w:spacing w:line="256" w:lineRule="auto"/>
              <w:rPr>
                <w:rFonts w:ascii="Arial" w:eastAsia="Times New Roman" w:hAnsi="Arial" w:cs="Arial"/>
                <w:color w:val="000000"/>
                <w:sz w:val="20"/>
                <w:lang w:eastAsia="en-GB"/>
              </w:rPr>
            </w:pPr>
            <w:r w:rsidRPr="00361437">
              <w:rPr>
                <w:rFonts w:ascii="Arial" w:eastAsia="Times New Roman" w:hAnsi="Arial" w:cs="Arial"/>
                <w:color w:val="000000"/>
                <w:sz w:val="20"/>
                <w:lang w:eastAsia="en-GB"/>
              </w:rPr>
              <w:t>Total</w:t>
            </w:r>
          </w:p>
        </w:tc>
        <w:tc>
          <w:tcPr>
            <w:tcW w:w="698" w:type="pct"/>
            <w:vAlign w:val="center"/>
            <w:hideMark/>
          </w:tcPr>
          <w:p w14:paraId="2B30472A" w14:textId="1C9A78FB" w:rsidR="00032E88" w:rsidRPr="00361437" w:rsidRDefault="00E94BAF" w:rsidP="00032E88">
            <w:pPr>
              <w:tabs>
                <w:tab w:val="decimal" w:pos="792"/>
              </w:tabs>
              <w:spacing w:line="256" w:lineRule="auto"/>
              <w:rPr>
                <w:rFonts w:ascii="Arial" w:eastAsia="Calibri" w:hAnsi="Arial" w:cs="Arial"/>
                <w:color w:val="000000"/>
                <w:sz w:val="20"/>
              </w:rPr>
            </w:pPr>
            <w:r w:rsidRPr="00361437">
              <w:rPr>
                <w:rFonts w:ascii="Arial" w:eastAsia="Calibri" w:hAnsi="Arial" w:cs="Arial"/>
                <w:color w:val="000000"/>
                <w:sz w:val="20"/>
              </w:rPr>
              <w:t>74,47</w:t>
            </w:r>
            <w:r w:rsidR="001620E6" w:rsidRPr="00361437">
              <w:rPr>
                <w:rFonts w:ascii="Arial" w:eastAsia="Calibri" w:hAnsi="Arial" w:cs="Arial"/>
                <w:color w:val="000000"/>
                <w:sz w:val="20"/>
              </w:rPr>
              <w:t>4</w:t>
            </w:r>
          </w:p>
        </w:tc>
        <w:tc>
          <w:tcPr>
            <w:tcW w:w="1197" w:type="pct"/>
            <w:vAlign w:val="center"/>
            <w:hideMark/>
          </w:tcPr>
          <w:p w14:paraId="7626ED06" w14:textId="27151CE2"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25.7</w:t>
            </w:r>
            <w:r w:rsidR="00E94BAF" w:rsidRPr="00361437">
              <w:rPr>
                <w:rFonts w:ascii="Arial" w:eastAsia="Calibri" w:hAnsi="Arial" w:cs="Arial"/>
                <w:color w:val="000000"/>
                <w:sz w:val="20"/>
              </w:rPr>
              <w:t>7</w:t>
            </w:r>
          </w:p>
        </w:tc>
        <w:tc>
          <w:tcPr>
            <w:tcW w:w="1161" w:type="pct"/>
            <w:vAlign w:val="center"/>
            <w:hideMark/>
          </w:tcPr>
          <w:p w14:paraId="4E5FE60E" w14:textId="7862C549"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0.8</w:t>
            </w:r>
            <w:r w:rsidR="00E94BAF" w:rsidRPr="00361437">
              <w:rPr>
                <w:rFonts w:ascii="Arial" w:eastAsia="Calibri" w:hAnsi="Arial" w:cs="Arial"/>
                <w:color w:val="000000"/>
                <w:sz w:val="20"/>
              </w:rPr>
              <w:t>8</w:t>
            </w:r>
          </w:p>
        </w:tc>
      </w:tr>
    </w:tbl>
    <w:p w14:paraId="19E87BA6" w14:textId="77777777" w:rsidR="00032E88" w:rsidRPr="00361437" w:rsidRDefault="00032E88" w:rsidP="00032E88">
      <w:pPr>
        <w:rPr>
          <w:rFonts w:ascii="Arial" w:eastAsia="Calibri" w:hAnsi="Arial" w:cs="Arial"/>
          <w:sz w:val="10"/>
          <w:szCs w:val="12"/>
        </w:rPr>
      </w:pPr>
    </w:p>
    <w:tbl>
      <w:tblPr>
        <w:tblW w:w="4942" w:type="pct"/>
        <w:tblLook w:val="04A0" w:firstRow="1" w:lastRow="0" w:firstColumn="1" w:lastColumn="0" w:noHBand="0" w:noVBand="1"/>
      </w:tblPr>
      <w:tblGrid>
        <w:gridCol w:w="3504"/>
        <w:gridCol w:w="827"/>
        <w:gridCol w:w="939"/>
        <w:gridCol w:w="939"/>
        <w:gridCol w:w="939"/>
        <w:gridCol w:w="939"/>
        <w:gridCol w:w="939"/>
      </w:tblGrid>
      <w:tr w:rsidR="00032E88" w:rsidRPr="00361437" w14:paraId="4CA43130" w14:textId="77777777" w:rsidTr="006F39AD">
        <w:trPr>
          <w:trHeight w:val="360"/>
        </w:trPr>
        <w:tc>
          <w:tcPr>
            <w:tcW w:w="4998" w:type="pct"/>
            <w:gridSpan w:val="7"/>
            <w:tcBorders>
              <w:left w:val="nil"/>
              <w:bottom w:val="single" w:sz="4" w:space="0" w:color="auto"/>
              <w:right w:val="nil"/>
            </w:tcBorders>
            <w:noWrap/>
            <w:vAlign w:val="center"/>
            <w:hideMark/>
          </w:tcPr>
          <w:p w14:paraId="06DC4DE0" w14:textId="77777777" w:rsidR="00032E88" w:rsidRPr="00361437" w:rsidRDefault="00032E88" w:rsidP="00032E88">
            <w:pPr>
              <w:spacing w:before="100" w:beforeAutospacing="1" w:after="100" w:afterAutospacing="1" w:line="256" w:lineRule="auto"/>
              <w:contextualSpacing/>
              <w:rPr>
                <w:rFonts w:ascii="Arial" w:eastAsia="Times New Roman" w:hAnsi="Arial" w:cs="Arial"/>
                <w:i/>
                <w:color w:val="000000"/>
                <w:sz w:val="20"/>
                <w:lang w:eastAsia="en-GB"/>
              </w:rPr>
            </w:pPr>
            <w:r w:rsidRPr="00361437">
              <w:rPr>
                <w:rFonts w:ascii="Arial" w:eastAsia="Times New Roman" w:hAnsi="Arial" w:cs="Arial"/>
                <w:i/>
                <w:color w:val="000000"/>
                <w:sz w:val="20"/>
                <w:lang w:eastAsia="en-GB"/>
              </w:rPr>
              <w:t xml:space="preserve">Panel B: </w:t>
            </w:r>
            <w:r w:rsidRPr="00361437">
              <w:rPr>
                <w:rFonts w:ascii="Arial" w:eastAsia="Times New Roman" w:hAnsi="Arial" w:cs="Arial"/>
                <w:bCs/>
                <w:i/>
                <w:color w:val="000000"/>
                <w:sz w:val="20"/>
                <w:lang w:eastAsia="en-GB"/>
              </w:rPr>
              <w:t>Voting sample statistics</w:t>
            </w:r>
          </w:p>
        </w:tc>
      </w:tr>
      <w:tr w:rsidR="00032E88" w:rsidRPr="00361437" w14:paraId="75425095" w14:textId="77777777" w:rsidTr="00DC2331">
        <w:trPr>
          <w:trHeight w:val="360"/>
        </w:trPr>
        <w:tc>
          <w:tcPr>
            <w:tcW w:w="1931" w:type="pct"/>
            <w:tcBorders>
              <w:top w:val="single" w:sz="4" w:space="0" w:color="auto"/>
              <w:left w:val="nil"/>
              <w:bottom w:val="single" w:sz="4" w:space="0" w:color="auto"/>
              <w:right w:val="nil"/>
            </w:tcBorders>
            <w:noWrap/>
            <w:vAlign w:val="center"/>
          </w:tcPr>
          <w:p w14:paraId="51FFDBB9" w14:textId="77777777" w:rsidR="00032E88" w:rsidRPr="00361437" w:rsidRDefault="00032E88" w:rsidP="00032E88">
            <w:pPr>
              <w:spacing w:before="100" w:beforeAutospacing="1" w:after="100" w:afterAutospacing="1" w:line="256" w:lineRule="auto"/>
              <w:contextualSpacing/>
              <w:rPr>
                <w:rFonts w:ascii="Arial" w:eastAsia="Times New Roman" w:hAnsi="Arial" w:cs="Arial"/>
                <w:color w:val="000000"/>
                <w:sz w:val="20"/>
                <w:lang w:eastAsia="en-GB"/>
              </w:rPr>
            </w:pPr>
          </w:p>
        </w:tc>
        <w:tc>
          <w:tcPr>
            <w:tcW w:w="460" w:type="pct"/>
            <w:tcBorders>
              <w:top w:val="single" w:sz="4" w:space="0" w:color="auto"/>
              <w:left w:val="nil"/>
              <w:bottom w:val="single" w:sz="4" w:space="0" w:color="auto"/>
              <w:right w:val="nil"/>
            </w:tcBorders>
            <w:vAlign w:val="center"/>
            <w:hideMark/>
          </w:tcPr>
          <w:p w14:paraId="5F9D2784"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N</w:t>
            </w:r>
          </w:p>
        </w:tc>
        <w:tc>
          <w:tcPr>
            <w:tcW w:w="522" w:type="pct"/>
            <w:tcBorders>
              <w:top w:val="single" w:sz="4" w:space="0" w:color="auto"/>
              <w:left w:val="nil"/>
              <w:bottom w:val="single" w:sz="4" w:space="0" w:color="auto"/>
              <w:right w:val="nil"/>
            </w:tcBorders>
            <w:noWrap/>
            <w:vAlign w:val="center"/>
            <w:hideMark/>
          </w:tcPr>
          <w:p w14:paraId="2B01CE98"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Mean</w:t>
            </w:r>
          </w:p>
        </w:tc>
        <w:tc>
          <w:tcPr>
            <w:tcW w:w="522" w:type="pct"/>
            <w:tcBorders>
              <w:top w:val="single" w:sz="4" w:space="0" w:color="auto"/>
              <w:left w:val="nil"/>
              <w:bottom w:val="single" w:sz="4" w:space="0" w:color="auto"/>
              <w:right w:val="nil"/>
            </w:tcBorders>
            <w:vAlign w:val="center"/>
            <w:hideMark/>
          </w:tcPr>
          <w:p w14:paraId="7F5F5650"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Median</w:t>
            </w:r>
          </w:p>
        </w:tc>
        <w:tc>
          <w:tcPr>
            <w:tcW w:w="522" w:type="pct"/>
            <w:tcBorders>
              <w:top w:val="single" w:sz="4" w:space="0" w:color="auto"/>
              <w:left w:val="nil"/>
              <w:bottom w:val="single" w:sz="4" w:space="0" w:color="auto"/>
              <w:right w:val="nil"/>
            </w:tcBorders>
            <w:vAlign w:val="center"/>
            <w:hideMark/>
          </w:tcPr>
          <w:p w14:paraId="077F24A4"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Q1</w:t>
            </w:r>
          </w:p>
        </w:tc>
        <w:tc>
          <w:tcPr>
            <w:tcW w:w="522" w:type="pct"/>
            <w:tcBorders>
              <w:top w:val="single" w:sz="4" w:space="0" w:color="auto"/>
              <w:left w:val="nil"/>
              <w:bottom w:val="single" w:sz="4" w:space="0" w:color="auto"/>
              <w:right w:val="nil"/>
            </w:tcBorders>
            <w:vAlign w:val="center"/>
            <w:hideMark/>
          </w:tcPr>
          <w:p w14:paraId="33AD5882"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Q3</w:t>
            </w:r>
          </w:p>
        </w:tc>
        <w:tc>
          <w:tcPr>
            <w:tcW w:w="520" w:type="pct"/>
            <w:tcBorders>
              <w:top w:val="single" w:sz="4" w:space="0" w:color="auto"/>
              <w:left w:val="nil"/>
              <w:bottom w:val="single" w:sz="4" w:space="0" w:color="auto"/>
              <w:right w:val="nil"/>
            </w:tcBorders>
            <w:noWrap/>
            <w:vAlign w:val="center"/>
            <w:hideMark/>
          </w:tcPr>
          <w:p w14:paraId="1C293E28"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Std dev</w:t>
            </w:r>
          </w:p>
        </w:tc>
      </w:tr>
      <w:tr w:rsidR="00EA3A24" w:rsidRPr="00361437" w14:paraId="6FD39BAD" w14:textId="77777777" w:rsidTr="00DC2331">
        <w:trPr>
          <w:trHeight w:val="300"/>
        </w:trPr>
        <w:tc>
          <w:tcPr>
            <w:tcW w:w="1931" w:type="pct"/>
            <w:noWrap/>
            <w:vAlign w:val="center"/>
            <w:hideMark/>
          </w:tcPr>
          <w:p w14:paraId="0C1A4BFC" w14:textId="73BB772C" w:rsidR="00EA3A24" w:rsidRPr="00361437" w:rsidRDefault="009F6C4A" w:rsidP="00EA3A24">
            <w:pPr>
              <w:spacing w:before="100" w:beforeAutospacing="1" w:after="100" w:afterAutospacing="1" w:line="256" w:lineRule="auto"/>
              <w:contextualSpacing/>
              <w:rPr>
                <w:rFonts w:ascii="Arial" w:eastAsia="Times New Roman" w:hAnsi="Arial" w:cs="Arial"/>
                <w:color w:val="000000"/>
                <w:sz w:val="16"/>
                <w:lang w:eastAsia="en-GB"/>
              </w:rPr>
            </w:pPr>
            <w:bookmarkStart w:id="16" w:name="_Hlk46317682"/>
            <w:r w:rsidRPr="00361437">
              <w:rPr>
                <w:rFonts w:ascii="Arial" w:eastAsia="Times New Roman" w:hAnsi="Arial" w:cs="Arial"/>
                <w:color w:val="000000"/>
                <w:sz w:val="16"/>
                <w:lang w:eastAsia="en-GB"/>
              </w:rPr>
              <w:t>VOTE_WITH_CREDITORS_</w:t>
            </w:r>
            <w:r w:rsidR="00EA3A24" w:rsidRPr="00361437">
              <w:rPr>
                <w:rFonts w:ascii="Arial" w:eastAsia="Times New Roman" w:hAnsi="Arial" w:cs="Arial"/>
                <w:color w:val="000000"/>
                <w:sz w:val="16"/>
                <w:lang w:eastAsia="en-GB"/>
              </w:rPr>
              <w:t>(0,1)</w:t>
            </w:r>
            <w:bookmarkEnd w:id="16"/>
          </w:p>
        </w:tc>
        <w:tc>
          <w:tcPr>
            <w:tcW w:w="460" w:type="pct"/>
            <w:vAlign w:val="center"/>
            <w:hideMark/>
          </w:tcPr>
          <w:p w14:paraId="67E1ACBB" w14:textId="279F1F4F"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52,745</w:t>
            </w:r>
          </w:p>
        </w:tc>
        <w:tc>
          <w:tcPr>
            <w:tcW w:w="522" w:type="pct"/>
            <w:noWrap/>
            <w:vAlign w:val="center"/>
            <w:hideMark/>
          </w:tcPr>
          <w:p w14:paraId="57AC65E3" w14:textId="6CE63526"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0.3038</w:t>
            </w:r>
          </w:p>
        </w:tc>
        <w:tc>
          <w:tcPr>
            <w:tcW w:w="522" w:type="pct"/>
            <w:vAlign w:val="center"/>
            <w:hideMark/>
          </w:tcPr>
          <w:p w14:paraId="0BCD9B25" w14:textId="36E553C1"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522" w:type="pct"/>
            <w:vAlign w:val="center"/>
            <w:hideMark/>
          </w:tcPr>
          <w:p w14:paraId="69C5A092" w14:textId="016FC423"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522" w:type="pct"/>
            <w:vAlign w:val="center"/>
            <w:hideMark/>
          </w:tcPr>
          <w:p w14:paraId="5DAE01D7" w14:textId="79F4633D"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1.0000</w:t>
            </w:r>
          </w:p>
        </w:tc>
        <w:tc>
          <w:tcPr>
            <w:tcW w:w="520" w:type="pct"/>
            <w:noWrap/>
            <w:vAlign w:val="center"/>
            <w:hideMark/>
          </w:tcPr>
          <w:p w14:paraId="77897828" w14:textId="46D28C65"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0.4599</w:t>
            </w:r>
          </w:p>
        </w:tc>
      </w:tr>
      <w:tr w:rsidR="00EA3A24" w:rsidRPr="00361437" w14:paraId="02BEDC66" w14:textId="77777777" w:rsidTr="00DC2331">
        <w:trPr>
          <w:trHeight w:val="300"/>
        </w:trPr>
        <w:tc>
          <w:tcPr>
            <w:tcW w:w="1931" w:type="pct"/>
            <w:noWrap/>
            <w:vAlign w:val="center"/>
            <w:hideMark/>
          </w:tcPr>
          <w:p w14:paraId="24083383" w14:textId="50E1E09E" w:rsidR="00EA3A24" w:rsidRPr="00361437" w:rsidRDefault="009F6C4A" w:rsidP="00EA3A24">
            <w:pPr>
              <w:spacing w:before="100" w:beforeAutospacing="1" w:after="100" w:afterAutospacing="1" w:line="256" w:lineRule="auto"/>
              <w:contextualSpacing/>
              <w:rPr>
                <w:rFonts w:ascii="Arial" w:eastAsia="Times New Roman" w:hAnsi="Arial" w:cs="Arial"/>
                <w:color w:val="000000"/>
                <w:sz w:val="16"/>
                <w:lang w:eastAsia="en-GB"/>
              </w:rPr>
            </w:pPr>
            <w:r w:rsidRPr="00361437">
              <w:rPr>
                <w:rFonts w:ascii="Arial" w:eastAsia="Times New Roman" w:hAnsi="Arial" w:cs="Arial"/>
                <w:color w:val="000000"/>
                <w:sz w:val="16"/>
                <w:lang w:eastAsia="en-GB"/>
              </w:rPr>
              <w:t>FRACTION_OF_VOTES_WITH_CREDITORS</w:t>
            </w:r>
          </w:p>
        </w:tc>
        <w:tc>
          <w:tcPr>
            <w:tcW w:w="460" w:type="pct"/>
            <w:vAlign w:val="center"/>
            <w:hideMark/>
          </w:tcPr>
          <w:p w14:paraId="69ACDF36" w14:textId="52037E36"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52,745</w:t>
            </w:r>
          </w:p>
        </w:tc>
        <w:tc>
          <w:tcPr>
            <w:tcW w:w="522" w:type="pct"/>
            <w:noWrap/>
            <w:vAlign w:val="center"/>
            <w:hideMark/>
          </w:tcPr>
          <w:p w14:paraId="27FC046B" w14:textId="1AD5DCCC"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0.2490</w:t>
            </w:r>
          </w:p>
        </w:tc>
        <w:tc>
          <w:tcPr>
            <w:tcW w:w="522" w:type="pct"/>
            <w:vAlign w:val="center"/>
            <w:hideMark/>
          </w:tcPr>
          <w:p w14:paraId="0A4242A2" w14:textId="037CCA7B"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522" w:type="pct"/>
            <w:vAlign w:val="center"/>
            <w:hideMark/>
          </w:tcPr>
          <w:p w14:paraId="2B02F873" w14:textId="29BE7CBB"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522" w:type="pct"/>
            <w:vAlign w:val="center"/>
            <w:hideMark/>
          </w:tcPr>
          <w:p w14:paraId="2C022513" w14:textId="73505E18"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0.3333</w:t>
            </w:r>
          </w:p>
        </w:tc>
        <w:tc>
          <w:tcPr>
            <w:tcW w:w="520" w:type="pct"/>
            <w:noWrap/>
            <w:vAlign w:val="center"/>
            <w:hideMark/>
          </w:tcPr>
          <w:p w14:paraId="695526D0" w14:textId="67306219"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0.4302</w:t>
            </w:r>
          </w:p>
        </w:tc>
      </w:tr>
      <w:tr w:rsidR="00EA3A24" w:rsidRPr="00361437" w14:paraId="60699437" w14:textId="77777777" w:rsidTr="00DC2331">
        <w:trPr>
          <w:trHeight w:val="300"/>
        </w:trPr>
        <w:tc>
          <w:tcPr>
            <w:tcW w:w="1931" w:type="pct"/>
            <w:noWrap/>
            <w:vAlign w:val="center"/>
            <w:hideMark/>
          </w:tcPr>
          <w:p w14:paraId="6F19D891" w14:textId="574398F3" w:rsidR="00EA3A24" w:rsidRPr="00361437" w:rsidRDefault="00EA3A24" w:rsidP="00EA3A24">
            <w:pPr>
              <w:spacing w:before="100" w:beforeAutospacing="1" w:after="100" w:afterAutospacing="1" w:line="256" w:lineRule="auto"/>
              <w:contextualSpacing/>
              <w:rPr>
                <w:rFonts w:ascii="Arial" w:eastAsia="Times New Roman" w:hAnsi="Arial" w:cs="Arial"/>
                <w:color w:val="000000"/>
                <w:sz w:val="16"/>
                <w:lang w:eastAsia="en-GB"/>
              </w:rPr>
            </w:pPr>
            <w:r w:rsidRPr="00361437">
              <w:rPr>
                <w:rFonts w:ascii="Arial" w:eastAsia="Times New Roman" w:hAnsi="Arial" w:cs="Arial"/>
                <w:color w:val="000000"/>
                <w:sz w:val="16"/>
                <w:lang w:eastAsia="en-GB"/>
              </w:rPr>
              <w:t>ISS</w:t>
            </w:r>
            <w:r w:rsidR="00231197" w:rsidRPr="00361437">
              <w:rPr>
                <w:rFonts w:ascii="Arial" w:eastAsia="Times New Roman" w:hAnsi="Arial" w:cs="Arial"/>
                <w:color w:val="000000"/>
                <w:sz w:val="16"/>
                <w:lang w:eastAsia="en-GB"/>
              </w:rPr>
              <w:t>_WITH_CREDITORS_</w:t>
            </w:r>
            <w:r w:rsidRPr="00361437">
              <w:rPr>
                <w:rFonts w:ascii="Arial" w:eastAsia="Times New Roman" w:hAnsi="Arial" w:cs="Arial"/>
                <w:color w:val="000000"/>
                <w:sz w:val="16"/>
                <w:lang w:eastAsia="en-GB"/>
              </w:rPr>
              <w:t>(0,1)</w:t>
            </w:r>
          </w:p>
        </w:tc>
        <w:tc>
          <w:tcPr>
            <w:tcW w:w="460" w:type="pct"/>
            <w:vAlign w:val="center"/>
            <w:hideMark/>
          </w:tcPr>
          <w:p w14:paraId="4D9636A0" w14:textId="0ABF1899"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52,745</w:t>
            </w:r>
          </w:p>
        </w:tc>
        <w:tc>
          <w:tcPr>
            <w:tcW w:w="522" w:type="pct"/>
            <w:noWrap/>
            <w:vAlign w:val="center"/>
            <w:hideMark/>
          </w:tcPr>
          <w:p w14:paraId="16BA83F3" w14:textId="4690A631"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0.3012</w:t>
            </w:r>
          </w:p>
        </w:tc>
        <w:tc>
          <w:tcPr>
            <w:tcW w:w="522" w:type="pct"/>
            <w:vAlign w:val="center"/>
            <w:hideMark/>
          </w:tcPr>
          <w:p w14:paraId="0C64C35E" w14:textId="7F76AA80"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522" w:type="pct"/>
            <w:vAlign w:val="center"/>
            <w:hideMark/>
          </w:tcPr>
          <w:p w14:paraId="10A7A892" w14:textId="43F7E884"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522" w:type="pct"/>
            <w:vAlign w:val="center"/>
            <w:hideMark/>
          </w:tcPr>
          <w:p w14:paraId="0AFA9E18" w14:textId="48211634"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1.0000</w:t>
            </w:r>
          </w:p>
        </w:tc>
        <w:tc>
          <w:tcPr>
            <w:tcW w:w="520" w:type="pct"/>
            <w:noWrap/>
            <w:vAlign w:val="center"/>
            <w:hideMark/>
          </w:tcPr>
          <w:p w14:paraId="4B8FA2E9" w14:textId="7DA8758A"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0.4588</w:t>
            </w:r>
          </w:p>
        </w:tc>
      </w:tr>
      <w:tr w:rsidR="00EA3A24" w:rsidRPr="00361437" w14:paraId="2FDB8000" w14:textId="77777777" w:rsidTr="00DC2331">
        <w:trPr>
          <w:trHeight w:val="300"/>
        </w:trPr>
        <w:tc>
          <w:tcPr>
            <w:tcW w:w="1931" w:type="pct"/>
            <w:noWrap/>
            <w:vAlign w:val="center"/>
            <w:hideMark/>
          </w:tcPr>
          <w:p w14:paraId="4D67FE70" w14:textId="04F35C99" w:rsidR="00EA3A24" w:rsidRPr="00361437" w:rsidRDefault="00231197" w:rsidP="00EA3A24">
            <w:pPr>
              <w:spacing w:before="100" w:beforeAutospacing="1" w:after="100" w:afterAutospacing="1" w:line="256" w:lineRule="auto"/>
              <w:contextualSpacing/>
              <w:rPr>
                <w:rFonts w:ascii="Arial" w:eastAsia="Times New Roman" w:hAnsi="Arial" w:cs="Arial"/>
                <w:color w:val="000000"/>
                <w:sz w:val="16"/>
                <w:lang w:eastAsia="en-GB"/>
              </w:rPr>
            </w:pPr>
            <w:r w:rsidRPr="00361437">
              <w:rPr>
                <w:rFonts w:ascii="Arial" w:eastAsia="Times New Roman" w:hAnsi="Arial" w:cs="Arial"/>
                <w:color w:val="000000"/>
                <w:sz w:val="16"/>
                <w:lang w:eastAsia="en-GB"/>
              </w:rPr>
              <w:t>MARKET_</w:t>
            </w:r>
            <w:r w:rsidR="00F56EF2" w:rsidRPr="00361437">
              <w:rPr>
                <w:rFonts w:ascii="Arial" w:eastAsia="Times New Roman" w:hAnsi="Arial" w:cs="Arial"/>
                <w:color w:val="000000"/>
                <w:sz w:val="16"/>
                <w:lang w:eastAsia="en-GB"/>
              </w:rPr>
              <w:t>CAP</w:t>
            </w:r>
            <w:r w:rsidR="00EF09F3" w:rsidRPr="00361437">
              <w:rPr>
                <w:rFonts w:ascii="Arial" w:eastAsia="Times New Roman" w:hAnsi="Arial" w:cs="Arial"/>
                <w:color w:val="000000"/>
                <w:sz w:val="16"/>
                <w:lang w:eastAsia="en-GB"/>
              </w:rPr>
              <w:t xml:space="preserve"> ($US billion)</w:t>
            </w:r>
          </w:p>
        </w:tc>
        <w:tc>
          <w:tcPr>
            <w:tcW w:w="460" w:type="pct"/>
            <w:vAlign w:val="center"/>
            <w:hideMark/>
          </w:tcPr>
          <w:p w14:paraId="2998DD37" w14:textId="2F185592"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52,745</w:t>
            </w:r>
          </w:p>
        </w:tc>
        <w:tc>
          <w:tcPr>
            <w:tcW w:w="522" w:type="pct"/>
            <w:noWrap/>
            <w:vAlign w:val="center"/>
            <w:hideMark/>
          </w:tcPr>
          <w:p w14:paraId="686B483E" w14:textId="46F47D67"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14.2583</w:t>
            </w:r>
          </w:p>
        </w:tc>
        <w:tc>
          <w:tcPr>
            <w:tcW w:w="522" w:type="pct"/>
            <w:vAlign w:val="center"/>
            <w:hideMark/>
          </w:tcPr>
          <w:p w14:paraId="76BF5460" w14:textId="20E27A9B"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3.9566</w:t>
            </w:r>
          </w:p>
        </w:tc>
        <w:tc>
          <w:tcPr>
            <w:tcW w:w="522" w:type="pct"/>
            <w:vAlign w:val="center"/>
            <w:hideMark/>
          </w:tcPr>
          <w:p w14:paraId="2514EF9F" w14:textId="5CE17ECC"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1.1164</w:t>
            </w:r>
          </w:p>
        </w:tc>
        <w:tc>
          <w:tcPr>
            <w:tcW w:w="522" w:type="pct"/>
            <w:vAlign w:val="center"/>
            <w:hideMark/>
          </w:tcPr>
          <w:p w14:paraId="2F396D45" w14:textId="5538A575"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13.9527</w:t>
            </w:r>
          </w:p>
        </w:tc>
        <w:tc>
          <w:tcPr>
            <w:tcW w:w="520" w:type="pct"/>
            <w:noWrap/>
            <w:vAlign w:val="center"/>
            <w:hideMark/>
          </w:tcPr>
          <w:p w14:paraId="4921C6FC" w14:textId="4E7B82D2"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28.0553</w:t>
            </w:r>
          </w:p>
        </w:tc>
      </w:tr>
      <w:tr w:rsidR="00EA3A24" w:rsidRPr="00361437" w14:paraId="1C88585A" w14:textId="77777777" w:rsidTr="00DC2331">
        <w:trPr>
          <w:trHeight w:val="300"/>
        </w:trPr>
        <w:tc>
          <w:tcPr>
            <w:tcW w:w="1931" w:type="pct"/>
            <w:noWrap/>
            <w:vAlign w:val="center"/>
            <w:hideMark/>
          </w:tcPr>
          <w:p w14:paraId="12CA3A4C" w14:textId="4B651F64" w:rsidR="00EA3A24" w:rsidRPr="00361437" w:rsidRDefault="00231197" w:rsidP="00EA3A24">
            <w:pPr>
              <w:spacing w:before="100" w:beforeAutospacing="1" w:after="100" w:afterAutospacing="1" w:line="256" w:lineRule="auto"/>
              <w:contextualSpacing/>
              <w:rPr>
                <w:rFonts w:ascii="Arial" w:eastAsia="Times New Roman" w:hAnsi="Arial" w:cs="Arial"/>
                <w:color w:val="000000"/>
                <w:sz w:val="16"/>
                <w:lang w:eastAsia="en-GB"/>
              </w:rPr>
            </w:pPr>
            <w:r w:rsidRPr="00361437">
              <w:rPr>
                <w:rFonts w:ascii="Arial" w:eastAsia="Times New Roman" w:hAnsi="Arial" w:cs="Arial"/>
                <w:color w:val="000000"/>
                <w:sz w:val="16"/>
                <w:lang w:eastAsia="en-GB"/>
              </w:rPr>
              <w:t>MARKET_TO_BOOK</w:t>
            </w:r>
          </w:p>
        </w:tc>
        <w:tc>
          <w:tcPr>
            <w:tcW w:w="460" w:type="pct"/>
            <w:vAlign w:val="center"/>
            <w:hideMark/>
          </w:tcPr>
          <w:p w14:paraId="732B3538" w14:textId="75E2CAD8"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52,745</w:t>
            </w:r>
          </w:p>
        </w:tc>
        <w:tc>
          <w:tcPr>
            <w:tcW w:w="522" w:type="pct"/>
            <w:noWrap/>
            <w:vAlign w:val="center"/>
            <w:hideMark/>
          </w:tcPr>
          <w:p w14:paraId="5BA5ADB6" w14:textId="5B309550"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1.6184</w:t>
            </w:r>
          </w:p>
        </w:tc>
        <w:tc>
          <w:tcPr>
            <w:tcW w:w="522" w:type="pct"/>
            <w:vAlign w:val="center"/>
            <w:hideMark/>
          </w:tcPr>
          <w:p w14:paraId="7E060F6E" w14:textId="47699035"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1.3135</w:t>
            </w:r>
          </w:p>
        </w:tc>
        <w:tc>
          <w:tcPr>
            <w:tcW w:w="522" w:type="pct"/>
            <w:vAlign w:val="center"/>
            <w:hideMark/>
          </w:tcPr>
          <w:p w14:paraId="498AF9E1" w14:textId="79653437"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1.0387</w:t>
            </w:r>
          </w:p>
        </w:tc>
        <w:tc>
          <w:tcPr>
            <w:tcW w:w="522" w:type="pct"/>
            <w:vAlign w:val="center"/>
            <w:hideMark/>
          </w:tcPr>
          <w:p w14:paraId="73A0FD95" w14:textId="6B130B41"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1.8505</w:t>
            </w:r>
          </w:p>
        </w:tc>
        <w:tc>
          <w:tcPr>
            <w:tcW w:w="520" w:type="pct"/>
            <w:noWrap/>
            <w:vAlign w:val="center"/>
            <w:hideMark/>
          </w:tcPr>
          <w:p w14:paraId="022D3CF6" w14:textId="23A18860"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0.9545</w:t>
            </w:r>
          </w:p>
        </w:tc>
      </w:tr>
      <w:tr w:rsidR="00EA3A24" w:rsidRPr="00361437" w14:paraId="4157FBD1" w14:textId="77777777" w:rsidTr="00DC2331">
        <w:trPr>
          <w:trHeight w:val="300"/>
        </w:trPr>
        <w:tc>
          <w:tcPr>
            <w:tcW w:w="1931" w:type="pct"/>
            <w:noWrap/>
            <w:vAlign w:val="center"/>
            <w:hideMark/>
          </w:tcPr>
          <w:p w14:paraId="35B223E7" w14:textId="481DD7FA" w:rsidR="00EA3A24" w:rsidRPr="00361437" w:rsidRDefault="00231197" w:rsidP="00EA3A24">
            <w:pPr>
              <w:spacing w:before="100" w:beforeAutospacing="1" w:after="100" w:afterAutospacing="1" w:line="256" w:lineRule="auto"/>
              <w:contextualSpacing/>
              <w:rPr>
                <w:rFonts w:ascii="Arial" w:eastAsia="Times New Roman" w:hAnsi="Arial" w:cs="Arial"/>
                <w:color w:val="000000"/>
                <w:sz w:val="16"/>
                <w:lang w:eastAsia="en-GB"/>
              </w:rPr>
            </w:pPr>
            <w:r w:rsidRPr="00361437">
              <w:rPr>
                <w:rFonts w:ascii="Arial" w:eastAsia="Times New Roman" w:hAnsi="Arial" w:cs="Arial"/>
                <w:color w:val="000000"/>
                <w:sz w:val="16"/>
                <w:lang w:eastAsia="en-GB"/>
              </w:rPr>
              <w:t>LEVERAGE</w:t>
            </w:r>
          </w:p>
        </w:tc>
        <w:tc>
          <w:tcPr>
            <w:tcW w:w="460" w:type="pct"/>
            <w:vAlign w:val="center"/>
            <w:hideMark/>
          </w:tcPr>
          <w:p w14:paraId="0E183009" w14:textId="6A1BDFFD"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52,745</w:t>
            </w:r>
          </w:p>
        </w:tc>
        <w:tc>
          <w:tcPr>
            <w:tcW w:w="522" w:type="pct"/>
            <w:noWrap/>
            <w:vAlign w:val="center"/>
            <w:hideMark/>
          </w:tcPr>
          <w:p w14:paraId="50F777F3" w14:textId="2D48AAAB"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0.2322</w:t>
            </w:r>
          </w:p>
        </w:tc>
        <w:tc>
          <w:tcPr>
            <w:tcW w:w="522" w:type="pct"/>
            <w:vAlign w:val="center"/>
            <w:hideMark/>
          </w:tcPr>
          <w:p w14:paraId="40C18556" w14:textId="374C8291"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0.2145</w:t>
            </w:r>
          </w:p>
        </w:tc>
        <w:tc>
          <w:tcPr>
            <w:tcW w:w="522" w:type="pct"/>
            <w:vAlign w:val="center"/>
            <w:hideMark/>
          </w:tcPr>
          <w:p w14:paraId="5B2508D6" w14:textId="7C41A04E"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0.1166</w:t>
            </w:r>
          </w:p>
        </w:tc>
        <w:tc>
          <w:tcPr>
            <w:tcW w:w="522" w:type="pct"/>
            <w:vAlign w:val="center"/>
            <w:hideMark/>
          </w:tcPr>
          <w:p w14:paraId="36D0D65B" w14:textId="7EFCFA05"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0.3228</w:t>
            </w:r>
          </w:p>
        </w:tc>
        <w:tc>
          <w:tcPr>
            <w:tcW w:w="520" w:type="pct"/>
            <w:noWrap/>
            <w:vAlign w:val="center"/>
            <w:hideMark/>
          </w:tcPr>
          <w:p w14:paraId="04BC2805" w14:textId="75BC3E38"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0.1550</w:t>
            </w:r>
          </w:p>
        </w:tc>
      </w:tr>
      <w:tr w:rsidR="00EA3A24" w:rsidRPr="00361437" w14:paraId="5F045F2D" w14:textId="77777777" w:rsidTr="00DC2331">
        <w:trPr>
          <w:trHeight w:val="300"/>
        </w:trPr>
        <w:tc>
          <w:tcPr>
            <w:tcW w:w="1931" w:type="pct"/>
            <w:noWrap/>
            <w:vAlign w:val="center"/>
            <w:hideMark/>
          </w:tcPr>
          <w:p w14:paraId="67645D03" w14:textId="03734FB6" w:rsidR="00EA3A24" w:rsidRPr="00361437" w:rsidRDefault="00231197" w:rsidP="00EA3A24">
            <w:pPr>
              <w:spacing w:before="100" w:beforeAutospacing="1" w:after="100" w:afterAutospacing="1" w:line="256" w:lineRule="auto"/>
              <w:contextualSpacing/>
              <w:rPr>
                <w:rFonts w:ascii="Arial" w:eastAsia="Times New Roman" w:hAnsi="Arial" w:cs="Arial"/>
                <w:color w:val="000000"/>
                <w:sz w:val="16"/>
                <w:lang w:eastAsia="en-GB"/>
              </w:rPr>
            </w:pPr>
            <w:r w:rsidRPr="00361437">
              <w:rPr>
                <w:rFonts w:ascii="Arial" w:eastAsia="Times New Roman" w:hAnsi="Arial" w:cs="Arial"/>
                <w:color w:val="000000"/>
                <w:sz w:val="16"/>
                <w:lang w:eastAsia="en-GB"/>
              </w:rPr>
              <w:t>ROA</w:t>
            </w:r>
          </w:p>
        </w:tc>
        <w:tc>
          <w:tcPr>
            <w:tcW w:w="460" w:type="pct"/>
            <w:vAlign w:val="center"/>
            <w:hideMark/>
          </w:tcPr>
          <w:p w14:paraId="10511F00" w14:textId="4D9AFCAF"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52,745</w:t>
            </w:r>
          </w:p>
        </w:tc>
        <w:tc>
          <w:tcPr>
            <w:tcW w:w="522" w:type="pct"/>
            <w:noWrap/>
            <w:vAlign w:val="center"/>
            <w:hideMark/>
          </w:tcPr>
          <w:p w14:paraId="131EED7D" w14:textId="4B157166"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0.1350</w:t>
            </w:r>
          </w:p>
        </w:tc>
        <w:tc>
          <w:tcPr>
            <w:tcW w:w="522" w:type="pct"/>
            <w:vAlign w:val="center"/>
            <w:hideMark/>
          </w:tcPr>
          <w:p w14:paraId="24898783" w14:textId="36746FDC"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0.1232</w:t>
            </w:r>
          </w:p>
        </w:tc>
        <w:tc>
          <w:tcPr>
            <w:tcW w:w="522" w:type="pct"/>
            <w:vAlign w:val="center"/>
            <w:hideMark/>
          </w:tcPr>
          <w:p w14:paraId="4B2081C8" w14:textId="4DC91A51"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0.0629</w:t>
            </w:r>
          </w:p>
        </w:tc>
        <w:tc>
          <w:tcPr>
            <w:tcW w:w="522" w:type="pct"/>
            <w:vAlign w:val="center"/>
            <w:hideMark/>
          </w:tcPr>
          <w:p w14:paraId="391FC3A7" w14:textId="1A4BEFD1"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0.1899</w:t>
            </w:r>
          </w:p>
        </w:tc>
        <w:tc>
          <w:tcPr>
            <w:tcW w:w="520" w:type="pct"/>
            <w:noWrap/>
            <w:vAlign w:val="center"/>
            <w:hideMark/>
          </w:tcPr>
          <w:p w14:paraId="12A1AA06" w14:textId="0B0900A7"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0.1018</w:t>
            </w:r>
          </w:p>
        </w:tc>
      </w:tr>
      <w:tr w:rsidR="00EA3A24" w:rsidRPr="00361437" w14:paraId="0B945995" w14:textId="77777777" w:rsidTr="00DC2331">
        <w:trPr>
          <w:trHeight w:val="300"/>
        </w:trPr>
        <w:tc>
          <w:tcPr>
            <w:tcW w:w="1931" w:type="pct"/>
            <w:noWrap/>
            <w:vAlign w:val="center"/>
            <w:hideMark/>
          </w:tcPr>
          <w:p w14:paraId="45C427A0" w14:textId="14613416" w:rsidR="00EA3A24" w:rsidRPr="00361437" w:rsidRDefault="00231197" w:rsidP="00EA3A24">
            <w:pPr>
              <w:spacing w:before="100" w:beforeAutospacing="1" w:after="100" w:afterAutospacing="1" w:line="256" w:lineRule="auto"/>
              <w:contextualSpacing/>
              <w:rPr>
                <w:rFonts w:ascii="Arial" w:eastAsia="Times New Roman" w:hAnsi="Arial" w:cs="Arial"/>
                <w:color w:val="000000"/>
                <w:sz w:val="16"/>
                <w:lang w:eastAsia="en-GB"/>
              </w:rPr>
            </w:pPr>
            <w:r w:rsidRPr="00361437">
              <w:rPr>
                <w:rFonts w:ascii="Arial" w:eastAsia="Times New Roman" w:hAnsi="Arial" w:cs="Arial"/>
                <w:color w:val="000000"/>
                <w:sz w:val="16"/>
                <w:lang w:eastAsia="en-GB"/>
              </w:rPr>
              <w:t>FIRM_AGE</w:t>
            </w:r>
          </w:p>
        </w:tc>
        <w:tc>
          <w:tcPr>
            <w:tcW w:w="460" w:type="pct"/>
            <w:vAlign w:val="center"/>
            <w:hideMark/>
          </w:tcPr>
          <w:p w14:paraId="1130FCA5" w14:textId="24B9CD39"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52,745</w:t>
            </w:r>
          </w:p>
        </w:tc>
        <w:tc>
          <w:tcPr>
            <w:tcW w:w="522" w:type="pct"/>
            <w:noWrap/>
            <w:vAlign w:val="center"/>
            <w:hideMark/>
          </w:tcPr>
          <w:p w14:paraId="1F58FF6A" w14:textId="5EA803CE"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28.2406</w:t>
            </w:r>
          </w:p>
        </w:tc>
        <w:tc>
          <w:tcPr>
            <w:tcW w:w="522" w:type="pct"/>
            <w:vAlign w:val="center"/>
            <w:hideMark/>
          </w:tcPr>
          <w:p w14:paraId="344B4533" w14:textId="118265A0"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22.1014</w:t>
            </w:r>
          </w:p>
        </w:tc>
        <w:tc>
          <w:tcPr>
            <w:tcW w:w="522" w:type="pct"/>
            <w:vAlign w:val="center"/>
            <w:hideMark/>
          </w:tcPr>
          <w:p w14:paraId="46AA7823" w14:textId="48B80460"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12.5041</w:t>
            </w:r>
          </w:p>
        </w:tc>
        <w:tc>
          <w:tcPr>
            <w:tcW w:w="522" w:type="pct"/>
            <w:vAlign w:val="center"/>
            <w:hideMark/>
          </w:tcPr>
          <w:p w14:paraId="14CFC2EA" w14:textId="6E3BEFF6"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39.3671</w:t>
            </w:r>
          </w:p>
        </w:tc>
        <w:tc>
          <w:tcPr>
            <w:tcW w:w="520" w:type="pct"/>
            <w:noWrap/>
            <w:vAlign w:val="center"/>
            <w:hideMark/>
          </w:tcPr>
          <w:p w14:paraId="01754994" w14:textId="7DA44468"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20.9717</w:t>
            </w:r>
          </w:p>
        </w:tc>
      </w:tr>
      <w:tr w:rsidR="00EA3A24" w:rsidRPr="00361437" w14:paraId="75B10D1C" w14:textId="77777777" w:rsidTr="00DC2331">
        <w:trPr>
          <w:trHeight w:val="300"/>
        </w:trPr>
        <w:tc>
          <w:tcPr>
            <w:tcW w:w="1931" w:type="pct"/>
            <w:noWrap/>
            <w:vAlign w:val="center"/>
            <w:hideMark/>
          </w:tcPr>
          <w:p w14:paraId="553D600D" w14:textId="53C5F1C5" w:rsidR="00EA3A24" w:rsidRPr="00361437" w:rsidRDefault="00231197" w:rsidP="00EA3A24">
            <w:pPr>
              <w:spacing w:before="100" w:beforeAutospacing="1" w:after="100" w:afterAutospacing="1" w:line="256" w:lineRule="auto"/>
              <w:contextualSpacing/>
              <w:rPr>
                <w:rFonts w:ascii="Arial" w:eastAsia="Times New Roman" w:hAnsi="Arial" w:cs="Arial"/>
                <w:color w:val="000000"/>
                <w:sz w:val="16"/>
                <w:lang w:eastAsia="en-GB"/>
              </w:rPr>
            </w:pPr>
            <w:r w:rsidRPr="00361437">
              <w:rPr>
                <w:rFonts w:ascii="Arial" w:eastAsia="Calibri" w:hAnsi="Arial" w:cs="Arial"/>
                <w:sz w:val="16"/>
              </w:rPr>
              <w:t>INSTITUTIONAL_BLOCK_OWNERSHIP</w:t>
            </w:r>
          </w:p>
        </w:tc>
        <w:tc>
          <w:tcPr>
            <w:tcW w:w="460" w:type="pct"/>
            <w:vAlign w:val="center"/>
            <w:hideMark/>
          </w:tcPr>
          <w:p w14:paraId="2E9ABD89" w14:textId="12594849"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52,745</w:t>
            </w:r>
          </w:p>
        </w:tc>
        <w:tc>
          <w:tcPr>
            <w:tcW w:w="522" w:type="pct"/>
            <w:noWrap/>
            <w:vAlign w:val="center"/>
            <w:hideMark/>
          </w:tcPr>
          <w:p w14:paraId="0165F4A9" w14:textId="5B72B3C6"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0.2164</w:t>
            </w:r>
          </w:p>
        </w:tc>
        <w:tc>
          <w:tcPr>
            <w:tcW w:w="522" w:type="pct"/>
            <w:vAlign w:val="center"/>
            <w:hideMark/>
          </w:tcPr>
          <w:p w14:paraId="3F679A3D" w14:textId="50D55BA5"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0.1786</w:t>
            </w:r>
          </w:p>
        </w:tc>
        <w:tc>
          <w:tcPr>
            <w:tcW w:w="522" w:type="pct"/>
            <w:vAlign w:val="center"/>
            <w:hideMark/>
          </w:tcPr>
          <w:p w14:paraId="0494DB66" w14:textId="6C2B8644"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0.0962</w:t>
            </w:r>
          </w:p>
        </w:tc>
        <w:tc>
          <w:tcPr>
            <w:tcW w:w="522" w:type="pct"/>
            <w:vAlign w:val="center"/>
            <w:hideMark/>
          </w:tcPr>
          <w:p w14:paraId="5DB190B3" w14:textId="6B88F69D"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0.2769</w:t>
            </w:r>
          </w:p>
        </w:tc>
        <w:tc>
          <w:tcPr>
            <w:tcW w:w="520" w:type="pct"/>
            <w:noWrap/>
            <w:vAlign w:val="center"/>
            <w:hideMark/>
          </w:tcPr>
          <w:p w14:paraId="00090929" w14:textId="75F1707E"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0.3258</w:t>
            </w:r>
          </w:p>
        </w:tc>
      </w:tr>
      <w:tr w:rsidR="00EA3A24" w:rsidRPr="00361437" w14:paraId="6F56D740" w14:textId="77777777" w:rsidTr="00DC2331">
        <w:trPr>
          <w:trHeight w:val="300"/>
        </w:trPr>
        <w:tc>
          <w:tcPr>
            <w:tcW w:w="1931" w:type="pct"/>
            <w:noWrap/>
            <w:vAlign w:val="center"/>
            <w:hideMark/>
          </w:tcPr>
          <w:p w14:paraId="2450D340" w14:textId="536B2506" w:rsidR="00EA3A24" w:rsidRPr="00361437" w:rsidRDefault="00231197" w:rsidP="00EA3A24">
            <w:pPr>
              <w:spacing w:before="100" w:beforeAutospacing="1" w:after="100" w:afterAutospacing="1" w:line="256" w:lineRule="auto"/>
              <w:contextualSpacing/>
              <w:rPr>
                <w:rFonts w:ascii="Arial" w:eastAsia="Times New Roman" w:hAnsi="Arial" w:cs="Arial"/>
                <w:color w:val="000000"/>
                <w:sz w:val="16"/>
                <w:lang w:eastAsia="en-GB"/>
              </w:rPr>
            </w:pPr>
            <w:r w:rsidRPr="00361437">
              <w:rPr>
                <w:rFonts w:ascii="Arial" w:eastAsia="Times New Roman" w:hAnsi="Arial" w:cs="Arial"/>
                <w:color w:val="000000"/>
                <w:sz w:val="16"/>
                <w:lang w:eastAsia="en-GB"/>
              </w:rPr>
              <w:t>BIG_HOLDING_(0,1)</w:t>
            </w:r>
          </w:p>
        </w:tc>
        <w:tc>
          <w:tcPr>
            <w:tcW w:w="460" w:type="pct"/>
            <w:vAlign w:val="center"/>
            <w:hideMark/>
          </w:tcPr>
          <w:p w14:paraId="4BC50AE7" w14:textId="027B81F0"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52,745</w:t>
            </w:r>
          </w:p>
        </w:tc>
        <w:tc>
          <w:tcPr>
            <w:tcW w:w="522" w:type="pct"/>
            <w:noWrap/>
            <w:vAlign w:val="center"/>
            <w:hideMark/>
          </w:tcPr>
          <w:p w14:paraId="614012C9" w14:textId="1A79AEE0"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0.4285</w:t>
            </w:r>
          </w:p>
        </w:tc>
        <w:tc>
          <w:tcPr>
            <w:tcW w:w="522" w:type="pct"/>
            <w:vAlign w:val="center"/>
            <w:hideMark/>
          </w:tcPr>
          <w:p w14:paraId="721DA52C" w14:textId="4A0B2F41"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522" w:type="pct"/>
            <w:vAlign w:val="center"/>
            <w:hideMark/>
          </w:tcPr>
          <w:p w14:paraId="7656885C" w14:textId="44010140"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522" w:type="pct"/>
            <w:vAlign w:val="center"/>
            <w:hideMark/>
          </w:tcPr>
          <w:p w14:paraId="70BA2987" w14:textId="27FD001C"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1.0000</w:t>
            </w:r>
          </w:p>
        </w:tc>
        <w:tc>
          <w:tcPr>
            <w:tcW w:w="520" w:type="pct"/>
            <w:noWrap/>
            <w:vAlign w:val="center"/>
            <w:hideMark/>
          </w:tcPr>
          <w:p w14:paraId="30D826D7" w14:textId="21256064"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0.4949</w:t>
            </w:r>
          </w:p>
        </w:tc>
      </w:tr>
      <w:tr w:rsidR="00EA3A24" w:rsidRPr="00361437" w14:paraId="0C81D82E" w14:textId="77777777" w:rsidTr="00DC2331">
        <w:trPr>
          <w:trHeight w:val="300"/>
        </w:trPr>
        <w:tc>
          <w:tcPr>
            <w:tcW w:w="1931" w:type="pct"/>
            <w:noWrap/>
            <w:vAlign w:val="center"/>
            <w:hideMark/>
          </w:tcPr>
          <w:p w14:paraId="718CA796" w14:textId="1101EB62" w:rsidR="00EA3A24" w:rsidRPr="00361437" w:rsidRDefault="00231197" w:rsidP="00EA3A24">
            <w:pPr>
              <w:spacing w:before="100" w:beforeAutospacing="1" w:after="100" w:afterAutospacing="1" w:line="256" w:lineRule="auto"/>
              <w:contextualSpacing/>
              <w:rPr>
                <w:rFonts w:ascii="Arial" w:eastAsia="Times New Roman" w:hAnsi="Arial" w:cs="Arial"/>
                <w:color w:val="000000"/>
                <w:sz w:val="16"/>
                <w:lang w:eastAsia="en-GB"/>
              </w:rPr>
            </w:pPr>
            <w:r w:rsidRPr="00361437">
              <w:rPr>
                <w:rFonts w:ascii="Arial" w:eastAsia="Times New Roman" w:hAnsi="Arial" w:cs="Arial"/>
                <w:color w:val="000000"/>
                <w:sz w:val="16"/>
                <w:lang w:eastAsia="en-GB"/>
              </w:rPr>
              <w:lastRenderedPageBreak/>
              <w:t>NUMBER_OF_FUNDS_IN_THE_FAMILY</w:t>
            </w:r>
          </w:p>
        </w:tc>
        <w:tc>
          <w:tcPr>
            <w:tcW w:w="460" w:type="pct"/>
            <w:vAlign w:val="center"/>
            <w:hideMark/>
          </w:tcPr>
          <w:p w14:paraId="3C0610B7" w14:textId="14F1FA2F"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52,745</w:t>
            </w:r>
          </w:p>
        </w:tc>
        <w:tc>
          <w:tcPr>
            <w:tcW w:w="522" w:type="pct"/>
            <w:noWrap/>
            <w:vAlign w:val="center"/>
            <w:hideMark/>
          </w:tcPr>
          <w:p w14:paraId="4FBC139F" w14:textId="5340ABE6"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4.8073</w:t>
            </w:r>
          </w:p>
        </w:tc>
        <w:tc>
          <w:tcPr>
            <w:tcW w:w="522" w:type="pct"/>
            <w:vAlign w:val="center"/>
            <w:hideMark/>
          </w:tcPr>
          <w:p w14:paraId="7D499E1D" w14:textId="312CB1D0"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3.0000</w:t>
            </w:r>
          </w:p>
        </w:tc>
        <w:tc>
          <w:tcPr>
            <w:tcW w:w="522" w:type="pct"/>
            <w:vAlign w:val="center"/>
            <w:hideMark/>
          </w:tcPr>
          <w:p w14:paraId="0C43B932" w14:textId="2D8D803A"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1.0000</w:t>
            </w:r>
          </w:p>
        </w:tc>
        <w:tc>
          <w:tcPr>
            <w:tcW w:w="522" w:type="pct"/>
            <w:vAlign w:val="center"/>
            <w:hideMark/>
          </w:tcPr>
          <w:p w14:paraId="1D2473FB" w14:textId="5FE4A0A5"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6.0000</w:t>
            </w:r>
          </w:p>
        </w:tc>
        <w:tc>
          <w:tcPr>
            <w:tcW w:w="520" w:type="pct"/>
            <w:noWrap/>
            <w:vAlign w:val="center"/>
            <w:hideMark/>
          </w:tcPr>
          <w:p w14:paraId="1A821C3C" w14:textId="7FD1D67F"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5.2453</w:t>
            </w:r>
          </w:p>
        </w:tc>
      </w:tr>
      <w:tr w:rsidR="00EA3A24" w:rsidRPr="00361437" w14:paraId="1579362E" w14:textId="77777777" w:rsidTr="00DC2331">
        <w:trPr>
          <w:trHeight w:val="300"/>
        </w:trPr>
        <w:tc>
          <w:tcPr>
            <w:tcW w:w="1931" w:type="pct"/>
            <w:noWrap/>
            <w:vAlign w:val="center"/>
            <w:hideMark/>
          </w:tcPr>
          <w:p w14:paraId="6C4F20E5" w14:textId="7356B3FE" w:rsidR="00EA3A24" w:rsidRPr="00361437" w:rsidRDefault="009F6C4A" w:rsidP="00EA3A24">
            <w:pPr>
              <w:spacing w:before="100" w:beforeAutospacing="1" w:after="100" w:afterAutospacing="1" w:line="256" w:lineRule="auto"/>
              <w:contextualSpacing/>
              <w:rPr>
                <w:rFonts w:ascii="Arial" w:eastAsia="Times New Roman" w:hAnsi="Arial" w:cs="Arial"/>
                <w:color w:val="000000"/>
                <w:sz w:val="16"/>
                <w:lang w:eastAsia="en-GB"/>
              </w:rPr>
            </w:pPr>
            <w:r w:rsidRPr="00361437">
              <w:rPr>
                <w:rFonts w:ascii="Arial" w:eastAsia="Times New Roman" w:hAnsi="Arial" w:cs="Arial"/>
                <w:color w:val="000000"/>
                <w:sz w:val="16"/>
                <w:lang w:eastAsia="en-GB"/>
              </w:rPr>
              <w:t>DISTRESS_(0,1)</w:t>
            </w:r>
            <w:r w:rsidR="00EA3A24" w:rsidRPr="00361437">
              <w:rPr>
                <w:rFonts w:ascii="Arial" w:eastAsia="Times New Roman" w:hAnsi="Arial" w:cs="Arial"/>
                <w:color w:val="000000"/>
                <w:sz w:val="16"/>
                <w:lang w:eastAsia="en-GB"/>
              </w:rPr>
              <w:t xml:space="preserve"> </w:t>
            </w:r>
          </w:p>
        </w:tc>
        <w:tc>
          <w:tcPr>
            <w:tcW w:w="460" w:type="pct"/>
            <w:vAlign w:val="center"/>
            <w:hideMark/>
          </w:tcPr>
          <w:p w14:paraId="32ADD645" w14:textId="011C1457"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52,745</w:t>
            </w:r>
          </w:p>
        </w:tc>
        <w:tc>
          <w:tcPr>
            <w:tcW w:w="522" w:type="pct"/>
            <w:noWrap/>
            <w:vAlign w:val="center"/>
            <w:hideMark/>
          </w:tcPr>
          <w:p w14:paraId="5201F041" w14:textId="4EC0CDB7"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w:t>
            </w:r>
            <w:r w:rsidR="00C17C70" w:rsidRPr="00361437">
              <w:rPr>
                <w:rFonts w:ascii="Arial" w:hAnsi="Arial" w:cs="Arial"/>
                <w:color w:val="000000"/>
                <w:sz w:val="20"/>
              </w:rPr>
              <w:t>5</w:t>
            </w:r>
            <w:r w:rsidR="00C04578" w:rsidRPr="00361437">
              <w:rPr>
                <w:rFonts w:ascii="Arial" w:hAnsi="Arial" w:cs="Arial"/>
                <w:color w:val="000000"/>
                <w:sz w:val="20"/>
              </w:rPr>
              <w:t>56</w:t>
            </w:r>
          </w:p>
        </w:tc>
        <w:tc>
          <w:tcPr>
            <w:tcW w:w="522" w:type="pct"/>
            <w:vAlign w:val="center"/>
            <w:hideMark/>
          </w:tcPr>
          <w:p w14:paraId="2F6AC9A0" w14:textId="2F3C3ACC"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522" w:type="pct"/>
            <w:vAlign w:val="center"/>
            <w:hideMark/>
          </w:tcPr>
          <w:p w14:paraId="2EC5DB10" w14:textId="3A967742"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522" w:type="pct"/>
            <w:vAlign w:val="center"/>
            <w:hideMark/>
          </w:tcPr>
          <w:p w14:paraId="7771C9C7" w14:textId="3030AA79"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520" w:type="pct"/>
            <w:noWrap/>
            <w:vAlign w:val="center"/>
            <w:hideMark/>
          </w:tcPr>
          <w:p w14:paraId="6356D6BF" w14:textId="6C9FBF58"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w:t>
            </w:r>
            <w:r w:rsidR="006E7435" w:rsidRPr="00361437">
              <w:rPr>
                <w:rFonts w:ascii="Arial" w:hAnsi="Arial" w:cs="Arial"/>
                <w:color w:val="000000"/>
                <w:sz w:val="20"/>
              </w:rPr>
              <w:t>1622</w:t>
            </w:r>
          </w:p>
        </w:tc>
      </w:tr>
      <w:tr w:rsidR="00EA3A24" w:rsidRPr="00361437" w14:paraId="57DF189D" w14:textId="77777777" w:rsidTr="00DC2331">
        <w:trPr>
          <w:trHeight w:val="300"/>
        </w:trPr>
        <w:tc>
          <w:tcPr>
            <w:tcW w:w="1931" w:type="pct"/>
            <w:noWrap/>
            <w:vAlign w:val="center"/>
            <w:hideMark/>
          </w:tcPr>
          <w:p w14:paraId="66203F8D" w14:textId="128538C9" w:rsidR="00EA3A24" w:rsidRPr="00361437" w:rsidRDefault="009F6C4A" w:rsidP="00EA3A24">
            <w:pPr>
              <w:spacing w:before="100" w:beforeAutospacing="1" w:after="100" w:afterAutospacing="1" w:line="256" w:lineRule="auto"/>
              <w:contextualSpacing/>
              <w:rPr>
                <w:rFonts w:ascii="Arial" w:eastAsia="Times New Roman" w:hAnsi="Arial" w:cs="Arial"/>
                <w:color w:val="000000"/>
                <w:sz w:val="16"/>
                <w:lang w:eastAsia="en-GB"/>
              </w:rPr>
            </w:pPr>
            <w:r w:rsidRPr="00361437">
              <w:rPr>
                <w:rFonts w:ascii="Arial" w:eastAsia="Times New Roman" w:hAnsi="Arial" w:cs="Arial"/>
                <w:color w:val="000000"/>
                <w:sz w:val="16"/>
                <w:lang w:eastAsia="en-GB"/>
              </w:rPr>
              <w:t>FAMILY_DEBT_FRACTION</w:t>
            </w:r>
            <w:r w:rsidR="00EA3A24" w:rsidRPr="00361437">
              <w:rPr>
                <w:rFonts w:ascii="Arial" w:eastAsia="Times New Roman" w:hAnsi="Arial" w:cs="Arial"/>
                <w:color w:val="000000"/>
                <w:sz w:val="16"/>
                <w:lang w:eastAsia="en-GB"/>
              </w:rPr>
              <w:t xml:space="preserve"> </w:t>
            </w:r>
          </w:p>
        </w:tc>
        <w:tc>
          <w:tcPr>
            <w:tcW w:w="460" w:type="pct"/>
            <w:vAlign w:val="center"/>
            <w:hideMark/>
          </w:tcPr>
          <w:p w14:paraId="7E32F0F1" w14:textId="4D18FF5A"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52,745</w:t>
            </w:r>
          </w:p>
        </w:tc>
        <w:tc>
          <w:tcPr>
            <w:tcW w:w="522" w:type="pct"/>
            <w:noWrap/>
            <w:vAlign w:val="center"/>
            <w:hideMark/>
          </w:tcPr>
          <w:p w14:paraId="03523CE6" w14:textId="004EBC42"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0.0393</w:t>
            </w:r>
          </w:p>
        </w:tc>
        <w:tc>
          <w:tcPr>
            <w:tcW w:w="522" w:type="pct"/>
            <w:vAlign w:val="center"/>
            <w:hideMark/>
          </w:tcPr>
          <w:p w14:paraId="04F6F40A" w14:textId="6CDF6764"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522" w:type="pct"/>
            <w:vAlign w:val="center"/>
            <w:hideMark/>
          </w:tcPr>
          <w:p w14:paraId="10FCC4C2" w14:textId="5FBEF739"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522" w:type="pct"/>
            <w:vAlign w:val="center"/>
            <w:hideMark/>
          </w:tcPr>
          <w:p w14:paraId="4C14F586" w14:textId="12BC1C02"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520" w:type="pct"/>
            <w:noWrap/>
            <w:vAlign w:val="center"/>
            <w:hideMark/>
          </w:tcPr>
          <w:p w14:paraId="5B1BE2F8" w14:textId="55D587F4" w:rsidR="00EA3A24" w:rsidRPr="00361437" w:rsidRDefault="00EA3A24" w:rsidP="00EA3A24">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0.1511</w:t>
            </w:r>
          </w:p>
        </w:tc>
      </w:tr>
      <w:tr w:rsidR="00032E88" w:rsidRPr="00361437" w14:paraId="10925B76" w14:textId="77777777" w:rsidTr="00DC2331">
        <w:trPr>
          <w:trHeight w:val="300"/>
        </w:trPr>
        <w:tc>
          <w:tcPr>
            <w:tcW w:w="1931" w:type="pct"/>
            <w:noWrap/>
            <w:vAlign w:val="center"/>
            <w:hideMark/>
          </w:tcPr>
          <w:p w14:paraId="24C014AE" w14:textId="77777777" w:rsidR="00032E88" w:rsidRPr="00361437" w:rsidRDefault="00032E88" w:rsidP="00032E88">
            <w:pPr>
              <w:spacing w:before="100" w:beforeAutospacing="1" w:after="100" w:afterAutospacing="1" w:line="256" w:lineRule="auto"/>
              <w:contextualSpacing/>
              <w:rPr>
                <w:rFonts w:ascii="Arial" w:eastAsia="Times New Roman" w:hAnsi="Arial" w:cs="Arial"/>
                <w:color w:val="000000"/>
                <w:sz w:val="20"/>
                <w:lang w:eastAsia="en-GB"/>
              </w:rPr>
            </w:pPr>
            <w:r w:rsidRPr="00361437">
              <w:rPr>
                <w:rFonts w:ascii="Arial" w:eastAsia="Times New Roman" w:hAnsi="Arial" w:cs="Arial"/>
                <w:color w:val="000000"/>
                <w:sz w:val="20"/>
                <w:lang w:eastAsia="en-GB"/>
              </w:rPr>
              <w:t>Conditional on family holding debt</w:t>
            </w:r>
          </w:p>
        </w:tc>
        <w:tc>
          <w:tcPr>
            <w:tcW w:w="460" w:type="pct"/>
            <w:vAlign w:val="center"/>
          </w:tcPr>
          <w:p w14:paraId="77E62249"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p>
        </w:tc>
        <w:tc>
          <w:tcPr>
            <w:tcW w:w="522" w:type="pct"/>
            <w:noWrap/>
            <w:vAlign w:val="center"/>
          </w:tcPr>
          <w:p w14:paraId="52BE4ADF"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p>
        </w:tc>
        <w:tc>
          <w:tcPr>
            <w:tcW w:w="522" w:type="pct"/>
            <w:vAlign w:val="center"/>
          </w:tcPr>
          <w:p w14:paraId="694B2CB1"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p>
        </w:tc>
        <w:tc>
          <w:tcPr>
            <w:tcW w:w="522" w:type="pct"/>
            <w:vAlign w:val="center"/>
          </w:tcPr>
          <w:p w14:paraId="03FE80C9"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p>
        </w:tc>
        <w:tc>
          <w:tcPr>
            <w:tcW w:w="522" w:type="pct"/>
            <w:vAlign w:val="center"/>
          </w:tcPr>
          <w:p w14:paraId="559F4382"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p>
        </w:tc>
        <w:tc>
          <w:tcPr>
            <w:tcW w:w="520" w:type="pct"/>
            <w:noWrap/>
            <w:vAlign w:val="center"/>
          </w:tcPr>
          <w:p w14:paraId="59EDBDAC"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p>
        </w:tc>
      </w:tr>
      <w:tr w:rsidR="00032E88" w:rsidRPr="00361437" w14:paraId="67D9B34E" w14:textId="77777777" w:rsidTr="00DC2331">
        <w:trPr>
          <w:trHeight w:val="300"/>
        </w:trPr>
        <w:tc>
          <w:tcPr>
            <w:tcW w:w="1931" w:type="pct"/>
            <w:tcBorders>
              <w:top w:val="nil"/>
              <w:left w:val="nil"/>
              <w:bottom w:val="single" w:sz="4" w:space="0" w:color="auto"/>
              <w:right w:val="nil"/>
            </w:tcBorders>
            <w:noWrap/>
            <w:vAlign w:val="center"/>
            <w:hideMark/>
          </w:tcPr>
          <w:p w14:paraId="59CB6787" w14:textId="002D2E70" w:rsidR="00032E88" w:rsidRPr="00361437" w:rsidRDefault="009F6C4A" w:rsidP="00032E88">
            <w:pPr>
              <w:spacing w:before="100" w:beforeAutospacing="1" w:after="100" w:afterAutospacing="1" w:line="256" w:lineRule="auto"/>
              <w:contextualSpacing/>
              <w:rPr>
                <w:rFonts w:ascii="Arial" w:eastAsia="Times New Roman" w:hAnsi="Arial" w:cs="Arial"/>
                <w:color w:val="000000"/>
                <w:sz w:val="16"/>
                <w:lang w:eastAsia="en-GB"/>
              </w:rPr>
            </w:pPr>
            <w:r w:rsidRPr="00361437">
              <w:rPr>
                <w:rFonts w:ascii="Arial" w:eastAsia="Times New Roman" w:hAnsi="Arial" w:cs="Arial"/>
                <w:color w:val="000000"/>
                <w:sz w:val="16"/>
                <w:lang w:eastAsia="en-GB"/>
              </w:rPr>
              <w:t>FAMILY_DEBT_FRACTION</w:t>
            </w:r>
            <w:r w:rsidR="00032E88" w:rsidRPr="00361437">
              <w:rPr>
                <w:rFonts w:ascii="Arial" w:eastAsia="Times New Roman" w:hAnsi="Arial" w:cs="Arial"/>
                <w:color w:val="000000"/>
                <w:sz w:val="16"/>
                <w:lang w:eastAsia="en-GB"/>
              </w:rPr>
              <w:t xml:space="preserve"> </w:t>
            </w:r>
          </w:p>
        </w:tc>
        <w:tc>
          <w:tcPr>
            <w:tcW w:w="460" w:type="pct"/>
            <w:tcBorders>
              <w:top w:val="nil"/>
              <w:left w:val="nil"/>
              <w:bottom w:val="single" w:sz="4" w:space="0" w:color="auto"/>
              <w:right w:val="nil"/>
            </w:tcBorders>
            <w:vAlign w:val="center"/>
            <w:hideMark/>
          </w:tcPr>
          <w:p w14:paraId="6B4F7F94" w14:textId="28E0466A"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7,</w:t>
            </w:r>
            <w:r w:rsidR="00EA3A24" w:rsidRPr="00361437">
              <w:rPr>
                <w:rFonts w:ascii="Arial" w:eastAsia="Calibri" w:hAnsi="Arial" w:cs="Arial"/>
                <w:color w:val="000000"/>
                <w:sz w:val="20"/>
              </w:rPr>
              <w:t>136</w:t>
            </w:r>
          </w:p>
        </w:tc>
        <w:tc>
          <w:tcPr>
            <w:tcW w:w="522" w:type="pct"/>
            <w:tcBorders>
              <w:top w:val="nil"/>
              <w:left w:val="nil"/>
              <w:bottom w:val="single" w:sz="4" w:space="0" w:color="auto"/>
              <w:right w:val="nil"/>
            </w:tcBorders>
            <w:noWrap/>
            <w:vAlign w:val="center"/>
            <w:hideMark/>
          </w:tcPr>
          <w:p w14:paraId="63DE534A" w14:textId="294C92F5"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0.</w:t>
            </w:r>
            <w:r w:rsidR="00EA3A24" w:rsidRPr="00361437">
              <w:rPr>
                <w:rFonts w:ascii="Arial" w:eastAsia="Calibri" w:hAnsi="Arial" w:cs="Arial"/>
                <w:color w:val="000000"/>
                <w:sz w:val="20"/>
              </w:rPr>
              <w:t>2945</w:t>
            </w:r>
          </w:p>
        </w:tc>
        <w:tc>
          <w:tcPr>
            <w:tcW w:w="522" w:type="pct"/>
            <w:tcBorders>
              <w:top w:val="nil"/>
              <w:left w:val="nil"/>
              <w:bottom w:val="single" w:sz="4" w:space="0" w:color="auto"/>
              <w:right w:val="nil"/>
            </w:tcBorders>
            <w:vAlign w:val="center"/>
            <w:hideMark/>
          </w:tcPr>
          <w:p w14:paraId="632E27E8" w14:textId="52C1F213"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0.1</w:t>
            </w:r>
            <w:r w:rsidR="00EA3A24" w:rsidRPr="00361437">
              <w:rPr>
                <w:rFonts w:ascii="Arial" w:eastAsia="Calibri" w:hAnsi="Arial" w:cs="Arial"/>
                <w:color w:val="000000"/>
                <w:sz w:val="20"/>
              </w:rPr>
              <w:t>489</w:t>
            </w:r>
          </w:p>
        </w:tc>
        <w:tc>
          <w:tcPr>
            <w:tcW w:w="522" w:type="pct"/>
            <w:tcBorders>
              <w:top w:val="nil"/>
              <w:left w:val="nil"/>
              <w:bottom w:val="single" w:sz="4" w:space="0" w:color="auto"/>
              <w:right w:val="nil"/>
            </w:tcBorders>
            <w:vAlign w:val="center"/>
            <w:hideMark/>
          </w:tcPr>
          <w:p w14:paraId="7CBDC9F1" w14:textId="6C84E5B2"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0.04</w:t>
            </w:r>
            <w:r w:rsidR="00EA3A24" w:rsidRPr="00361437">
              <w:rPr>
                <w:rFonts w:ascii="Arial" w:eastAsia="Calibri" w:hAnsi="Arial" w:cs="Arial"/>
                <w:color w:val="000000"/>
                <w:sz w:val="20"/>
              </w:rPr>
              <w:t>59</w:t>
            </w:r>
          </w:p>
        </w:tc>
        <w:tc>
          <w:tcPr>
            <w:tcW w:w="522" w:type="pct"/>
            <w:tcBorders>
              <w:top w:val="nil"/>
              <w:left w:val="nil"/>
              <w:bottom w:val="single" w:sz="4" w:space="0" w:color="auto"/>
              <w:right w:val="nil"/>
            </w:tcBorders>
            <w:vAlign w:val="center"/>
            <w:hideMark/>
          </w:tcPr>
          <w:p w14:paraId="17F91A84" w14:textId="1F993F12"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0.</w:t>
            </w:r>
            <w:r w:rsidR="00EA3A24" w:rsidRPr="00361437">
              <w:rPr>
                <w:rFonts w:ascii="Arial" w:eastAsia="Calibri" w:hAnsi="Arial" w:cs="Arial"/>
                <w:color w:val="000000"/>
                <w:sz w:val="20"/>
              </w:rPr>
              <w:t>490</w:t>
            </w:r>
            <w:r w:rsidRPr="00361437">
              <w:rPr>
                <w:rFonts w:ascii="Arial" w:eastAsia="Calibri" w:hAnsi="Arial" w:cs="Arial"/>
                <w:color w:val="000000"/>
                <w:sz w:val="20"/>
              </w:rPr>
              <w:t>1</w:t>
            </w:r>
          </w:p>
        </w:tc>
        <w:tc>
          <w:tcPr>
            <w:tcW w:w="520" w:type="pct"/>
            <w:tcBorders>
              <w:top w:val="nil"/>
              <w:left w:val="nil"/>
              <w:bottom w:val="single" w:sz="4" w:space="0" w:color="auto"/>
              <w:right w:val="nil"/>
            </w:tcBorders>
            <w:noWrap/>
            <w:vAlign w:val="center"/>
            <w:hideMark/>
          </w:tcPr>
          <w:p w14:paraId="4A7AE616" w14:textId="4A29C56F"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color w:val="000000"/>
                <w:sz w:val="20"/>
              </w:rPr>
              <w:t>0.3</w:t>
            </w:r>
            <w:r w:rsidR="00EA3A24" w:rsidRPr="00361437">
              <w:rPr>
                <w:rFonts w:ascii="Arial" w:eastAsia="Calibri" w:hAnsi="Arial" w:cs="Arial"/>
                <w:color w:val="000000"/>
                <w:sz w:val="20"/>
              </w:rPr>
              <w:t>096</w:t>
            </w:r>
          </w:p>
        </w:tc>
      </w:tr>
    </w:tbl>
    <w:p w14:paraId="25C0A4F5" w14:textId="77777777" w:rsidR="00032E88" w:rsidRPr="00361437" w:rsidRDefault="00032E88" w:rsidP="00032E88">
      <w:pPr>
        <w:rPr>
          <w:rFonts w:ascii="Arial" w:eastAsia="Calibri" w:hAnsi="Arial" w:cs="Arial"/>
          <w:b/>
          <w:sz w:val="20"/>
        </w:rPr>
      </w:pPr>
    </w:p>
    <w:p w14:paraId="6A851AE0" w14:textId="77777777" w:rsidR="00032E88" w:rsidRPr="00361437" w:rsidRDefault="00032E88" w:rsidP="00032E88">
      <w:pPr>
        <w:rPr>
          <w:rFonts w:ascii="Arial" w:eastAsia="Calibri" w:hAnsi="Arial" w:cs="Arial"/>
          <w:b/>
          <w:sz w:val="20"/>
        </w:rPr>
        <w:sectPr w:rsidR="00032E88" w:rsidRPr="00361437" w:rsidSect="000E77D9">
          <w:pgSz w:w="11906" w:h="16838"/>
          <w:pgMar w:top="1440" w:right="1440" w:bottom="1440" w:left="1440" w:header="708" w:footer="0" w:gutter="0"/>
          <w:cols w:space="720"/>
        </w:sectPr>
      </w:pPr>
    </w:p>
    <w:p w14:paraId="5F8963AA" w14:textId="77777777" w:rsidR="006F39AD" w:rsidRPr="00361437" w:rsidRDefault="00032E88" w:rsidP="006F39AD">
      <w:pPr>
        <w:pBdr>
          <w:top w:val="single" w:sz="4" w:space="1" w:color="auto"/>
        </w:pBdr>
        <w:jc w:val="center"/>
        <w:rPr>
          <w:rFonts w:ascii="Arial" w:eastAsia="Calibri" w:hAnsi="Arial" w:cs="Arial"/>
          <w:sz w:val="24"/>
        </w:rPr>
      </w:pPr>
      <w:r w:rsidRPr="00361437">
        <w:rPr>
          <w:rFonts w:ascii="Arial" w:eastAsia="Calibri" w:hAnsi="Arial" w:cs="Arial"/>
          <w:sz w:val="24"/>
        </w:rPr>
        <w:lastRenderedPageBreak/>
        <w:t>T</w:t>
      </w:r>
      <w:r w:rsidR="006F39AD" w:rsidRPr="00361437">
        <w:rPr>
          <w:rFonts w:ascii="Arial" w:eastAsia="Calibri" w:hAnsi="Arial" w:cs="Arial"/>
          <w:sz w:val="24"/>
        </w:rPr>
        <w:t>ABLE</w:t>
      </w:r>
      <w:r w:rsidRPr="00361437">
        <w:rPr>
          <w:rFonts w:ascii="Arial" w:eastAsia="Calibri" w:hAnsi="Arial" w:cs="Arial"/>
          <w:sz w:val="24"/>
        </w:rPr>
        <w:t xml:space="preserve"> 3</w:t>
      </w:r>
    </w:p>
    <w:p w14:paraId="0F64F558" w14:textId="694FB085" w:rsidR="00032E88" w:rsidRPr="00361437" w:rsidRDefault="00032E88" w:rsidP="006F39AD">
      <w:pPr>
        <w:pBdr>
          <w:bottom w:val="single" w:sz="4" w:space="1" w:color="auto"/>
        </w:pBdr>
        <w:jc w:val="center"/>
        <w:rPr>
          <w:rFonts w:ascii="Arial" w:eastAsia="Calibri" w:hAnsi="Arial" w:cs="Arial"/>
          <w:sz w:val="24"/>
        </w:rPr>
      </w:pPr>
      <w:r w:rsidRPr="00361437">
        <w:rPr>
          <w:rFonts w:ascii="Arial" w:eastAsia="Calibri" w:hAnsi="Arial" w:cs="Arial"/>
          <w:sz w:val="24"/>
        </w:rPr>
        <w:t xml:space="preserve">The </w:t>
      </w:r>
      <w:r w:rsidR="006F39AD" w:rsidRPr="00361437">
        <w:rPr>
          <w:rFonts w:ascii="Arial" w:eastAsia="Calibri" w:hAnsi="Arial" w:cs="Arial"/>
          <w:sz w:val="24"/>
        </w:rPr>
        <w:t>E</w:t>
      </w:r>
      <w:r w:rsidRPr="00361437">
        <w:rPr>
          <w:rFonts w:ascii="Arial" w:eastAsia="Calibri" w:hAnsi="Arial" w:cs="Arial"/>
          <w:sz w:val="24"/>
        </w:rPr>
        <w:t xml:space="preserve">ffects of </w:t>
      </w:r>
      <w:r w:rsidR="006F39AD" w:rsidRPr="00361437">
        <w:rPr>
          <w:rFonts w:ascii="Arial" w:eastAsia="Calibri" w:hAnsi="Arial" w:cs="Arial"/>
          <w:sz w:val="24"/>
        </w:rPr>
        <w:t>Debt Ho</w:t>
      </w:r>
      <w:r w:rsidRPr="00361437">
        <w:rPr>
          <w:rFonts w:ascii="Arial" w:eastAsia="Calibri" w:hAnsi="Arial" w:cs="Arial"/>
          <w:sz w:val="24"/>
        </w:rPr>
        <w:t xml:space="preserve">ldings on </w:t>
      </w:r>
      <w:r w:rsidR="006F39AD" w:rsidRPr="00361437">
        <w:rPr>
          <w:rFonts w:ascii="Arial" w:eastAsia="Calibri" w:hAnsi="Arial" w:cs="Arial"/>
          <w:sz w:val="24"/>
        </w:rPr>
        <w:t>V</w:t>
      </w:r>
      <w:r w:rsidRPr="00361437">
        <w:rPr>
          <w:rFonts w:ascii="Arial" w:eastAsia="Calibri" w:hAnsi="Arial" w:cs="Arial"/>
          <w:sz w:val="24"/>
        </w:rPr>
        <w:t>oting</w:t>
      </w:r>
    </w:p>
    <w:p w14:paraId="2F24EF03" w14:textId="77777777" w:rsidR="00032E88" w:rsidRPr="00361437" w:rsidRDefault="00032E88" w:rsidP="00032E88">
      <w:pPr>
        <w:rPr>
          <w:rFonts w:ascii="Arial" w:eastAsia="Calibri" w:hAnsi="Arial" w:cs="Arial"/>
          <w:sz w:val="20"/>
        </w:rPr>
      </w:pPr>
    </w:p>
    <w:p w14:paraId="36F208DA" w14:textId="36F7D959" w:rsidR="00032E88" w:rsidRPr="00361437" w:rsidRDefault="00032E88" w:rsidP="00032E88">
      <w:pPr>
        <w:jc w:val="both"/>
        <w:rPr>
          <w:rFonts w:ascii="Arial" w:eastAsia="Calibri" w:hAnsi="Arial" w:cs="Arial"/>
          <w:sz w:val="20"/>
        </w:rPr>
      </w:pPr>
      <w:r w:rsidRPr="00361437">
        <w:rPr>
          <w:rFonts w:ascii="Arial" w:eastAsia="Calibri" w:hAnsi="Arial" w:cs="Arial"/>
          <w:sz w:val="20"/>
        </w:rPr>
        <w:t xml:space="preserve">In this table, we report OLS regressions modelling fund families voting in favor of proposals that are in the interest of creditors. Our voting sample consists of </w:t>
      </w:r>
      <w:r w:rsidR="00655474" w:rsidRPr="00361437">
        <w:rPr>
          <w:rFonts w:ascii="Arial" w:eastAsia="Calibri" w:hAnsi="Arial" w:cs="Arial"/>
          <w:sz w:val="20"/>
        </w:rPr>
        <w:t>52,745</w:t>
      </w:r>
      <w:r w:rsidRPr="00361437">
        <w:rPr>
          <w:rFonts w:ascii="Arial" w:eastAsia="Calibri" w:hAnsi="Arial" w:cs="Arial"/>
          <w:sz w:val="20"/>
        </w:rPr>
        <w:t xml:space="preserve"> voting outcomes by fund families in support or against </w:t>
      </w:r>
      <w:r w:rsidR="001620E6" w:rsidRPr="00361437">
        <w:rPr>
          <w:rFonts w:ascii="Arial" w:eastAsia="Calibri" w:hAnsi="Arial" w:cs="Arial"/>
          <w:sz w:val="20"/>
        </w:rPr>
        <w:t>2,081</w:t>
      </w:r>
      <w:r w:rsidRPr="00361437">
        <w:rPr>
          <w:rFonts w:ascii="Arial" w:eastAsia="Calibri" w:hAnsi="Arial" w:cs="Arial"/>
          <w:sz w:val="20"/>
        </w:rPr>
        <w:t xml:space="preserve"> conflict proposals, and as a result is at the fund family-proposal-firm-year level. In Panel A models 1 and 2, the dependent variable equals one if a given fund family casts more than 50% of the votes of its funds in favor of creditors for the given proposal concerned and zero otherwise. In Panel A models 3 and 4, the dependent variable equals the fraction of votes cast by funds in a family in favor of creditors for the given proposal concerned and zero otherwise. In Panel A we use all proposals. In Panel B we separate all proposals into those where creditor interests are aligned with the interests of management or not and report the coefficients of the main independent interaction variables from Panel A model 2. In Panel C we separate all proposals into those where creditor interests are aligned with the interests of ISS or not. In Panel D we perform placebo tests by using proposals that are less likely to exhibit a conflict of interests between debt holders and equity holders. The key independent variable </w:t>
      </w:r>
      <w:r w:rsidR="009F6C4A" w:rsidRPr="00361437">
        <w:rPr>
          <w:rFonts w:ascii="Arial" w:eastAsia="Calibri" w:hAnsi="Arial" w:cs="Arial"/>
          <w:sz w:val="20"/>
        </w:rPr>
        <w:t>FAMILY_DEBT_FRACTION</w:t>
      </w:r>
      <w:r w:rsidRPr="00361437">
        <w:rPr>
          <w:rFonts w:ascii="Arial" w:eastAsia="Calibri" w:hAnsi="Arial" w:cs="Arial"/>
          <w:sz w:val="20"/>
        </w:rPr>
        <w:t xml:space="preserve"> is the sum of investment in bonds across all funds of the family in a firm in a year divided by the sum of investment in bonds and equity across all funds of the family in the firm in the year. All other variables are defined in</w:t>
      </w:r>
      <w:r w:rsidR="00D10EEF" w:rsidRPr="00361437">
        <w:rPr>
          <w:rFonts w:ascii="Arial" w:eastAsia="Calibri" w:hAnsi="Arial" w:cs="Arial"/>
          <w:sz w:val="20"/>
        </w:rPr>
        <w:t xml:space="preserve"> the</w:t>
      </w:r>
      <w:r w:rsidRPr="00361437">
        <w:rPr>
          <w:rFonts w:ascii="Arial" w:eastAsia="Calibri" w:hAnsi="Arial" w:cs="Arial"/>
          <w:sz w:val="20"/>
        </w:rPr>
        <w:t xml:space="preserve"> Appendix. All regressions control for fund family fixed effects and (proposal type × year) fixed effects except for Panel D Model 1 in which we do not control for proposal type as there is only one proposal type “director election”. Standard errors are </w:t>
      </w:r>
      <w:r w:rsidR="001316B6" w:rsidRPr="00361437">
        <w:rPr>
          <w:rFonts w:ascii="Arial" w:eastAsia="Calibri" w:hAnsi="Arial" w:cs="Arial"/>
          <w:sz w:val="20"/>
        </w:rPr>
        <w:t>clustered</w:t>
      </w:r>
      <w:r w:rsidRPr="00361437">
        <w:rPr>
          <w:rFonts w:ascii="Arial" w:eastAsia="Calibri" w:hAnsi="Arial" w:cs="Arial"/>
          <w:sz w:val="20"/>
        </w:rPr>
        <w:t xml:space="preserve"> by fund family.  </w:t>
      </w:r>
      <w:r w:rsidRPr="00361437">
        <w:rPr>
          <w:rFonts w:ascii="Arial" w:eastAsia="Calibri" w:hAnsi="Arial" w:cs="Arial"/>
          <w:sz w:val="20"/>
          <w:vertAlign w:val="superscript"/>
        </w:rPr>
        <w:t>*</w:t>
      </w:r>
      <w:r w:rsidRPr="00361437">
        <w:rPr>
          <w:rFonts w:ascii="Arial" w:eastAsia="Calibri" w:hAnsi="Arial" w:cs="Arial"/>
          <w:sz w:val="20"/>
        </w:rPr>
        <w:t xml:space="preserve">, </w:t>
      </w:r>
      <w:r w:rsidRPr="00361437">
        <w:rPr>
          <w:rFonts w:ascii="Arial" w:eastAsia="Calibri" w:hAnsi="Arial" w:cs="Arial"/>
          <w:sz w:val="20"/>
          <w:vertAlign w:val="superscript"/>
        </w:rPr>
        <w:t>**</w:t>
      </w:r>
      <w:r w:rsidRPr="00361437">
        <w:rPr>
          <w:rFonts w:ascii="Arial" w:eastAsia="Calibri" w:hAnsi="Arial" w:cs="Arial"/>
          <w:sz w:val="20"/>
        </w:rPr>
        <w:t xml:space="preserve">, and </w:t>
      </w:r>
      <w:r w:rsidRPr="00361437">
        <w:rPr>
          <w:rFonts w:ascii="Arial" w:eastAsia="Calibri" w:hAnsi="Arial" w:cs="Arial"/>
          <w:sz w:val="20"/>
          <w:vertAlign w:val="superscript"/>
        </w:rPr>
        <w:t>***</w:t>
      </w:r>
      <w:r w:rsidRPr="00361437">
        <w:rPr>
          <w:rFonts w:ascii="Arial" w:eastAsia="Calibri" w:hAnsi="Arial" w:cs="Arial"/>
          <w:sz w:val="20"/>
        </w:rPr>
        <w:t xml:space="preserve"> denote statistical significance at the 10%, 5%, and 1% level, respectively.</w:t>
      </w:r>
    </w:p>
    <w:p w14:paraId="7E4A66F6" w14:textId="77777777" w:rsidR="00032E88" w:rsidRPr="00361437" w:rsidRDefault="00032E88" w:rsidP="00032E88">
      <w:pPr>
        <w:rPr>
          <w:rFonts w:ascii="Arial" w:eastAsia="Calibri" w:hAnsi="Arial" w:cs="Arial"/>
          <w:sz w:val="20"/>
        </w:rPr>
      </w:pPr>
    </w:p>
    <w:tbl>
      <w:tblPr>
        <w:tblW w:w="13995" w:type="dxa"/>
        <w:tblLayout w:type="fixed"/>
        <w:tblLook w:val="04A0" w:firstRow="1" w:lastRow="0" w:firstColumn="1" w:lastColumn="0" w:noHBand="0" w:noVBand="1"/>
      </w:tblPr>
      <w:tblGrid>
        <w:gridCol w:w="4444"/>
        <w:gridCol w:w="1207"/>
        <w:gridCol w:w="988"/>
        <w:gridCol w:w="236"/>
        <w:gridCol w:w="1207"/>
        <w:gridCol w:w="988"/>
        <w:gridCol w:w="236"/>
        <w:gridCol w:w="1207"/>
        <w:gridCol w:w="994"/>
        <w:gridCol w:w="236"/>
        <w:gridCol w:w="1207"/>
        <w:gridCol w:w="1045"/>
      </w:tblGrid>
      <w:tr w:rsidR="00032E88" w:rsidRPr="00361437" w14:paraId="13334CE0" w14:textId="77777777" w:rsidTr="006F39AD">
        <w:trPr>
          <w:trHeight w:val="360"/>
        </w:trPr>
        <w:tc>
          <w:tcPr>
            <w:tcW w:w="13995" w:type="dxa"/>
            <w:gridSpan w:val="12"/>
            <w:tcBorders>
              <w:left w:val="nil"/>
              <w:bottom w:val="single" w:sz="4" w:space="0" w:color="auto"/>
              <w:right w:val="nil"/>
            </w:tcBorders>
            <w:noWrap/>
            <w:vAlign w:val="center"/>
            <w:hideMark/>
          </w:tcPr>
          <w:p w14:paraId="075CEE6C" w14:textId="77777777" w:rsidR="00032E88" w:rsidRPr="00361437" w:rsidRDefault="00032E88" w:rsidP="00032E88">
            <w:pPr>
              <w:spacing w:line="256" w:lineRule="auto"/>
              <w:rPr>
                <w:rFonts w:ascii="Arial" w:eastAsia="Times New Roman" w:hAnsi="Arial" w:cs="Arial"/>
                <w:i/>
                <w:sz w:val="20"/>
              </w:rPr>
            </w:pPr>
            <w:r w:rsidRPr="00361437">
              <w:rPr>
                <w:rFonts w:ascii="Arial" w:eastAsia="Calibri" w:hAnsi="Arial" w:cs="Arial"/>
                <w:i/>
                <w:sz w:val="20"/>
              </w:rPr>
              <w:t>Panel A: All proposals</w:t>
            </w:r>
          </w:p>
        </w:tc>
      </w:tr>
      <w:tr w:rsidR="00032E88" w:rsidRPr="00361437" w14:paraId="67B8EEC7" w14:textId="77777777" w:rsidTr="00577B0A">
        <w:tc>
          <w:tcPr>
            <w:tcW w:w="4444" w:type="dxa"/>
            <w:tcBorders>
              <w:top w:val="single" w:sz="4" w:space="0" w:color="auto"/>
              <w:left w:val="nil"/>
              <w:bottom w:val="nil"/>
              <w:right w:val="nil"/>
            </w:tcBorders>
            <w:noWrap/>
            <w:vAlign w:val="center"/>
          </w:tcPr>
          <w:p w14:paraId="3218E439" w14:textId="77777777" w:rsidR="00032E88" w:rsidRPr="00361437" w:rsidRDefault="00032E88" w:rsidP="00032E88">
            <w:pPr>
              <w:spacing w:line="256" w:lineRule="auto"/>
              <w:rPr>
                <w:rFonts w:ascii="Arial" w:eastAsia="Times New Roman" w:hAnsi="Arial" w:cs="Arial"/>
                <w:sz w:val="20"/>
              </w:rPr>
            </w:pPr>
          </w:p>
        </w:tc>
        <w:tc>
          <w:tcPr>
            <w:tcW w:w="4626" w:type="dxa"/>
            <w:gridSpan w:val="5"/>
            <w:tcBorders>
              <w:top w:val="single" w:sz="4" w:space="0" w:color="auto"/>
              <w:left w:val="nil"/>
              <w:bottom w:val="single" w:sz="4" w:space="0" w:color="auto"/>
              <w:right w:val="nil"/>
            </w:tcBorders>
            <w:noWrap/>
            <w:vAlign w:val="center"/>
            <w:hideMark/>
          </w:tcPr>
          <w:p w14:paraId="7FF8370B"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 xml:space="preserve">Dependent variable = </w:t>
            </w:r>
          </w:p>
          <w:p w14:paraId="7064A71D" w14:textId="503414D0" w:rsidR="00032E88" w:rsidRPr="00361437" w:rsidRDefault="009F6C4A" w:rsidP="00032E88">
            <w:pPr>
              <w:spacing w:line="256" w:lineRule="auto"/>
              <w:jc w:val="center"/>
              <w:rPr>
                <w:rFonts w:ascii="Arial" w:eastAsia="Times New Roman" w:hAnsi="Arial" w:cs="Arial"/>
                <w:sz w:val="20"/>
              </w:rPr>
            </w:pPr>
            <w:r w:rsidRPr="00361437">
              <w:rPr>
                <w:rFonts w:ascii="Arial" w:eastAsia="Times New Roman" w:hAnsi="Arial" w:cs="Arial"/>
                <w:color w:val="000000"/>
                <w:sz w:val="18"/>
                <w:lang w:eastAsia="en-GB"/>
              </w:rPr>
              <w:t>VOTE_WITH_CREDITORS_(0,1)</w:t>
            </w:r>
          </w:p>
        </w:tc>
        <w:tc>
          <w:tcPr>
            <w:tcW w:w="236" w:type="dxa"/>
            <w:tcBorders>
              <w:top w:val="single" w:sz="4" w:space="0" w:color="auto"/>
              <w:left w:val="nil"/>
              <w:bottom w:val="nil"/>
              <w:right w:val="nil"/>
            </w:tcBorders>
            <w:vAlign w:val="center"/>
          </w:tcPr>
          <w:p w14:paraId="606C0921" w14:textId="77777777" w:rsidR="00032E88" w:rsidRPr="00361437" w:rsidRDefault="00032E88" w:rsidP="00032E88">
            <w:pPr>
              <w:spacing w:line="256" w:lineRule="auto"/>
              <w:jc w:val="center"/>
              <w:rPr>
                <w:rFonts w:ascii="Arial" w:eastAsia="Times New Roman" w:hAnsi="Arial" w:cs="Arial"/>
                <w:sz w:val="20"/>
              </w:rPr>
            </w:pPr>
          </w:p>
        </w:tc>
        <w:tc>
          <w:tcPr>
            <w:tcW w:w="4689" w:type="dxa"/>
            <w:gridSpan w:val="5"/>
            <w:tcBorders>
              <w:top w:val="single" w:sz="4" w:space="0" w:color="auto"/>
              <w:left w:val="nil"/>
              <w:bottom w:val="single" w:sz="4" w:space="0" w:color="auto"/>
              <w:right w:val="nil"/>
            </w:tcBorders>
            <w:vAlign w:val="center"/>
            <w:hideMark/>
          </w:tcPr>
          <w:p w14:paraId="2BA73219"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 xml:space="preserve">Dependent variable = </w:t>
            </w:r>
          </w:p>
          <w:p w14:paraId="4839AD44" w14:textId="338FF3CA" w:rsidR="00032E88" w:rsidRPr="00361437" w:rsidRDefault="000659CB" w:rsidP="00032E88">
            <w:pPr>
              <w:spacing w:line="256" w:lineRule="auto"/>
              <w:jc w:val="center"/>
              <w:rPr>
                <w:rFonts w:ascii="Arial" w:eastAsia="Times New Roman" w:hAnsi="Arial" w:cs="Arial"/>
                <w:sz w:val="20"/>
              </w:rPr>
            </w:pPr>
            <w:r w:rsidRPr="00361437">
              <w:rPr>
                <w:rFonts w:ascii="Arial" w:eastAsia="Times New Roman" w:hAnsi="Arial" w:cs="Arial"/>
                <w:sz w:val="18"/>
              </w:rPr>
              <w:t>FRACTION_OF_VOTES_WITH_CREDITORS</w:t>
            </w:r>
          </w:p>
        </w:tc>
      </w:tr>
      <w:tr w:rsidR="00032E88" w:rsidRPr="00361437" w14:paraId="7F82C6EE" w14:textId="77777777" w:rsidTr="00577B0A">
        <w:tc>
          <w:tcPr>
            <w:tcW w:w="4444" w:type="dxa"/>
            <w:noWrap/>
            <w:vAlign w:val="center"/>
          </w:tcPr>
          <w:p w14:paraId="3CAD49C5" w14:textId="77777777" w:rsidR="00032E88" w:rsidRPr="00361437" w:rsidRDefault="00032E88" w:rsidP="00032E88">
            <w:pPr>
              <w:spacing w:line="256" w:lineRule="auto"/>
              <w:rPr>
                <w:rFonts w:ascii="Arial" w:eastAsia="Times New Roman" w:hAnsi="Arial" w:cs="Arial"/>
                <w:sz w:val="20"/>
              </w:rPr>
            </w:pPr>
          </w:p>
        </w:tc>
        <w:tc>
          <w:tcPr>
            <w:tcW w:w="2195" w:type="dxa"/>
            <w:gridSpan w:val="2"/>
            <w:tcBorders>
              <w:top w:val="single" w:sz="4" w:space="0" w:color="auto"/>
              <w:left w:val="nil"/>
              <w:bottom w:val="nil"/>
              <w:right w:val="nil"/>
            </w:tcBorders>
            <w:noWrap/>
            <w:vAlign w:val="center"/>
            <w:hideMark/>
          </w:tcPr>
          <w:p w14:paraId="5EF3DF9C"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Model 1</w:t>
            </w:r>
          </w:p>
        </w:tc>
        <w:tc>
          <w:tcPr>
            <w:tcW w:w="236" w:type="dxa"/>
            <w:tcBorders>
              <w:top w:val="single" w:sz="4" w:space="0" w:color="auto"/>
              <w:left w:val="nil"/>
              <w:bottom w:val="nil"/>
              <w:right w:val="nil"/>
            </w:tcBorders>
            <w:vAlign w:val="center"/>
          </w:tcPr>
          <w:p w14:paraId="4CD643BB" w14:textId="77777777" w:rsidR="00032E88" w:rsidRPr="00361437" w:rsidRDefault="00032E88" w:rsidP="00032E88">
            <w:pPr>
              <w:spacing w:line="256" w:lineRule="auto"/>
              <w:jc w:val="center"/>
              <w:rPr>
                <w:rFonts w:ascii="Arial" w:eastAsia="Times New Roman" w:hAnsi="Arial" w:cs="Arial"/>
                <w:sz w:val="20"/>
              </w:rPr>
            </w:pPr>
          </w:p>
        </w:tc>
        <w:tc>
          <w:tcPr>
            <w:tcW w:w="2195" w:type="dxa"/>
            <w:gridSpan w:val="2"/>
            <w:tcBorders>
              <w:top w:val="single" w:sz="4" w:space="0" w:color="auto"/>
              <w:left w:val="nil"/>
              <w:bottom w:val="nil"/>
              <w:right w:val="nil"/>
            </w:tcBorders>
            <w:vAlign w:val="center"/>
            <w:hideMark/>
          </w:tcPr>
          <w:p w14:paraId="52F13187"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Model 2</w:t>
            </w:r>
          </w:p>
        </w:tc>
        <w:tc>
          <w:tcPr>
            <w:tcW w:w="236" w:type="dxa"/>
            <w:vAlign w:val="center"/>
          </w:tcPr>
          <w:p w14:paraId="0A05E4A8" w14:textId="77777777" w:rsidR="00032E88" w:rsidRPr="00361437" w:rsidRDefault="00032E88" w:rsidP="00032E88">
            <w:pPr>
              <w:spacing w:line="256" w:lineRule="auto"/>
              <w:jc w:val="center"/>
              <w:rPr>
                <w:rFonts w:ascii="Arial" w:eastAsia="Times New Roman" w:hAnsi="Arial" w:cs="Arial"/>
                <w:sz w:val="20"/>
              </w:rPr>
            </w:pPr>
          </w:p>
        </w:tc>
        <w:tc>
          <w:tcPr>
            <w:tcW w:w="2201" w:type="dxa"/>
            <w:gridSpan w:val="2"/>
            <w:tcBorders>
              <w:top w:val="single" w:sz="4" w:space="0" w:color="auto"/>
              <w:left w:val="nil"/>
              <w:bottom w:val="nil"/>
              <w:right w:val="nil"/>
            </w:tcBorders>
            <w:vAlign w:val="center"/>
            <w:hideMark/>
          </w:tcPr>
          <w:p w14:paraId="1F21C7FE"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Model 3</w:t>
            </w:r>
          </w:p>
        </w:tc>
        <w:tc>
          <w:tcPr>
            <w:tcW w:w="236" w:type="dxa"/>
            <w:tcBorders>
              <w:top w:val="single" w:sz="4" w:space="0" w:color="auto"/>
              <w:left w:val="nil"/>
              <w:bottom w:val="nil"/>
              <w:right w:val="nil"/>
            </w:tcBorders>
            <w:vAlign w:val="center"/>
          </w:tcPr>
          <w:p w14:paraId="6E020F45" w14:textId="77777777" w:rsidR="00032E88" w:rsidRPr="00361437" w:rsidRDefault="00032E88" w:rsidP="00032E88">
            <w:pPr>
              <w:spacing w:line="256" w:lineRule="auto"/>
              <w:jc w:val="center"/>
              <w:rPr>
                <w:rFonts w:ascii="Arial" w:eastAsia="Times New Roman" w:hAnsi="Arial" w:cs="Arial"/>
                <w:sz w:val="20"/>
              </w:rPr>
            </w:pPr>
          </w:p>
        </w:tc>
        <w:tc>
          <w:tcPr>
            <w:tcW w:w="2252" w:type="dxa"/>
            <w:gridSpan w:val="2"/>
            <w:tcBorders>
              <w:top w:val="single" w:sz="4" w:space="0" w:color="auto"/>
              <w:left w:val="nil"/>
              <w:bottom w:val="nil"/>
              <w:right w:val="nil"/>
            </w:tcBorders>
            <w:noWrap/>
            <w:vAlign w:val="center"/>
            <w:hideMark/>
          </w:tcPr>
          <w:p w14:paraId="6010CC84"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Model 4</w:t>
            </w:r>
          </w:p>
        </w:tc>
      </w:tr>
      <w:tr w:rsidR="00032E88" w:rsidRPr="00361437" w14:paraId="0EE4F195" w14:textId="77777777" w:rsidTr="00577B0A">
        <w:tc>
          <w:tcPr>
            <w:tcW w:w="4444" w:type="dxa"/>
            <w:tcBorders>
              <w:top w:val="nil"/>
              <w:left w:val="nil"/>
              <w:bottom w:val="single" w:sz="4" w:space="0" w:color="auto"/>
              <w:right w:val="nil"/>
            </w:tcBorders>
            <w:noWrap/>
            <w:vAlign w:val="center"/>
          </w:tcPr>
          <w:p w14:paraId="571696A4" w14:textId="49E01FD4" w:rsidR="00032E88" w:rsidRPr="00361437" w:rsidRDefault="000659CB" w:rsidP="00032E88">
            <w:pPr>
              <w:spacing w:line="256" w:lineRule="auto"/>
              <w:rPr>
                <w:rFonts w:ascii="Arial" w:eastAsia="Times New Roman" w:hAnsi="Arial" w:cs="Arial"/>
                <w:sz w:val="20"/>
              </w:rPr>
            </w:pPr>
            <w:r w:rsidRPr="00361437">
              <w:rPr>
                <w:rFonts w:ascii="Arial" w:eastAsia="Times New Roman" w:hAnsi="Arial" w:cs="Arial"/>
                <w:sz w:val="20"/>
              </w:rPr>
              <w:t>Independent variables</w:t>
            </w:r>
          </w:p>
        </w:tc>
        <w:tc>
          <w:tcPr>
            <w:tcW w:w="1207" w:type="dxa"/>
            <w:tcBorders>
              <w:top w:val="nil"/>
              <w:left w:val="nil"/>
              <w:bottom w:val="single" w:sz="4" w:space="0" w:color="auto"/>
              <w:right w:val="nil"/>
            </w:tcBorders>
            <w:noWrap/>
            <w:vAlign w:val="center"/>
            <w:hideMark/>
          </w:tcPr>
          <w:p w14:paraId="189DE6ED"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988" w:type="dxa"/>
            <w:tcBorders>
              <w:top w:val="nil"/>
              <w:left w:val="nil"/>
              <w:bottom w:val="single" w:sz="4" w:space="0" w:color="auto"/>
              <w:right w:val="nil"/>
            </w:tcBorders>
            <w:noWrap/>
            <w:vAlign w:val="center"/>
            <w:hideMark/>
          </w:tcPr>
          <w:p w14:paraId="7CB0C14D"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c>
          <w:tcPr>
            <w:tcW w:w="236" w:type="dxa"/>
            <w:tcBorders>
              <w:top w:val="nil"/>
              <w:left w:val="nil"/>
              <w:bottom w:val="single" w:sz="4" w:space="0" w:color="auto"/>
              <w:right w:val="nil"/>
            </w:tcBorders>
            <w:vAlign w:val="center"/>
          </w:tcPr>
          <w:p w14:paraId="23F49173" w14:textId="77777777" w:rsidR="00032E88" w:rsidRPr="00361437" w:rsidRDefault="00032E88" w:rsidP="00032E88">
            <w:pPr>
              <w:spacing w:line="256" w:lineRule="auto"/>
              <w:jc w:val="center"/>
              <w:rPr>
                <w:rFonts w:ascii="Arial" w:eastAsia="Times New Roman" w:hAnsi="Arial" w:cs="Arial"/>
                <w:sz w:val="20"/>
              </w:rPr>
            </w:pPr>
          </w:p>
        </w:tc>
        <w:tc>
          <w:tcPr>
            <w:tcW w:w="1207" w:type="dxa"/>
            <w:tcBorders>
              <w:top w:val="nil"/>
              <w:left w:val="nil"/>
              <w:bottom w:val="single" w:sz="4" w:space="0" w:color="auto"/>
              <w:right w:val="nil"/>
            </w:tcBorders>
            <w:vAlign w:val="center"/>
            <w:hideMark/>
          </w:tcPr>
          <w:p w14:paraId="787CA099"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988" w:type="dxa"/>
            <w:tcBorders>
              <w:top w:val="nil"/>
              <w:left w:val="nil"/>
              <w:bottom w:val="single" w:sz="4" w:space="0" w:color="auto"/>
              <w:right w:val="nil"/>
            </w:tcBorders>
            <w:vAlign w:val="center"/>
            <w:hideMark/>
          </w:tcPr>
          <w:p w14:paraId="6029F3C8"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c>
          <w:tcPr>
            <w:tcW w:w="236" w:type="dxa"/>
            <w:tcBorders>
              <w:top w:val="nil"/>
              <w:left w:val="nil"/>
              <w:bottom w:val="single" w:sz="4" w:space="0" w:color="auto"/>
              <w:right w:val="nil"/>
            </w:tcBorders>
            <w:vAlign w:val="center"/>
          </w:tcPr>
          <w:p w14:paraId="447A3691" w14:textId="77777777" w:rsidR="00032E88" w:rsidRPr="00361437" w:rsidRDefault="00032E88" w:rsidP="00032E88">
            <w:pPr>
              <w:spacing w:line="256" w:lineRule="auto"/>
              <w:jc w:val="center"/>
              <w:rPr>
                <w:rFonts w:ascii="Arial" w:eastAsia="Times New Roman" w:hAnsi="Arial" w:cs="Arial"/>
                <w:sz w:val="20"/>
              </w:rPr>
            </w:pPr>
          </w:p>
        </w:tc>
        <w:tc>
          <w:tcPr>
            <w:tcW w:w="1207" w:type="dxa"/>
            <w:tcBorders>
              <w:top w:val="nil"/>
              <w:left w:val="nil"/>
              <w:bottom w:val="single" w:sz="4" w:space="0" w:color="auto"/>
              <w:right w:val="nil"/>
            </w:tcBorders>
            <w:vAlign w:val="center"/>
            <w:hideMark/>
          </w:tcPr>
          <w:p w14:paraId="1F8C3CA2"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994" w:type="dxa"/>
            <w:tcBorders>
              <w:top w:val="nil"/>
              <w:left w:val="nil"/>
              <w:bottom w:val="single" w:sz="4" w:space="0" w:color="auto"/>
              <w:right w:val="nil"/>
            </w:tcBorders>
            <w:vAlign w:val="center"/>
            <w:hideMark/>
          </w:tcPr>
          <w:p w14:paraId="61FED22A"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c>
          <w:tcPr>
            <w:tcW w:w="236" w:type="dxa"/>
            <w:tcBorders>
              <w:top w:val="nil"/>
              <w:left w:val="nil"/>
              <w:bottom w:val="single" w:sz="4" w:space="0" w:color="auto"/>
              <w:right w:val="nil"/>
            </w:tcBorders>
            <w:vAlign w:val="center"/>
          </w:tcPr>
          <w:p w14:paraId="07D181C2" w14:textId="77777777" w:rsidR="00032E88" w:rsidRPr="00361437" w:rsidRDefault="00032E88" w:rsidP="00032E88">
            <w:pPr>
              <w:spacing w:line="256" w:lineRule="auto"/>
              <w:jc w:val="center"/>
              <w:rPr>
                <w:rFonts w:ascii="Arial" w:eastAsia="Times New Roman" w:hAnsi="Arial" w:cs="Arial"/>
                <w:sz w:val="20"/>
              </w:rPr>
            </w:pPr>
          </w:p>
        </w:tc>
        <w:tc>
          <w:tcPr>
            <w:tcW w:w="1207" w:type="dxa"/>
            <w:tcBorders>
              <w:top w:val="nil"/>
              <w:left w:val="nil"/>
              <w:bottom w:val="single" w:sz="4" w:space="0" w:color="auto"/>
              <w:right w:val="nil"/>
            </w:tcBorders>
            <w:noWrap/>
            <w:vAlign w:val="center"/>
            <w:hideMark/>
          </w:tcPr>
          <w:p w14:paraId="0B6BA38E"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1045" w:type="dxa"/>
            <w:tcBorders>
              <w:top w:val="nil"/>
              <w:left w:val="nil"/>
              <w:bottom w:val="single" w:sz="4" w:space="0" w:color="auto"/>
              <w:right w:val="nil"/>
            </w:tcBorders>
            <w:noWrap/>
            <w:vAlign w:val="center"/>
            <w:hideMark/>
          </w:tcPr>
          <w:p w14:paraId="3B6E3B47"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r>
      <w:tr w:rsidR="00577B0A" w:rsidRPr="00361437" w14:paraId="5A4558CB" w14:textId="77777777" w:rsidTr="00577B0A">
        <w:tc>
          <w:tcPr>
            <w:tcW w:w="4444" w:type="dxa"/>
            <w:noWrap/>
            <w:vAlign w:val="center"/>
            <w:hideMark/>
          </w:tcPr>
          <w:p w14:paraId="00148BFE" w14:textId="06A2DA20" w:rsidR="00577B0A" w:rsidRPr="00361437" w:rsidRDefault="00231197" w:rsidP="00577B0A">
            <w:pPr>
              <w:spacing w:line="256" w:lineRule="auto"/>
              <w:rPr>
                <w:rFonts w:ascii="Arial" w:eastAsia="Times New Roman" w:hAnsi="Arial" w:cs="Arial"/>
                <w:sz w:val="18"/>
              </w:rPr>
            </w:pPr>
            <w:r w:rsidRPr="00361437">
              <w:rPr>
                <w:rFonts w:ascii="Arial" w:eastAsia="Times New Roman" w:hAnsi="Arial" w:cs="Arial"/>
                <w:sz w:val="18"/>
              </w:rPr>
              <w:t>FAMILY_DEBT_FRACTION</w:t>
            </w:r>
          </w:p>
        </w:tc>
        <w:tc>
          <w:tcPr>
            <w:tcW w:w="1207" w:type="dxa"/>
            <w:noWrap/>
            <w:vAlign w:val="center"/>
            <w:hideMark/>
          </w:tcPr>
          <w:p w14:paraId="2F4B3EDB" w14:textId="6E822483"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0.0200</w:t>
            </w:r>
            <w:r w:rsidRPr="00361437">
              <w:rPr>
                <w:rFonts w:ascii="Arial" w:hAnsi="Arial" w:cs="Arial"/>
                <w:color w:val="000000"/>
                <w:sz w:val="20"/>
                <w:vertAlign w:val="superscript"/>
              </w:rPr>
              <w:t>**</w:t>
            </w:r>
          </w:p>
        </w:tc>
        <w:tc>
          <w:tcPr>
            <w:tcW w:w="988" w:type="dxa"/>
            <w:noWrap/>
            <w:vAlign w:val="center"/>
            <w:hideMark/>
          </w:tcPr>
          <w:p w14:paraId="74B71825" w14:textId="67891E3D"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0.0308</w:t>
            </w:r>
          </w:p>
        </w:tc>
        <w:tc>
          <w:tcPr>
            <w:tcW w:w="236" w:type="dxa"/>
            <w:vAlign w:val="center"/>
          </w:tcPr>
          <w:p w14:paraId="2F2640F3"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69966757" w14:textId="38B6C700"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0.0170</w:t>
            </w:r>
            <w:r w:rsidRPr="00361437">
              <w:rPr>
                <w:rFonts w:ascii="Arial" w:hAnsi="Arial" w:cs="Arial"/>
                <w:color w:val="000000"/>
                <w:sz w:val="20"/>
                <w:vertAlign w:val="superscript"/>
              </w:rPr>
              <w:t>*</w:t>
            </w:r>
          </w:p>
        </w:tc>
        <w:tc>
          <w:tcPr>
            <w:tcW w:w="988" w:type="dxa"/>
            <w:vAlign w:val="center"/>
            <w:hideMark/>
          </w:tcPr>
          <w:p w14:paraId="4A07763B" w14:textId="594CEA0E"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0.0737</w:t>
            </w:r>
          </w:p>
        </w:tc>
        <w:tc>
          <w:tcPr>
            <w:tcW w:w="236" w:type="dxa"/>
            <w:vAlign w:val="center"/>
          </w:tcPr>
          <w:p w14:paraId="1B4F986B"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5796F253" w14:textId="2FD4547B"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0.0133</w:t>
            </w:r>
            <w:r w:rsidR="004C25F8" w:rsidRPr="00361437">
              <w:rPr>
                <w:rFonts w:ascii="Arial" w:hAnsi="Arial" w:cs="Arial"/>
                <w:color w:val="000000"/>
                <w:sz w:val="20"/>
                <w:vertAlign w:val="superscript"/>
              </w:rPr>
              <w:t>*</w:t>
            </w:r>
          </w:p>
        </w:tc>
        <w:tc>
          <w:tcPr>
            <w:tcW w:w="994" w:type="dxa"/>
            <w:vAlign w:val="center"/>
            <w:hideMark/>
          </w:tcPr>
          <w:p w14:paraId="54DB2F7F" w14:textId="7626B61F"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w:t>
            </w:r>
            <w:r w:rsidR="004C25F8" w:rsidRPr="00361437">
              <w:rPr>
                <w:rFonts w:ascii="Arial" w:hAnsi="Arial" w:cs="Arial"/>
                <w:color w:val="000000"/>
                <w:sz w:val="20"/>
              </w:rPr>
              <w:t>0</w:t>
            </w:r>
            <w:r w:rsidRPr="00361437">
              <w:rPr>
                <w:rFonts w:ascii="Arial" w:hAnsi="Arial" w:cs="Arial"/>
                <w:color w:val="000000"/>
                <w:sz w:val="20"/>
              </w:rPr>
              <w:t>608</w:t>
            </w:r>
          </w:p>
        </w:tc>
        <w:tc>
          <w:tcPr>
            <w:tcW w:w="236" w:type="dxa"/>
            <w:vAlign w:val="center"/>
          </w:tcPr>
          <w:p w14:paraId="77B9F0B4"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noWrap/>
            <w:vAlign w:val="center"/>
            <w:hideMark/>
          </w:tcPr>
          <w:p w14:paraId="335413DD" w14:textId="37700359"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0.0099</w:t>
            </w:r>
          </w:p>
        </w:tc>
        <w:tc>
          <w:tcPr>
            <w:tcW w:w="1045" w:type="dxa"/>
            <w:noWrap/>
            <w:vAlign w:val="center"/>
            <w:hideMark/>
          </w:tcPr>
          <w:p w14:paraId="3B8AE378" w14:textId="4D0E3296"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0.3132</w:t>
            </w:r>
          </w:p>
        </w:tc>
      </w:tr>
      <w:tr w:rsidR="00577B0A" w:rsidRPr="00361437" w14:paraId="4DBBCA69" w14:textId="77777777" w:rsidTr="00577B0A">
        <w:tc>
          <w:tcPr>
            <w:tcW w:w="4444" w:type="dxa"/>
            <w:noWrap/>
            <w:vAlign w:val="center"/>
            <w:hideMark/>
          </w:tcPr>
          <w:p w14:paraId="316C5AA9" w14:textId="2100B984" w:rsidR="00577B0A" w:rsidRPr="00361437" w:rsidRDefault="00231197" w:rsidP="00577B0A">
            <w:pPr>
              <w:spacing w:line="256" w:lineRule="auto"/>
              <w:rPr>
                <w:rFonts w:ascii="Arial" w:eastAsia="Times New Roman" w:hAnsi="Arial" w:cs="Arial"/>
                <w:sz w:val="18"/>
              </w:rPr>
            </w:pPr>
            <w:r w:rsidRPr="00361437">
              <w:rPr>
                <w:rFonts w:ascii="Arial" w:eastAsia="Times New Roman" w:hAnsi="Arial" w:cs="Arial"/>
                <w:sz w:val="18"/>
              </w:rPr>
              <w:t>DISTRESS_(0,1)</w:t>
            </w:r>
          </w:p>
        </w:tc>
        <w:tc>
          <w:tcPr>
            <w:tcW w:w="1207" w:type="dxa"/>
            <w:noWrap/>
            <w:vAlign w:val="center"/>
            <w:hideMark/>
          </w:tcPr>
          <w:p w14:paraId="24DEC2FD" w14:textId="77777777" w:rsidR="00577B0A" w:rsidRPr="00361437" w:rsidRDefault="00577B0A" w:rsidP="00577B0A">
            <w:pPr>
              <w:rPr>
                <w:rFonts w:ascii="Arial" w:eastAsia="Times New Roman" w:hAnsi="Arial" w:cs="Arial"/>
                <w:sz w:val="20"/>
              </w:rPr>
            </w:pPr>
          </w:p>
        </w:tc>
        <w:tc>
          <w:tcPr>
            <w:tcW w:w="988" w:type="dxa"/>
            <w:noWrap/>
            <w:vAlign w:val="center"/>
            <w:hideMark/>
          </w:tcPr>
          <w:p w14:paraId="10EB233A" w14:textId="77777777" w:rsidR="00577B0A" w:rsidRPr="00361437" w:rsidRDefault="00577B0A" w:rsidP="00577B0A">
            <w:pPr>
              <w:spacing w:line="256" w:lineRule="auto"/>
              <w:rPr>
                <w:rFonts w:ascii="Arial" w:eastAsia="Calibri" w:hAnsi="Arial" w:cs="Arial"/>
                <w:sz w:val="20"/>
              </w:rPr>
            </w:pPr>
          </w:p>
        </w:tc>
        <w:tc>
          <w:tcPr>
            <w:tcW w:w="236" w:type="dxa"/>
            <w:vAlign w:val="center"/>
          </w:tcPr>
          <w:p w14:paraId="27B32E34" w14:textId="77777777" w:rsidR="00577B0A" w:rsidRPr="00361437" w:rsidRDefault="00577B0A" w:rsidP="00577B0A">
            <w:pPr>
              <w:tabs>
                <w:tab w:val="decimal" w:pos="254"/>
              </w:tabs>
              <w:spacing w:line="256" w:lineRule="auto"/>
              <w:rPr>
                <w:rFonts w:ascii="Arial" w:eastAsia="Calibri" w:hAnsi="Arial" w:cs="Arial"/>
                <w:sz w:val="20"/>
              </w:rPr>
            </w:pPr>
          </w:p>
        </w:tc>
        <w:tc>
          <w:tcPr>
            <w:tcW w:w="1207" w:type="dxa"/>
            <w:vAlign w:val="center"/>
            <w:hideMark/>
          </w:tcPr>
          <w:p w14:paraId="20005B55" w14:textId="37E535AC"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-0.0263</w:t>
            </w:r>
            <w:r w:rsidRPr="00361437">
              <w:rPr>
                <w:rFonts w:ascii="Arial" w:hAnsi="Arial" w:cs="Arial"/>
                <w:color w:val="000000"/>
                <w:sz w:val="20"/>
                <w:vertAlign w:val="superscript"/>
              </w:rPr>
              <w:t>**</w:t>
            </w:r>
          </w:p>
        </w:tc>
        <w:tc>
          <w:tcPr>
            <w:tcW w:w="988" w:type="dxa"/>
            <w:vAlign w:val="center"/>
            <w:hideMark/>
          </w:tcPr>
          <w:p w14:paraId="48BC8892" w14:textId="1BA7573F"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0.0148</w:t>
            </w:r>
          </w:p>
        </w:tc>
        <w:tc>
          <w:tcPr>
            <w:tcW w:w="236" w:type="dxa"/>
            <w:vAlign w:val="center"/>
          </w:tcPr>
          <w:p w14:paraId="03D027D4"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tcPr>
          <w:p w14:paraId="63949ADF"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994" w:type="dxa"/>
            <w:vAlign w:val="center"/>
          </w:tcPr>
          <w:p w14:paraId="57065951"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236" w:type="dxa"/>
            <w:vAlign w:val="center"/>
          </w:tcPr>
          <w:p w14:paraId="299D5F61"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noWrap/>
            <w:vAlign w:val="center"/>
            <w:hideMark/>
          </w:tcPr>
          <w:p w14:paraId="1560D5BF" w14:textId="67FABEEC"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-0.0131</w:t>
            </w:r>
          </w:p>
        </w:tc>
        <w:tc>
          <w:tcPr>
            <w:tcW w:w="1045" w:type="dxa"/>
            <w:noWrap/>
            <w:vAlign w:val="center"/>
            <w:hideMark/>
          </w:tcPr>
          <w:p w14:paraId="3EF4BB22" w14:textId="2B7119FC"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0.2455</w:t>
            </w:r>
          </w:p>
        </w:tc>
      </w:tr>
      <w:tr w:rsidR="00C04578" w:rsidRPr="00361437" w14:paraId="34316ED9" w14:textId="77777777" w:rsidTr="00EC1640">
        <w:tc>
          <w:tcPr>
            <w:tcW w:w="4444" w:type="dxa"/>
            <w:noWrap/>
            <w:vAlign w:val="center"/>
            <w:hideMark/>
          </w:tcPr>
          <w:p w14:paraId="38510DCA" w14:textId="18F91E3C" w:rsidR="00C04578" w:rsidRPr="00361437" w:rsidRDefault="00231197" w:rsidP="00C04578">
            <w:pPr>
              <w:spacing w:line="256" w:lineRule="auto"/>
              <w:rPr>
                <w:rFonts w:ascii="Arial" w:eastAsia="Times New Roman" w:hAnsi="Arial" w:cs="Arial"/>
                <w:color w:val="000000"/>
                <w:sz w:val="18"/>
              </w:rPr>
            </w:pPr>
            <w:r w:rsidRPr="00361437">
              <w:rPr>
                <w:rFonts w:ascii="Arial" w:eastAsia="Times New Roman" w:hAnsi="Arial" w:cs="Arial"/>
                <w:color w:val="000000"/>
                <w:sz w:val="18"/>
              </w:rPr>
              <w:t>FAMILY_DEBT_FRACTION</w:t>
            </w:r>
            <w:r w:rsidRPr="00361437">
              <w:rPr>
                <w:rFonts w:ascii="Arial" w:eastAsia="Calibri" w:hAnsi="Arial" w:cs="Arial"/>
                <w:color w:val="000000"/>
                <w:sz w:val="18"/>
              </w:rPr>
              <w:t xml:space="preserve"> ×</w:t>
            </w:r>
            <w:r w:rsidRPr="00361437">
              <w:rPr>
                <w:rFonts w:ascii="Arial" w:eastAsia="Times New Roman" w:hAnsi="Arial" w:cs="Arial"/>
                <w:color w:val="000000"/>
                <w:sz w:val="18"/>
              </w:rPr>
              <w:t xml:space="preserve"> DISTRESS_(0,1)</w:t>
            </w:r>
          </w:p>
        </w:tc>
        <w:tc>
          <w:tcPr>
            <w:tcW w:w="1207" w:type="dxa"/>
            <w:noWrap/>
            <w:vAlign w:val="center"/>
            <w:hideMark/>
          </w:tcPr>
          <w:p w14:paraId="188ACA96" w14:textId="77777777" w:rsidR="00C04578" w:rsidRPr="00361437" w:rsidRDefault="00C04578" w:rsidP="00C04578">
            <w:pPr>
              <w:rPr>
                <w:rFonts w:ascii="Arial" w:eastAsia="Times New Roman" w:hAnsi="Arial" w:cs="Arial"/>
                <w:color w:val="000000"/>
                <w:sz w:val="20"/>
              </w:rPr>
            </w:pPr>
          </w:p>
        </w:tc>
        <w:tc>
          <w:tcPr>
            <w:tcW w:w="988" w:type="dxa"/>
            <w:noWrap/>
            <w:vAlign w:val="center"/>
            <w:hideMark/>
          </w:tcPr>
          <w:p w14:paraId="1F8AABEB" w14:textId="77777777" w:rsidR="00C04578" w:rsidRPr="00361437" w:rsidRDefault="00C04578" w:rsidP="00C04578">
            <w:pPr>
              <w:spacing w:line="256" w:lineRule="auto"/>
              <w:rPr>
                <w:rFonts w:ascii="Arial" w:eastAsia="Calibri" w:hAnsi="Arial" w:cs="Arial"/>
                <w:sz w:val="20"/>
              </w:rPr>
            </w:pPr>
          </w:p>
        </w:tc>
        <w:tc>
          <w:tcPr>
            <w:tcW w:w="236" w:type="dxa"/>
            <w:vAlign w:val="center"/>
          </w:tcPr>
          <w:p w14:paraId="25F21E87" w14:textId="77777777" w:rsidR="00C04578" w:rsidRPr="00361437" w:rsidRDefault="00C04578" w:rsidP="00C04578">
            <w:pPr>
              <w:tabs>
                <w:tab w:val="decimal" w:pos="254"/>
              </w:tabs>
              <w:spacing w:line="256" w:lineRule="auto"/>
              <w:rPr>
                <w:rFonts w:ascii="Arial" w:eastAsia="Calibri" w:hAnsi="Arial" w:cs="Arial"/>
                <w:color w:val="000000"/>
                <w:sz w:val="20"/>
              </w:rPr>
            </w:pPr>
          </w:p>
        </w:tc>
        <w:tc>
          <w:tcPr>
            <w:tcW w:w="1207" w:type="dxa"/>
            <w:vAlign w:val="bottom"/>
            <w:hideMark/>
          </w:tcPr>
          <w:p w14:paraId="5489F7CF" w14:textId="138337B3" w:rsidR="00C04578" w:rsidRPr="00361437" w:rsidRDefault="00C04578" w:rsidP="00C04578">
            <w:pPr>
              <w:tabs>
                <w:tab w:val="decimal" w:pos="254"/>
              </w:tabs>
              <w:spacing w:line="256" w:lineRule="auto"/>
              <w:rPr>
                <w:rFonts w:ascii="Arial" w:eastAsia="Calibri" w:hAnsi="Arial" w:cs="Arial"/>
                <w:color w:val="000000"/>
                <w:sz w:val="20"/>
              </w:rPr>
            </w:pPr>
            <w:r w:rsidRPr="00361437">
              <w:rPr>
                <w:rFonts w:ascii="Arial" w:eastAsia="Calibri" w:hAnsi="Arial" w:cs="Arial"/>
                <w:color w:val="000000"/>
                <w:sz w:val="20"/>
              </w:rPr>
              <w:t>0.1681</w:t>
            </w:r>
            <w:r w:rsidRPr="00361437">
              <w:rPr>
                <w:rFonts w:ascii="Arial" w:eastAsia="Calibri" w:hAnsi="Arial" w:cs="Arial"/>
                <w:color w:val="000000"/>
                <w:sz w:val="20"/>
                <w:vertAlign w:val="superscript"/>
              </w:rPr>
              <w:t>***</w:t>
            </w:r>
          </w:p>
        </w:tc>
        <w:tc>
          <w:tcPr>
            <w:tcW w:w="988" w:type="dxa"/>
            <w:vAlign w:val="bottom"/>
            <w:hideMark/>
          </w:tcPr>
          <w:p w14:paraId="4BF4A713" w14:textId="14371E8D" w:rsidR="00C04578" w:rsidRPr="00361437" w:rsidRDefault="00C04578" w:rsidP="00C04578">
            <w:pPr>
              <w:tabs>
                <w:tab w:val="decimal" w:pos="254"/>
              </w:tabs>
              <w:spacing w:line="256" w:lineRule="auto"/>
              <w:rPr>
                <w:rFonts w:ascii="Arial" w:eastAsia="Calibri" w:hAnsi="Arial" w:cs="Arial"/>
                <w:color w:val="000000"/>
                <w:sz w:val="20"/>
              </w:rPr>
            </w:pPr>
            <w:r w:rsidRPr="00361437">
              <w:rPr>
                <w:rFonts w:ascii="Arial" w:eastAsia="Calibri" w:hAnsi="Arial" w:cs="Arial"/>
                <w:color w:val="000000"/>
                <w:sz w:val="20"/>
              </w:rPr>
              <w:t>0.0071</w:t>
            </w:r>
          </w:p>
        </w:tc>
        <w:tc>
          <w:tcPr>
            <w:tcW w:w="236" w:type="dxa"/>
            <w:vAlign w:val="center"/>
          </w:tcPr>
          <w:p w14:paraId="03BA6CCE" w14:textId="77777777" w:rsidR="00C04578" w:rsidRPr="00361437" w:rsidRDefault="00C04578" w:rsidP="00C04578">
            <w:pPr>
              <w:tabs>
                <w:tab w:val="decimal" w:pos="254"/>
              </w:tabs>
              <w:spacing w:line="256" w:lineRule="auto"/>
              <w:rPr>
                <w:rFonts w:ascii="Arial" w:eastAsia="Calibri" w:hAnsi="Arial" w:cs="Arial"/>
                <w:color w:val="000000"/>
                <w:sz w:val="20"/>
              </w:rPr>
            </w:pPr>
          </w:p>
        </w:tc>
        <w:tc>
          <w:tcPr>
            <w:tcW w:w="1207" w:type="dxa"/>
            <w:vAlign w:val="center"/>
          </w:tcPr>
          <w:p w14:paraId="21ECD9B4" w14:textId="77777777" w:rsidR="00C04578" w:rsidRPr="00361437" w:rsidRDefault="00C04578" w:rsidP="00C04578">
            <w:pPr>
              <w:tabs>
                <w:tab w:val="decimal" w:pos="254"/>
              </w:tabs>
              <w:spacing w:line="256" w:lineRule="auto"/>
              <w:rPr>
                <w:rFonts w:ascii="Arial" w:eastAsia="Calibri" w:hAnsi="Arial" w:cs="Arial"/>
                <w:color w:val="000000"/>
                <w:sz w:val="20"/>
              </w:rPr>
            </w:pPr>
          </w:p>
        </w:tc>
        <w:tc>
          <w:tcPr>
            <w:tcW w:w="994" w:type="dxa"/>
            <w:vAlign w:val="center"/>
          </w:tcPr>
          <w:p w14:paraId="16689114" w14:textId="77777777" w:rsidR="00C04578" w:rsidRPr="00361437" w:rsidRDefault="00C04578" w:rsidP="00C04578">
            <w:pPr>
              <w:tabs>
                <w:tab w:val="decimal" w:pos="254"/>
              </w:tabs>
              <w:spacing w:line="256" w:lineRule="auto"/>
              <w:rPr>
                <w:rFonts w:ascii="Arial" w:eastAsia="Calibri" w:hAnsi="Arial" w:cs="Arial"/>
                <w:color w:val="000000"/>
                <w:sz w:val="20"/>
              </w:rPr>
            </w:pPr>
          </w:p>
        </w:tc>
        <w:tc>
          <w:tcPr>
            <w:tcW w:w="236" w:type="dxa"/>
            <w:vAlign w:val="center"/>
          </w:tcPr>
          <w:p w14:paraId="44927911" w14:textId="77777777" w:rsidR="00C04578" w:rsidRPr="00361437" w:rsidRDefault="00C04578" w:rsidP="00C04578">
            <w:pPr>
              <w:tabs>
                <w:tab w:val="decimal" w:pos="254"/>
              </w:tabs>
              <w:spacing w:line="256" w:lineRule="auto"/>
              <w:rPr>
                <w:rFonts w:ascii="Arial" w:eastAsia="Calibri" w:hAnsi="Arial" w:cs="Arial"/>
                <w:color w:val="000000"/>
                <w:sz w:val="20"/>
              </w:rPr>
            </w:pPr>
          </w:p>
        </w:tc>
        <w:tc>
          <w:tcPr>
            <w:tcW w:w="1207" w:type="dxa"/>
            <w:noWrap/>
            <w:vAlign w:val="center"/>
            <w:hideMark/>
          </w:tcPr>
          <w:p w14:paraId="423B61FC" w14:textId="7A7998ED" w:rsidR="00C04578" w:rsidRPr="00361437" w:rsidRDefault="00C04578" w:rsidP="00C04578">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w:t>
            </w:r>
            <w:r w:rsidR="00B014CB" w:rsidRPr="00361437">
              <w:rPr>
                <w:rFonts w:ascii="Arial" w:hAnsi="Arial" w:cs="Arial"/>
                <w:color w:val="000000"/>
                <w:sz w:val="20"/>
              </w:rPr>
              <w:t>1</w:t>
            </w:r>
            <w:r w:rsidRPr="00361437">
              <w:rPr>
                <w:rFonts w:ascii="Arial" w:hAnsi="Arial" w:cs="Arial"/>
                <w:color w:val="000000"/>
                <w:sz w:val="20"/>
              </w:rPr>
              <w:t>898</w:t>
            </w:r>
            <w:r w:rsidRPr="00361437">
              <w:rPr>
                <w:rFonts w:ascii="Arial" w:hAnsi="Arial" w:cs="Arial"/>
                <w:color w:val="000000"/>
                <w:sz w:val="20"/>
                <w:vertAlign w:val="superscript"/>
              </w:rPr>
              <w:t>***</w:t>
            </w:r>
          </w:p>
        </w:tc>
        <w:tc>
          <w:tcPr>
            <w:tcW w:w="1045" w:type="dxa"/>
            <w:noWrap/>
            <w:vAlign w:val="center"/>
            <w:hideMark/>
          </w:tcPr>
          <w:p w14:paraId="7B2ACE18" w14:textId="469B0892" w:rsidR="00C04578" w:rsidRPr="00361437" w:rsidRDefault="00C04578" w:rsidP="00C04578">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0.0008</w:t>
            </w:r>
          </w:p>
        </w:tc>
      </w:tr>
      <w:tr w:rsidR="00577B0A" w:rsidRPr="00361437" w14:paraId="0951BA3C" w14:textId="77777777" w:rsidTr="00577B0A">
        <w:tc>
          <w:tcPr>
            <w:tcW w:w="4444" w:type="dxa"/>
            <w:noWrap/>
            <w:vAlign w:val="center"/>
            <w:hideMark/>
          </w:tcPr>
          <w:p w14:paraId="677645AF" w14:textId="5658D570" w:rsidR="00577B0A" w:rsidRPr="00361437" w:rsidRDefault="00F56EF2" w:rsidP="00577B0A">
            <w:pPr>
              <w:spacing w:line="256" w:lineRule="auto"/>
              <w:rPr>
                <w:rFonts w:ascii="Arial" w:eastAsia="Times New Roman" w:hAnsi="Arial" w:cs="Arial"/>
                <w:sz w:val="18"/>
              </w:rPr>
            </w:pPr>
            <w:r w:rsidRPr="00361437">
              <w:rPr>
                <w:rFonts w:ascii="Arial" w:eastAsia="Times New Roman" w:hAnsi="Arial" w:cs="Arial"/>
                <w:sz w:val="18"/>
              </w:rPr>
              <w:t>ISS_WITH_CREDITORS_(0,1)</w:t>
            </w:r>
          </w:p>
        </w:tc>
        <w:tc>
          <w:tcPr>
            <w:tcW w:w="1207" w:type="dxa"/>
            <w:noWrap/>
            <w:vAlign w:val="center"/>
            <w:hideMark/>
          </w:tcPr>
          <w:p w14:paraId="3F5C3606" w14:textId="2E383F92"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0.7872</w:t>
            </w:r>
            <w:r w:rsidRPr="00361437">
              <w:rPr>
                <w:rFonts w:ascii="Arial" w:hAnsi="Arial" w:cs="Arial"/>
                <w:color w:val="000000"/>
                <w:sz w:val="20"/>
                <w:vertAlign w:val="superscript"/>
              </w:rPr>
              <w:t>***</w:t>
            </w:r>
          </w:p>
        </w:tc>
        <w:tc>
          <w:tcPr>
            <w:tcW w:w="988" w:type="dxa"/>
            <w:noWrap/>
            <w:vAlign w:val="center"/>
            <w:hideMark/>
          </w:tcPr>
          <w:p w14:paraId="4F9149CA" w14:textId="7D200B5A"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0.0000</w:t>
            </w:r>
          </w:p>
        </w:tc>
        <w:tc>
          <w:tcPr>
            <w:tcW w:w="236" w:type="dxa"/>
            <w:vAlign w:val="center"/>
          </w:tcPr>
          <w:p w14:paraId="13C89A69"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11D86153" w14:textId="2FFD4E5F"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0.7876</w:t>
            </w:r>
            <w:r w:rsidRPr="00361437">
              <w:rPr>
                <w:rFonts w:ascii="Arial" w:hAnsi="Arial" w:cs="Arial"/>
                <w:color w:val="000000"/>
                <w:sz w:val="20"/>
                <w:vertAlign w:val="superscript"/>
              </w:rPr>
              <w:t>***</w:t>
            </w:r>
          </w:p>
        </w:tc>
        <w:tc>
          <w:tcPr>
            <w:tcW w:w="988" w:type="dxa"/>
            <w:vAlign w:val="center"/>
            <w:hideMark/>
          </w:tcPr>
          <w:p w14:paraId="351A62F4" w14:textId="7D8977C8"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0.0000</w:t>
            </w:r>
          </w:p>
        </w:tc>
        <w:tc>
          <w:tcPr>
            <w:tcW w:w="236" w:type="dxa"/>
            <w:vAlign w:val="center"/>
          </w:tcPr>
          <w:p w14:paraId="5052EE26"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18871AE6" w14:textId="39ACABC7"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0.6895</w:t>
            </w:r>
            <w:r w:rsidRPr="00361437">
              <w:rPr>
                <w:rFonts w:ascii="Arial" w:hAnsi="Arial" w:cs="Arial"/>
                <w:color w:val="000000"/>
                <w:sz w:val="20"/>
                <w:vertAlign w:val="superscript"/>
              </w:rPr>
              <w:t>***</w:t>
            </w:r>
          </w:p>
        </w:tc>
        <w:tc>
          <w:tcPr>
            <w:tcW w:w="994" w:type="dxa"/>
            <w:vAlign w:val="center"/>
            <w:hideMark/>
          </w:tcPr>
          <w:p w14:paraId="121F9D09" w14:textId="2FE501F2"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0.0000</w:t>
            </w:r>
          </w:p>
        </w:tc>
        <w:tc>
          <w:tcPr>
            <w:tcW w:w="236" w:type="dxa"/>
            <w:vAlign w:val="center"/>
          </w:tcPr>
          <w:p w14:paraId="61D80D94"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noWrap/>
            <w:vAlign w:val="center"/>
            <w:hideMark/>
          </w:tcPr>
          <w:p w14:paraId="388DC028" w14:textId="5B61BDF0"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0.6897</w:t>
            </w:r>
            <w:r w:rsidRPr="00361437">
              <w:rPr>
                <w:rFonts w:ascii="Arial" w:hAnsi="Arial" w:cs="Arial"/>
                <w:color w:val="000000"/>
                <w:sz w:val="20"/>
                <w:vertAlign w:val="superscript"/>
              </w:rPr>
              <w:t>***</w:t>
            </w:r>
          </w:p>
        </w:tc>
        <w:tc>
          <w:tcPr>
            <w:tcW w:w="1045" w:type="dxa"/>
            <w:noWrap/>
            <w:vAlign w:val="center"/>
            <w:hideMark/>
          </w:tcPr>
          <w:p w14:paraId="31118CC2" w14:textId="2FC647B6"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0.0000</w:t>
            </w:r>
          </w:p>
        </w:tc>
      </w:tr>
      <w:tr w:rsidR="00577B0A" w:rsidRPr="00361437" w14:paraId="14D53599" w14:textId="77777777" w:rsidTr="00577B0A">
        <w:tc>
          <w:tcPr>
            <w:tcW w:w="4444" w:type="dxa"/>
            <w:noWrap/>
            <w:vAlign w:val="center"/>
            <w:hideMark/>
          </w:tcPr>
          <w:p w14:paraId="1F62356A" w14:textId="28EB0CF5" w:rsidR="00577B0A" w:rsidRPr="00361437" w:rsidRDefault="00F56EF2" w:rsidP="00577B0A">
            <w:pPr>
              <w:spacing w:line="256" w:lineRule="auto"/>
              <w:rPr>
                <w:rFonts w:ascii="Arial" w:eastAsia="Times New Roman" w:hAnsi="Arial" w:cs="Arial"/>
                <w:sz w:val="18"/>
              </w:rPr>
            </w:pPr>
            <w:r w:rsidRPr="00361437">
              <w:rPr>
                <w:rFonts w:ascii="Arial" w:eastAsia="Times New Roman" w:hAnsi="Arial" w:cs="Arial"/>
                <w:sz w:val="18"/>
              </w:rPr>
              <w:t>ln</w:t>
            </w:r>
            <w:r w:rsidR="00231197" w:rsidRPr="00361437">
              <w:rPr>
                <w:rFonts w:ascii="Arial" w:eastAsia="Times New Roman" w:hAnsi="Arial" w:cs="Arial"/>
                <w:sz w:val="18"/>
              </w:rPr>
              <w:t>(MARKET_CAP)</w:t>
            </w:r>
          </w:p>
        </w:tc>
        <w:tc>
          <w:tcPr>
            <w:tcW w:w="1207" w:type="dxa"/>
            <w:noWrap/>
            <w:vAlign w:val="center"/>
            <w:hideMark/>
          </w:tcPr>
          <w:p w14:paraId="15A7DE08" w14:textId="7477AD17"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0.0024</w:t>
            </w:r>
            <w:r w:rsidRPr="00361437">
              <w:rPr>
                <w:rFonts w:ascii="Arial" w:hAnsi="Arial" w:cs="Arial"/>
                <w:color w:val="000000"/>
                <w:sz w:val="20"/>
                <w:vertAlign w:val="superscript"/>
              </w:rPr>
              <w:t>*</w:t>
            </w:r>
          </w:p>
        </w:tc>
        <w:tc>
          <w:tcPr>
            <w:tcW w:w="988" w:type="dxa"/>
            <w:noWrap/>
            <w:vAlign w:val="center"/>
            <w:hideMark/>
          </w:tcPr>
          <w:p w14:paraId="63FD870F" w14:textId="4A6F4C31"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0.0961</w:t>
            </w:r>
          </w:p>
        </w:tc>
        <w:tc>
          <w:tcPr>
            <w:tcW w:w="236" w:type="dxa"/>
            <w:vAlign w:val="center"/>
          </w:tcPr>
          <w:p w14:paraId="10334675"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1A22C196" w14:textId="46F494CD"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0.0026</w:t>
            </w:r>
            <w:r w:rsidRPr="00361437">
              <w:rPr>
                <w:rFonts w:ascii="Arial" w:hAnsi="Arial" w:cs="Arial"/>
                <w:color w:val="000000"/>
                <w:sz w:val="20"/>
                <w:vertAlign w:val="superscript"/>
              </w:rPr>
              <w:t>*</w:t>
            </w:r>
          </w:p>
        </w:tc>
        <w:tc>
          <w:tcPr>
            <w:tcW w:w="988" w:type="dxa"/>
            <w:vAlign w:val="center"/>
            <w:hideMark/>
          </w:tcPr>
          <w:p w14:paraId="42694B1E" w14:textId="2DE8C5E3"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0.0918</w:t>
            </w:r>
          </w:p>
        </w:tc>
        <w:tc>
          <w:tcPr>
            <w:tcW w:w="236" w:type="dxa"/>
            <w:vAlign w:val="center"/>
          </w:tcPr>
          <w:p w14:paraId="5C739D81"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5A6E555F" w14:textId="4F1A293B"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0.0046</w:t>
            </w:r>
            <w:r w:rsidRPr="00361437">
              <w:rPr>
                <w:rFonts w:ascii="Arial" w:hAnsi="Arial" w:cs="Arial"/>
                <w:color w:val="000000"/>
                <w:sz w:val="20"/>
                <w:vertAlign w:val="superscript"/>
              </w:rPr>
              <w:t>**</w:t>
            </w:r>
          </w:p>
        </w:tc>
        <w:tc>
          <w:tcPr>
            <w:tcW w:w="994" w:type="dxa"/>
            <w:vAlign w:val="center"/>
            <w:hideMark/>
          </w:tcPr>
          <w:p w14:paraId="55CE12D9" w14:textId="53DEEB8D"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0.0186</w:t>
            </w:r>
          </w:p>
        </w:tc>
        <w:tc>
          <w:tcPr>
            <w:tcW w:w="236" w:type="dxa"/>
            <w:vAlign w:val="center"/>
          </w:tcPr>
          <w:p w14:paraId="5DB5F9E7"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noWrap/>
            <w:vAlign w:val="center"/>
            <w:hideMark/>
          </w:tcPr>
          <w:p w14:paraId="2941026A" w14:textId="570AF814"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0.0048</w:t>
            </w:r>
            <w:r w:rsidRPr="00361437">
              <w:rPr>
                <w:rFonts w:ascii="Arial" w:hAnsi="Arial" w:cs="Arial"/>
                <w:color w:val="000000"/>
                <w:sz w:val="20"/>
                <w:vertAlign w:val="superscript"/>
              </w:rPr>
              <w:t>**</w:t>
            </w:r>
          </w:p>
        </w:tc>
        <w:tc>
          <w:tcPr>
            <w:tcW w:w="1045" w:type="dxa"/>
            <w:noWrap/>
            <w:vAlign w:val="center"/>
            <w:hideMark/>
          </w:tcPr>
          <w:p w14:paraId="3E065AC6" w14:textId="45327F92"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0.0154</w:t>
            </w:r>
          </w:p>
        </w:tc>
      </w:tr>
      <w:tr w:rsidR="00577B0A" w:rsidRPr="00361437" w14:paraId="6D67B2CA" w14:textId="77777777" w:rsidTr="00577B0A">
        <w:tc>
          <w:tcPr>
            <w:tcW w:w="4444" w:type="dxa"/>
            <w:noWrap/>
            <w:vAlign w:val="center"/>
            <w:hideMark/>
          </w:tcPr>
          <w:p w14:paraId="5275F5FD" w14:textId="184FAE78" w:rsidR="00577B0A" w:rsidRPr="00361437" w:rsidRDefault="00231197" w:rsidP="00577B0A">
            <w:pPr>
              <w:spacing w:line="256" w:lineRule="auto"/>
              <w:rPr>
                <w:rFonts w:ascii="Arial" w:eastAsia="Times New Roman" w:hAnsi="Arial" w:cs="Arial"/>
                <w:sz w:val="18"/>
              </w:rPr>
            </w:pPr>
            <w:r w:rsidRPr="00361437">
              <w:rPr>
                <w:rFonts w:ascii="Arial" w:eastAsia="Times New Roman" w:hAnsi="Arial" w:cs="Arial"/>
                <w:sz w:val="18"/>
              </w:rPr>
              <w:t>MARKET_TO_BOOK</w:t>
            </w:r>
          </w:p>
        </w:tc>
        <w:tc>
          <w:tcPr>
            <w:tcW w:w="1207" w:type="dxa"/>
            <w:noWrap/>
            <w:vAlign w:val="center"/>
            <w:hideMark/>
          </w:tcPr>
          <w:p w14:paraId="126AC8B9" w14:textId="7E157848"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-0.0021</w:t>
            </w:r>
          </w:p>
        </w:tc>
        <w:tc>
          <w:tcPr>
            <w:tcW w:w="988" w:type="dxa"/>
            <w:noWrap/>
            <w:vAlign w:val="center"/>
            <w:hideMark/>
          </w:tcPr>
          <w:p w14:paraId="25A32492" w14:textId="5CD7A207"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0.2449</w:t>
            </w:r>
          </w:p>
        </w:tc>
        <w:tc>
          <w:tcPr>
            <w:tcW w:w="236" w:type="dxa"/>
            <w:vAlign w:val="center"/>
          </w:tcPr>
          <w:p w14:paraId="7EBEB3D3"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7505AE18" w14:textId="76C3CF4B"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-0.0019</w:t>
            </w:r>
          </w:p>
        </w:tc>
        <w:tc>
          <w:tcPr>
            <w:tcW w:w="988" w:type="dxa"/>
            <w:vAlign w:val="center"/>
            <w:hideMark/>
          </w:tcPr>
          <w:p w14:paraId="75F4C614" w14:textId="4CDE19B3"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0.3202</w:t>
            </w:r>
          </w:p>
        </w:tc>
        <w:tc>
          <w:tcPr>
            <w:tcW w:w="236" w:type="dxa"/>
            <w:vAlign w:val="center"/>
          </w:tcPr>
          <w:p w14:paraId="4A5FD4BE"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59715104" w14:textId="553B5BBA"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-0.0033</w:t>
            </w:r>
          </w:p>
        </w:tc>
        <w:tc>
          <w:tcPr>
            <w:tcW w:w="994" w:type="dxa"/>
            <w:vAlign w:val="center"/>
            <w:hideMark/>
          </w:tcPr>
          <w:p w14:paraId="6B3DF80B" w14:textId="26FEF7A1"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0.1969</w:t>
            </w:r>
          </w:p>
        </w:tc>
        <w:tc>
          <w:tcPr>
            <w:tcW w:w="236" w:type="dxa"/>
            <w:vAlign w:val="center"/>
          </w:tcPr>
          <w:p w14:paraId="4361A5EC"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noWrap/>
            <w:vAlign w:val="center"/>
            <w:hideMark/>
          </w:tcPr>
          <w:p w14:paraId="1427262E" w14:textId="1543CAD1"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-0.0040</w:t>
            </w:r>
          </w:p>
        </w:tc>
        <w:tc>
          <w:tcPr>
            <w:tcW w:w="1045" w:type="dxa"/>
            <w:noWrap/>
            <w:vAlign w:val="center"/>
            <w:hideMark/>
          </w:tcPr>
          <w:p w14:paraId="3CF06537" w14:textId="76BAF185"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0.1430</w:t>
            </w:r>
          </w:p>
        </w:tc>
      </w:tr>
      <w:tr w:rsidR="00577B0A" w:rsidRPr="00361437" w14:paraId="6710E409" w14:textId="77777777" w:rsidTr="00577B0A">
        <w:tc>
          <w:tcPr>
            <w:tcW w:w="4444" w:type="dxa"/>
            <w:noWrap/>
            <w:vAlign w:val="center"/>
            <w:hideMark/>
          </w:tcPr>
          <w:p w14:paraId="3E42D7FC" w14:textId="5FB3E692" w:rsidR="00577B0A" w:rsidRPr="00361437" w:rsidRDefault="00231197" w:rsidP="00577B0A">
            <w:pPr>
              <w:spacing w:line="256" w:lineRule="auto"/>
              <w:rPr>
                <w:rFonts w:ascii="Arial" w:eastAsia="Times New Roman" w:hAnsi="Arial" w:cs="Arial"/>
                <w:sz w:val="18"/>
              </w:rPr>
            </w:pPr>
            <w:r w:rsidRPr="00361437">
              <w:rPr>
                <w:rFonts w:ascii="Arial" w:eastAsia="Times New Roman" w:hAnsi="Arial" w:cs="Arial"/>
                <w:sz w:val="18"/>
              </w:rPr>
              <w:t>LEVERAGE</w:t>
            </w:r>
          </w:p>
        </w:tc>
        <w:tc>
          <w:tcPr>
            <w:tcW w:w="1207" w:type="dxa"/>
            <w:noWrap/>
            <w:vAlign w:val="center"/>
            <w:hideMark/>
          </w:tcPr>
          <w:p w14:paraId="2564A7E7" w14:textId="623F902B"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0.0129</w:t>
            </w:r>
          </w:p>
        </w:tc>
        <w:tc>
          <w:tcPr>
            <w:tcW w:w="988" w:type="dxa"/>
            <w:noWrap/>
            <w:vAlign w:val="center"/>
            <w:hideMark/>
          </w:tcPr>
          <w:p w14:paraId="218A1C17" w14:textId="5357A30D"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0.2678</w:t>
            </w:r>
          </w:p>
        </w:tc>
        <w:tc>
          <w:tcPr>
            <w:tcW w:w="236" w:type="dxa"/>
            <w:vAlign w:val="center"/>
          </w:tcPr>
          <w:p w14:paraId="4A6469A8"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093640EE" w14:textId="62243AA8"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0.0122</w:t>
            </w:r>
          </w:p>
        </w:tc>
        <w:tc>
          <w:tcPr>
            <w:tcW w:w="988" w:type="dxa"/>
            <w:vAlign w:val="center"/>
            <w:hideMark/>
          </w:tcPr>
          <w:p w14:paraId="01659759" w14:textId="30767110"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0.3995</w:t>
            </w:r>
          </w:p>
        </w:tc>
        <w:tc>
          <w:tcPr>
            <w:tcW w:w="236" w:type="dxa"/>
            <w:vAlign w:val="center"/>
          </w:tcPr>
          <w:p w14:paraId="316BDD3E"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121357F0" w14:textId="0058B5A3"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0.0020</w:t>
            </w:r>
          </w:p>
        </w:tc>
        <w:tc>
          <w:tcPr>
            <w:tcW w:w="994" w:type="dxa"/>
            <w:vAlign w:val="center"/>
            <w:hideMark/>
          </w:tcPr>
          <w:p w14:paraId="0B214AF3" w14:textId="490710D6"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0.9032</w:t>
            </w:r>
          </w:p>
        </w:tc>
        <w:tc>
          <w:tcPr>
            <w:tcW w:w="236" w:type="dxa"/>
            <w:vAlign w:val="center"/>
          </w:tcPr>
          <w:p w14:paraId="17450351"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noWrap/>
            <w:vAlign w:val="center"/>
            <w:hideMark/>
          </w:tcPr>
          <w:p w14:paraId="4D9CEAA4" w14:textId="2244D9B8"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-0.0101</w:t>
            </w:r>
          </w:p>
        </w:tc>
        <w:tc>
          <w:tcPr>
            <w:tcW w:w="1045" w:type="dxa"/>
            <w:noWrap/>
            <w:vAlign w:val="center"/>
            <w:hideMark/>
          </w:tcPr>
          <w:p w14:paraId="17E27E38" w14:textId="16C965CF"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0.6639</w:t>
            </w:r>
          </w:p>
        </w:tc>
      </w:tr>
      <w:tr w:rsidR="00577B0A" w:rsidRPr="00361437" w14:paraId="1E9A2E14" w14:textId="77777777" w:rsidTr="00577B0A">
        <w:tc>
          <w:tcPr>
            <w:tcW w:w="4444" w:type="dxa"/>
            <w:noWrap/>
            <w:vAlign w:val="center"/>
            <w:hideMark/>
          </w:tcPr>
          <w:p w14:paraId="0E09283B" w14:textId="30587BA4" w:rsidR="00577B0A" w:rsidRPr="00361437" w:rsidRDefault="00231197" w:rsidP="00577B0A">
            <w:pPr>
              <w:spacing w:line="256" w:lineRule="auto"/>
              <w:rPr>
                <w:rFonts w:ascii="Arial" w:eastAsia="Times New Roman" w:hAnsi="Arial" w:cs="Arial"/>
                <w:sz w:val="18"/>
              </w:rPr>
            </w:pPr>
            <w:r w:rsidRPr="00361437">
              <w:rPr>
                <w:rFonts w:ascii="Arial" w:eastAsia="Calibri" w:hAnsi="Arial" w:cs="Arial"/>
                <w:sz w:val="18"/>
              </w:rPr>
              <w:t>ROA</w:t>
            </w:r>
          </w:p>
        </w:tc>
        <w:tc>
          <w:tcPr>
            <w:tcW w:w="1207" w:type="dxa"/>
            <w:noWrap/>
            <w:vAlign w:val="center"/>
            <w:hideMark/>
          </w:tcPr>
          <w:p w14:paraId="105915AF" w14:textId="66BC1B80"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0.0296</w:t>
            </w:r>
          </w:p>
        </w:tc>
        <w:tc>
          <w:tcPr>
            <w:tcW w:w="988" w:type="dxa"/>
            <w:noWrap/>
            <w:vAlign w:val="center"/>
            <w:hideMark/>
          </w:tcPr>
          <w:p w14:paraId="44A1A188" w14:textId="676FE08C"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0.2522</w:t>
            </w:r>
          </w:p>
        </w:tc>
        <w:tc>
          <w:tcPr>
            <w:tcW w:w="236" w:type="dxa"/>
            <w:vAlign w:val="center"/>
          </w:tcPr>
          <w:p w14:paraId="07BEB8C6"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3AC339A7" w14:textId="708A0A5D"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0.0280</w:t>
            </w:r>
          </w:p>
        </w:tc>
        <w:tc>
          <w:tcPr>
            <w:tcW w:w="988" w:type="dxa"/>
            <w:vAlign w:val="center"/>
            <w:hideMark/>
          </w:tcPr>
          <w:p w14:paraId="6E879E92" w14:textId="2AB01CE8"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0.2846</w:t>
            </w:r>
          </w:p>
        </w:tc>
        <w:tc>
          <w:tcPr>
            <w:tcW w:w="236" w:type="dxa"/>
            <w:vAlign w:val="center"/>
          </w:tcPr>
          <w:p w14:paraId="63DB3E40"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6CEFF6C9" w14:textId="774B7562"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0.0418</w:t>
            </w:r>
          </w:p>
        </w:tc>
        <w:tc>
          <w:tcPr>
            <w:tcW w:w="994" w:type="dxa"/>
            <w:vAlign w:val="center"/>
            <w:hideMark/>
          </w:tcPr>
          <w:p w14:paraId="4CDB7F8B" w14:textId="38A679AC"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0.1644</w:t>
            </w:r>
          </w:p>
        </w:tc>
        <w:tc>
          <w:tcPr>
            <w:tcW w:w="236" w:type="dxa"/>
            <w:vAlign w:val="center"/>
          </w:tcPr>
          <w:p w14:paraId="1BB8E186"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noWrap/>
            <w:vAlign w:val="center"/>
            <w:hideMark/>
          </w:tcPr>
          <w:p w14:paraId="1EB085FB" w14:textId="5CF9C22D"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0.0414</w:t>
            </w:r>
          </w:p>
        </w:tc>
        <w:tc>
          <w:tcPr>
            <w:tcW w:w="1045" w:type="dxa"/>
            <w:noWrap/>
            <w:vAlign w:val="center"/>
            <w:hideMark/>
          </w:tcPr>
          <w:p w14:paraId="7510BFC7" w14:textId="7EAD8F3B"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0.1761</w:t>
            </w:r>
          </w:p>
        </w:tc>
      </w:tr>
      <w:tr w:rsidR="00577B0A" w:rsidRPr="00361437" w14:paraId="35A048F8" w14:textId="77777777" w:rsidTr="00577B0A">
        <w:tc>
          <w:tcPr>
            <w:tcW w:w="4444" w:type="dxa"/>
            <w:noWrap/>
            <w:vAlign w:val="center"/>
            <w:hideMark/>
          </w:tcPr>
          <w:p w14:paraId="1BE6879D" w14:textId="6E98850A" w:rsidR="00577B0A" w:rsidRPr="00361437" w:rsidRDefault="00231197" w:rsidP="00577B0A">
            <w:pPr>
              <w:spacing w:line="256" w:lineRule="auto"/>
              <w:rPr>
                <w:rFonts w:ascii="Arial" w:eastAsia="Times New Roman" w:hAnsi="Arial" w:cs="Arial"/>
                <w:sz w:val="18"/>
              </w:rPr>
            </w:pPr>
            <w:r w:rsidRPr="00361437">
              <w:rPr>
                <w:rFonts w:ascii="Arial" w:eastAsia="Calibri" w:hAnsi="Arial" w:cs="Arial"/>
                <w:sz w:val="18"/>
              </w:rPr>
              <w:t>FIRM_AGE</w:t>
            </w:r>
          </w:p>
        </w:tc>
        <w:tc>
          <w:tcPr>
            <w:tcW w:w="1207" w:type="dxa"/>
            <w:noWrap/>
            <w:vAlign w:val="center"/>
            <w:hideMark/>
          </w:tcPr>
          <w:p w14:paraId="75ED5D69" w14:textId="7C6101B9"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-0.0034</w:t>
            </w:r>
            <w:r w:rsidRPr="00361437">
              <w:rPr>
                <w:rFonts w:ascii="Arial" w:hAnsi="Arial" w:cs="Arial"/>
                <w:color w:val="000000"/>
                <w:sz w:val="20"/>
                <w:vertAlign w:val="superscript"/>
              </w:rPr>
              <w:t>*</w:t>
            </w:r>
          </w:p>
        </w:tc>
        <w:tc>
          <w:tcPr>
            <w:tcW w:w="988" w:type="dxa"/>
            <w:noWrap/>
            <w:vAlign w:val="center"/>
            <w:hideMark/>
          </w:tcPr>
          <w:p w14:paraId="2E257B02" w14:textId="04C024ED"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0.0979</w:t>
            </w:r>
          </w:p>
        </w:tc>
        <w:tc>
          <w:tcPr>
            <w:tcW w:w="236" w:type="dxa"/>
            <w:vAlign w:val="center"/>
          </w:tcPr>
          <w:p w14:paraId="6EECCAEC"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0D31BFB7" w14:textId="17747EBB"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-0.0032</w:t>
            </w:r>
          </w:p>
        </w:tc>
        <w:tc>
          <w:tcPr>
            <w:tcW w:w="988" w:type="dxa"/>
            <w:vAlign w:val="center"/>
            <w:hideMark/>
          </w:tcPr>
          <w:p w14:paraId="48948C3F" w14:textId="7178F536"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0.1130</w:t>
            </w:r>
          </w:p>
        </w:tc>
        <w:tc>
          <w:tcPr>
            <w:tcW w:w="236" w:type="dxa"/>
            <w:vAlign w:val="center"/>
          </w:tcPr>
          <w:p w14:paraId="05D532A5"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5F048AAE" w14:textId="71D72749"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-0.0061</w:t>
            </w:r>
            <w:r w:rsidRPr="00361437">
              <w:rPr>
                <w:rFonts w:ascii="Arial" w:hAnsi="Arial" w:cs="Arial"/>
                <w:color w:val="000000"/>
                <w:sz w:val="20"/>
                <w:vertAlign w:val="superscript"/>
              </w:rPr>
              <w:t>*</w:t>
            </w:r>
          </w:p>
        </w:tc>
        <w:tc>
          <w:tcPr>
            <w:tcW w:w="994" w:type="dxa"/>
            <w:vAlign w:val="center"/>
            <w:hideMark/>
          </w:tcPr>
          <w:p w14:paraId="4C490B87" w14:textId="50088C48"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0.0913</w:t>
            </w:r>
          </w:p>
        </w:tc>
        <w:tc>
          <w:tcPr>
            <w:tcW w:w="236" w:type="dxa"/>
            <w:vAlign w:val="center"/>
          </w:tcPr>
          <w:p w14:paraId="294C1D79"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noWrap/>
            <w:vAlign w:val="center"/>
            <w:hideMark/>
          </w:tcPr>
          <w:p w14:paraId="68138638" w14:textId="14B77DF6"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-0.0062</w:t>
            </w:r>
            <w:r w:rsidRPr="00361437">
              <w:rPr>
                <w:rFonts w:ascii="Arial" w:hAnsi="Arial" w:cs="Arial"/>
                <w:color w:val="000000"/>
                <w:sz w:val="20"/>
                <w:vertAlign w:val="superscript"/>
              </w:rPr>
              <w:t>*</w:t>
            </w:r>
          </w:p>
        </w:tc>
        <w:tc>
          <w:tcPr>
            <w:tcW w:w="1045" w:type="dxa"/>
            <w:noWrap/>
            <w:vAlign w:val="center"/>
            <w:hideMark/>
          </w:tcPr>
          <w:p w14:paraId="5010F553" w14:textId="43EBCB24"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0.0828</w:t>
            </w:r>
          </w:p>
        </w:tc>
      </w:tr>
      <w:tr w:rsidR="00577B0A" w:rsidRPr="00361437" w14:paraId="3E51A1A6" w14:textId="77777777" w:rsidTr="00577B0A">
        <w:tc>
          <w:tcPr>
            <w:tcW w:w="4444" w:type="dxa"/>
            <w:noWrap/>
            <w:vAlign w:val="center"/>
            <w:hideMark/>
          </w:tcPr>
          <w:p w14:paraId="611C276F" w14:textId="6E0EF3D4" w:rsidR="00577B0A" w:rsidRPr="00361437" w:rsidRDefault="00231197" w:rsidP="00577B0A">
            <w:pPr>
              <w:spacing w:line="256" w:lineRule="auto"/>
              <w:rPr>
                <w:rFonts w:ascii="Arial" w:eastAsia="Times New Roman" w:hAnsi="Arial" w:cs="Arial"/>
                <w:sz w:val="18"/>
              </w:rPr>
            </w:pPr>
            <w:r w:rsidRPr="00361437">
              <w:rPr>
                <w:rFonts w:ascii="Arial" w:eastAsia="Calibri" w:hAnsi="Arial" w:cs="Arial"/>
                <w:sz w:val="18"/>
              </w:rPr>
              <w:t>INSTITUTIONAL_BLOCK_OWNERSHIP</w:t>
            </w:r>
          </w:p>
        </w:tc>
        <w:tc>
          <w:tcPr>
            <w:tcW w:w="1207" w:type="dxa"/>
            <w:noWrap/>
            <w:vAlign w:val="center"/>
            <w:hideMark/>
          </w:tcPr>
          <w:p w14:paraId="1021C942" w14:textId="01095473"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-0.0008</w:t>
            </w:r>
          </w:p>
        </w:tc>
        <w:tc>
          <w:tcPr>
            <w:tcW w:w="988" w:type="dxa"/>
            <w:noWrap/>
            <w:vAlign w:val="center"/>
            <w:hideMark/>
          </w:tcPr>
          <w:p w14:paraId="7B32AD15" w14:textId="43437341"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0.8446</w:t>
            </w:r>
          </w:p>
        </w:tc>
        <w:tc>
          <w:tcPr>
            <w:tcW w:w="236" w:type="dxa"/>
            <w:vAlign w:val="center"/>
          </w:tcPr>
          <w:p w14:paraId="6227031A"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0DAEDBAF" w14:textId="379BE2AA"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0.0002</w:t>
            </w:r>
          </w:p>
        </w:tc>
        <w:tc>
          <w:tcPr>
            <w:tcW w:w="988" w:type="dxa"/>
            <w:vAlign w:val="center"/>
            <w:hideMark/>
          </w:tcPr>
          <w:p w14:paraId="082E76E2" w14:textId="043EC82A"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0.9526</w:t>
            </w:r>
          </w:p>
        </w:tc>
        <w:tc>
          <w:tcPr>
            <w:tcW w:w="236" w:type="dxa"/>
            <w:vAlign w:val="center"/>
          </w:tcPr>
          <w:p w14:paraId="79937951"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29A201A0" w14:textId="2AE13E85"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-0.0038</w:t>
            </w:r>
          </w:p>
        </w:tc>
        <w:tc>
          <w:tcPr>
            <w:tcW w:w="994" w:type="dxa"/>
            <w:vAlign w:val="center"/>
            <w:hideMark/>
          </w:tcPr>
          <w:p w14:paraId="472531DD" w14:textId="0A42B21B"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0.5593</w:t>
            </w:r>
          </w:p>
        </w:tc>
        <w:tc>
          <w:tcPr>
            <w:tcW w:w="236" w:type="dxa"/>
            <w:vAlign w:val="center"/>
          </w:tcPr>
          <w:p w14:paraId="78F6C3D9"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noWrap/>
            <w:vAlign w:val="center"/>
            <w:hideMark/>
          </w:tcPr>
          <w:p w14:paraId="2DC4507F" w14:textId="05912FBB"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-0.0030</w:t>
            </w:r>
          </w:p>
        </w:tc>
        <w:tc>
          <w:tcPr>
            <w:tcW w:w="1045" w:type="dxa"/>
            <w:noWrap/>
            <w:vAlign w:val="center"/>
            <w:hideMark/>
          </w:tcPr>
          <w:p w14:paraId="5F50EAEE" w14:textId="2481A4A5"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0.6375</w:t>
            </w:r>
          </w:p>
        </w:tc>
      </w:tr>
      <w:tr w:rsidR="00577B0A" w:rsidRPr="00361437" w14:paraId="4CD894D7" w14:textId="77777777" w:rsidTr="00577B0A">
        <w:tc>
          <w:tcPr>
            <w:tcW w:w="4444" w:type="dxa"/>
            <w:noWrap/>
            <w:vAlign w:val="center"/>
            <w:hideMark/>
          </w:tcPr>
          <w:p w14:paraId="5CB33A70" w14:textId="7D0E4739" w:rsidR="00577B0A" w:rsidRPr="00361437" w:rsidRDefault="00231197" w:rsidP="00577B0A">
            <w:pPr>
              <w:spacing w:line="256" w:lineRule="auto"/>
              <w:rPr>
                <w:rFonts w:ascii="Arial" w:eastAsia="Times New Roman" w:hAnsi="Arial" w:cs="Arial"/>
                <w:sz w:val="18"/>
              </w:rPr>
            </w:pPr>
            <w:r w:rsidRPr="00361437">
              <w:rPr>
                <w:rFonts w:ascii="Arial" w:eastAsia="Calibri" w:hAnsi="Arial" w:cs="Arial"/>
                <w:sz w:val="18"/>
              </w:rPr>
              <w:t>BIG_HOLDING_(0,1)</w:t>
            </w:r>
          </w:p>
        </w:tc>
        <w:tc>
          <w:tcPr>
            <w:tcW w:w="1207" w:type="dxa"/>
            <w:noWrap/>
            <w:vAlign w:val="center"/>
            <w:hideMark/>
          </w:tcPr>
          <w:p w14:paraId="62D5D26C" w14:textId="45BAC9C3"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-0.0009</w:t>
            </w:r>
          </w:p>
        </w:tc>
        <w:tc>
          <w:tcPr>
            <w:tcW w:w="988" w:type="dxa"/>
            <w:noWrap/>
            <w:vAlign w:val="center"/>
            <w:hideMark/>
          </w:tcPr>
          <w:p w14:paraId="3FF65D1D" w14:textId="54EEC278"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0.6832</w:t>
            </w:r>
          </w:p>
        </w:tc>
        <w:tc>
          <w:tcPr>
            <w:tcW w:w="236" w:type="dxa"/>
            <w:vAlign w:val="center"/>
          </w:tcPr>
          <w:p w14:paraId="695F003E"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7C993B23" w14:textId="3C685DF2"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-0.0014</w:t>
            </w:r>
          </w:p>
        </w:tc>
        <w:tc>
          <w:tcPr>
            <w:tcW w:w="988" w:type="dxa"/>
            <w:vAlign w:val="center"/>
            <w:hideMark/>
          </w:tcPr>
          <w:p w14:paraId="1D7EAE25" w14:textId="20DB6EF7"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0.5290</w:t>
            </w:r>
          </w:p>
        </w:tc>
        <w:tc>
          <w:tcPr>
            <w:tcW w:w="236" w:type="dxa"/>
            <w:vAlign w:val="center"/>
          </w:tcPr>
          <w:p w14:paraId="1FEB81CF"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28DF96CD" w14:textId="3CFE4E38"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-0.0004</w:t>
            </w:r>
          </w:p>
        </w:tc>
        <w:tc>
          <w:tcPr>
            <w:tcW w:w="994" w:type="dxa"/>
            <w:vAlign w:val="center"/>
            <w:hideMark/>
          </w:tcPr>
          <w:p w14:paraId="24A8FD95" w14:textId="6BF63B20"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0.8512</w:t>
            </w:r>
          </w:p>
        </w:tc>
        <w:tc>
          <w:tcPr>
            <w:tcW w:w="236" w:type="dxa"/>
            <w:vAlign w:val="center"/>
          </w:tcPr>
          <w:p w14:paraId="0214FF12"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noWrap/>
            <w:vAlign w:val="center"/>
            <w:hideMark/>
          </w:tcPr>
          <w:p w14:paraId="7A8A0304" w14:textId="27190629"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-0.0007</w:t>
            </w:r>
          </w:p>
        </w:tc>
        <w:tc>
          <w:tcPr>
            <w:tcW w:w="1045" w:type="dxa"/>
            <w:noWrap/>
            <w:vAlign w:val="center"/>
            <w:hideMark/>
          </w:tcPr>
          <w:p w14:paraId="1BA2BA7A" w14:textId="63CC5409"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0.7538</w:t>
            </w:r>
          </w:p>
        </w:tc>
      </w:tr>
      <w:tr w:rsidR="00577B0A" w:rsidRPr="00361437" w14:paraId="353D6149" w14:textId="77777777" w:rsidTr="00577B0A">
        <w:tc>
          <w:tcPr>
            <w:tcW w:w="4444" w:type="dxa"/>
            <w:noWrap/>
            <w:vAlign w:val="center"/>
            <w:hideMark/>
          </w:tcPr>
          <w:p w14:paraId="2BD2D0A0" w14:textId="3CCE2FB2" w:rsidR="00577B0A" w:rsidRPr="00361437" w:rsidRDefault="00231197" w:rsidP="00577B0A">
            <w:pPr>
              <w:spacing w:line="256" w:lineRule="auto"/>
              <w:rPr>
                <w:rFonts w:ascii="Arial" w:eastAsia="Times New Roman" w:hAnsi="Arial" w:cs="Arial"/>
                <w:sz w:val="18"/>
              </w:rPr>
            </w:pPr>
            <w:r w:rsidRPr="00361437">
              <w:rPr>
                <w:rFonts w:ascii="Arial" w:eastAsia="Calibri" w:hAnsi="Arial" w:cs="Arial"/>
                <w:sz w:val="18"/>
              </w:rPr>
              <w:t>NUMBER_OF_FUNDS_IN_THE_FAMILY</w:t>
            </w:r>
          </w:p>
        </w:tc>
        <w:tc>
          <w:tcPr>
            <w:tcW w:w="1207" w:type="dxa"/>
            <w:noWrap/>
            <w:vAlign w:val="center"/>
            <w:hideMark/>
          </w:tcPr>
          <w:p w14:paraId="519A5FC4" w14:textId="6F7396BA"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-0.0098</w:t>
            </w:r>
            <w:r w:rsidRPr="00361437">
              <w:rPr>
                <w:rFonts w:ascii="Arial" w:hAnsi="Arial" w:cs="Arial"/>
                <w:color w:val="000000"/>
                <w:sz w:val="20"/>
                <w:vertAlign w:val="superscript"/>
              </w:rPr>
              <w:t>***</w:t>
            </w:r>
          </w:p>
        </w:tc>
        <w:tc>
          <w:tcPr>
            <w:tcW w:w="988" w:type="dxa"/>
            <w:noWrap/>
            <w:vAlign w:val="center"/>
            <w:hideMark/>
          </w:tcPr>
          <w:p w14:paraId="2A58D3A5" w14:textId="09C21637"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0.0000</w:t>
            </w:r>
          </w:p>
        </w:tc>
        <w:tc>
          <w:tcPr>
            <w:tcW w:w="236" w:type="dxa"/>
            <w:vAlign w:val="center"/>
          </w:tcPr>
          <w:p w14:paraId="2CBC3AEF"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4C2D9C12" w14:textId="02D63CB0"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-0.0098</w:t>
            </w:r>
            <w:r w:rsidRPr="00361437">
              <w:rPr>
                <w:rFonts w:ascii="Arial" w:hAnsi="Arial" w:cs="Arial"/>
                <w:color w:val="000000"/>
                <w:sz w:val="20"/>
                <w:vertAlign w:val="superscript"/>
              </w:rPr>
              <w:t>***</w:t>
            </w:r>
          </w:p>
        </w:tc>
        <w:tc>
          <w:tcPr>
            <w:tcW w:w="988" w:type="dxa"/>
            <w:vAlign w:val="center"/>
            <w:hideMark/>
          </w:tcPr>
          <w:p w14:paraId="0CC92FB1" w14:textId="0B70B9A0"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0.0000</w:t>
            </w:r>
          </w:p>
        </w:tc>
        <w:tc>
          <w:tcPr>
            <w:tcW w:w="236" w:type="dxa"/>
            <w:vAlign w:val="center"/>
          </w:tcPr>
          <w:p w14:paraId="1D3741EA"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6BE872B7" w14:textId="458FBF67"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-0.0104</w:t>
            </w:r>
            <w:r w:rsidRPr="00361437">
              <w:rPr>
                <w:rFonts w:ascii="Arial" w:hAnsi="Arial" w:cs="Arial"/>
                <w:color w:val="000000"/>
                <w:sz w:val="20"/>
                <w:vertAlign w:val="superscript"/>
              </w:rPr>
              <w:t>***</w:t>
            </w:r>
          </w:p>
        </w:tc>
        <w:tc>
          <w:tcPr>
            <w:tcW w:w="994" w:type="dxa"/>
            <w:vAlign w:val="center"/>
            <w:hideMark/>
          </w:tcPr>
          <w:p w14:paraId="4F85C5F9" w14:textId="3DE5917E"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0.0000</w:t>
            </w:r>
          </w:p>
        </w:tc>
        <w:tc>
          <w:tcPr>
            <w:tcW w:w="236" w:type="dxa"/>
            <w:vAlign w:val="center"/>
          </w:tcPr>
          <w:p w14:paraId="5A08C616"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noWrap/>
            <w:vAlign w:val="center"/>
            <w:hideMark/>
          </w:tcPr>
          <w:p w14:paraId="1DA411A9" w14:textId="2672EE75"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-0.0103</w:t>
            </w:r>
            <w:r w:rsidRPr="00361437">
              <w:rPr>
                <w:rFonts w:ascii="Arial" w:hAnsi="Arial" w:cs="Arial"/>
                <w:color w:val="000000"/>
                <w:sz w:val="20"/>
                <w:vertAlign w:val="superscript"/>
              </w:rPr>
              <w:t>***</w:t>
            </w:r>
          </w:p>
        </w:tc>
        <w:tc>
          <w:tcPr>
            <w:tcW w:w="1045" w:type="dxa"/>
            <w:noWrap/>
            <w:vAlign w:val="center"/>
            <w:hideMark/>
          </w:tcPr>
          <w:p w14:paraId="3A4647CD" w14:textId="6E7E32CB"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0.0000</w:t>
            </w:r>
          </w:p>
        </w:tc>
      </w:tr>
      <w:tr w:rsidR="00577B0A" w:rsidRPr="00361437" w14:paraId="4076CD47" w14:textId="77777777" w:rsidTr="00577B0A">
        <w:tc>
          <w:tcPr>
            <w:tcW w:w="4444" w:type="dxa"/>
            <w:noWrap/>
            <w:vAlign w:val="center"/>
            <w:hideMark/>
          </w:tcPr>
          <w:p w14:paraId="0EC9F0E2" w14:textId="77777777" w:rsidR="00577B0A" w:rsidRPr="00361437" w:rsidRDefault="00577B0A" w:rsidP="00577B0A">
            <w:pPr>
              <w:spacing w:line="256" w:lineRule="auto"/>
              <w:rPr>
                <w:rFonts w:ascii="Arial" w:eastAsia="Times New Roman" w:hAnsi="Arial" w:cs="Arial"/>
                <w:sz w:val="18"/>
              </w:rPr>
            </w:pPr>
            <w:r w:rsidRPr="00361437">
              <w:rPr>
                <w:rFonts w:ascii="Arial" w:eastAsia="Times New Roman" w:hAnsi="Arial" w:cs="Arial"/>
                <w:sz w:val="18"/>
              </w:rPr>
              <w:t>Intercept</w:t>
            </w:r>
          </w:p>
        </w:tc>
        <w:tc>
          <w:tcPr>
            <w:tcW w:w="1207" w:type="dxa"/>
            <w:noWrap/>
            <w:vAlign w:val="center"/>
            <w:hideMark/>
          </w:tcPr>
          <w:p w14:paraId="742ACCE3" w14:textId="510FA0DF"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0.1881</w:t>
            </w:r>
            <w:r w:rsidRPr="00361437">
              <w:rPr>
                <w:rFonts w:ascii="Arial" w:hAnsi="Arial" w:cs="Arial"/>
                <w:color w:val="000000"/>
                <w:sz w:val="20"/>
                <w:vertAlign w:val="superscript"/>
              </w:rPr>
              <w:t>***</w:t>
            </w:r>
          </w:p>
        </w:tc>
        <w:tc>
          <w:tcPr>
            <w:tcW w:w="988" w:type="dxa"/>
            <w:noWrap/>
            <w:vAlign w:val="center"/>
            <w:hideMark/>
          </w:tcPr>
          <w:p w14:paraId="290328E9" w14:textId="3E856EFD"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0.0000</w:t>
            </w:r>
          </w:p>
        </w:tc>
        <w:tc>
          <w:tcPr>
            <w:tcW w:w="236" w:type="dxa"/>
            <w:vAlign w:val="center"/>
          </w:tcPr>
          <w:p w14:paraId="794543A4"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7140D1FA" w14:textId="11BFB6D8"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0.1863</w:t>
            </w:r>
            <w:r w:rsidRPr="00361437">
              <w:rPr>
                <w:rFonts w:ascii="Arial" w:hAnsi="Arial" w:cs="Arial"/>
                <w:color w:val="000000"/>
                <w:sz w:val="20"/>
                <w:vertAlign w:val="superscript"/>
              </w:rPr>
              <w:t>***</w:t>
            </w:r>
          </w:p>
        </w:tc>
        <w:tc>
          <w:tcPr>
            <w:tcW w:w="988" w:type="dxa"/>
            <w:vAlign w:val="center"/>
            <w:hideMark/>
          </w:tcPr>
          <w:p w14:paraId="5EC45722" w14:textId="47974C17"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0.0000</w:t>
            </w:r>
          </w:p>
        </w:tc>
        <w:tc>
          <w:tcPr>
            <w:tcW w:w="236" w:type="dxa"/>
            <w:vAlign w:val="center"/>
          </w:tcPr>
          <w:p w14:paraId="2D4FA22C"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vAlign w:val="center"/>
            <w:hideMark/>
          </w:tcPr>
          <w:p w14:paraId="630D3E42" w14:textId="56FD115B"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-0.6874</w:t>
            </w:r>
            <w:r w:rsidRPr="00361437">
              <w:rPr>
                <w:rFonts w:ascii="Arial" w:hAnsi="Arial" w:cs="Arial"/>
                <w:color w:val="000000"/>
                <w:sz w:val="20"/>
                <w:vertAlign w:val="superscript"/>
              </w:rPr>
              <w:t>***</w:t>
            </w:r>
          </w:p>
        </w:tc>
        <w:tc>
          <w:tcPr>
            <w:tcW w:w="994" w:type="dxa"/>
            <w:vAlign w:val="center"/>
            <w:hideMark/>
          </w:tcPr>
          <w:p w14:paraId="0E1A66BC" w14:textId="3BA9E688"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0.0000</w:t>
            </w:r>
          </w:p>
        </w:tc>
        <w:tc>
          <w:tcPr>
            <w:tcW w:w="236" w:type="dxa"/>
            <w:vAlign w:val="center"/>
          </w:tcPr>
          <w:p w14:paraId="25E3FE55" w14:textId="77777777" w:rsidR="00577B0A" w:rsidRPr="00361437" w:rsidRDefault="00577B0A" w:rsidP="00577B0A">
            <w:pPr>
              <w:tabs>
                <w:tab w:val="decimal" w:pos="254"/>
              </w:tabs>
              <w:spacing w:line="256" w:lineRule="auto"/>
              <w:rPr>
                <w:rFonts w:ascii="Arial" w:eastAsia="Calibri" w:hAnsi="Arial" w:cs="Arial"/>
                <w:color w:val="000000"/>
                <w:sz w:val="20"/>
              </w:rPr>
            </w:pPr>
          </w:p>
        </w:tc>
        <w:tc>
          <w:tcPr>
            <w:tcW w:w="1207" w:type="dxa"/>
            <w:noWrap/>
            <w:vAlign w:val="center"/>
            <w:hideMark/>
          </w:tcPr>
          <w:p w14:paraId="36A0DA05" w14:textId="3046C7FC"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-0.6857</w:t>
            </w:r>
            <w:r w:rsidRPr="00361437">
              <w:rPr>
                <w:rFonts w:ascii="Arial" w:hAnsi="Arial" w:cs="Arial"/>
                <w:color w:val="000000"/>
                <w:sz w:val="20"/>
                <w:vertAlign w:val="superscript"/>
              </w:rPr>
              <w:t>***</w:t>
            </w:r>
          </w:p>
        </w:tc>
        <w:tc>
          <w:tcPr>
            <w:tcW w:w="1045" w:type="dxa"/>
            <w:noWrap/>
            <w:vAlign w:val="center"/>
            <w:hideMark/>
          </w:tcPr>
          <w:p w14:paraId="53D8D52C" w14:textId="76C489D4" w:rsidR="00577B0A" w:rsidRPr="00361437" w:rsidRDefault="00577B0A" w:rsidP="00577B0A">
            <w:pPr>
              <w:tabs>
                <w:tab w:val="decimal" w:pos="254"/>
              </w:tabs>
              <w:spacing w:line="256" w:lineRule="auto"/>
              <w:rPr>
                <w:rFonts w:ascii="Arial" w:eastAsia="Calibri" w:hAnsi="Arial" w:cs="Arial"/>
                <w:color w:val="000000"/>
                <w:sz w:val="20"/>
              </w:rPr>
            </w:pPr>
            <w:r w:rsidRPr="00361437">
              <w:rPr>
                <w:rFonts w:ascii="Arial" w:hAnsi="Arial" w:cs="Arial"/>
                <w:color w:val="000000"/>
                <w:sz w:val="20"/>
              </w:rPr>
              <w:t>0.0000</w:t>
            </w:r>
          </w:p>
        </w:tc>
      </w:tr>
      <w:tr w:rsidR="00032E88" w:rsidRPr="00361437" w14:paraId="756B74D0" w14:textId="77777777" w:rsidTr="00577B0A">
        <w:tc>
          <w:tcPr>
            <w:tcW w:w="4444" w:type="dxa"/>
            <w:noWrap/>
            <w:vAlign w:val="center"/>
            <w:hideMark/>
          </w:tcPr>
          <w:p w14:paraId="28AE03E5" w14:textId="77777777" w:rsidR="00032E88" w:rsidRPr="00361437" w:rsidRDefault="00032E88" w:rsidP="00032E88">
            <w:pPr>
              <w:spacing w:line="256" w:lineRule="auto"/>
              <w:rPr>
                <w:rFonts w:ascii="Arial" w:eastAsia="Times New Roman" w:hAnsi="Arial" w:cs="Arial"/>
                <w:sz w:val="18"/>
              </w:rPr>
            </w:pPr>
            <w:r w:rsidRPr="00361437">
              <w:rPr>
                <w:rFonts w:ascii="Arial" w:eastAsia="Times New Roman" w:hAnsi="Arial" w:cs="Arial"/>
                <w:sz w:val="18"/>
              </w:rPr>
              <w:t>N</w:t>
            </w:r>
          </w:p>
        </w:tc>
        <w:tc>
          <w:tcPr>
            <w:tcW w:w="1207" w:type="dxa"/>
            <w:noWrap/>
            <w:vAlign w:val="center"/>
            <w:hideMark/>
          </w:tcPr>
          <w:p w14:paraId="36D83FA2" w14:textId="08C0BDBD" w:rsidR="00032E88" w:rsidRPr="00361437" w:rsidRDefault="00655474" w:rsidP="00032E88">
            <w:pPr>
              <w:spacing w:line="256" w:lineRule="auto"/>
              <w:jc w:val="center"/>
              <w:rPr>
                <w:rFonts w:ascii="Arial" w:eastAsia="Times New Roman" w:hAnsi="Arial" w:cs="Arial"/>
                <w:sz w:val="20"/>
              </w:rPr>
            </w:pPr>
            <w:r w:rsidRPr="00361437">
              <w:rPr>
                <w:rFonts w:ascii="Arial" w:eastAsia="Times New Roman" w:hAnsi="Arial" w:cs="Arial"/>
                <w:sz w:val="20"/>
              </w:rPr>
              <w:t>52,745</w:t>
            </w:r>
          </w:p>
        </w:tc>
        <w:tc>
          <w:tcPr>
            <w:tcW w:w="988" w:type="dxa"/>
            <w:noWrap/>
            <w:vAlign w:val="center"/>
          </w:tcPr>
          <w:p w14:paraId="210E02B8" w14:textId="77777777" w:rsidR="00032E88" w:rsidRPr="00361437" w:rsidRDefault="00032E88" w:rsidP="00032E88">
            <w:pPr>
              <w:spacing w:line="256" w:lineRule="auto"/>
              <w:jc w:val="center"/>
              <w:rPr>
                <w:rFonts w:ascii="Arial" w:eastAsia="Times New Roman" w:hAnsi="Arial" w:cs="Arial"/>
                <w:sz w:val="20"/>
              </w:rPr>
            </w:pPr>
          </w:p>
        </w:tc>
        <w:tc>
          <w:tcPr>
            <w:tcW w:w="236" w:type="dxa"/>
            <w:vAlign w:val="center"/>
          </w:tcPr>
          <w:p w14:paraId="318B10A8" w14:textId="77777777" w:rsidR="00032E88" w:rsidRPr="00361437" w:rsidRDefault="00032E88" w:rsidP="00032E88">
            <w:pPr>
              <w:spacing w:line="256" w:lineRule="auto"/>
              <w:jc w:val="center"/>
              <w:rPr>
                <w:rFonts w:ascii="Arial" w:eastAsia="Times New Roman" w:hAnsi="Arial" w:cs="Arial"/>
                <w:sz w:val="20"/>
              </w:rPr>
            </w:pPr>
          </w:p>
        </w:tc>
        <w:tc>
          <w:tcPr>
            <w:tcW w:w="1207" w:type="dxa"/>
            <w:vAlign w:val="center"/>
            <w:hideMark/>
          </w:tcPr>
          <w:p w14:paraId="3F0ABF45" w14:textId="3B33E07C" w:rsidR="00032E88" w:rsidRPr="00361437" w:rsidRDefault="00655474" w:rsidP="00032E88">
            <w:pPr>
              <w:spacing w:line="256" w:lineRule="auto"/>
              <w:jc w:val="center"/>
              <w:rPr>
                <w:rFonts w:ascii="Arial" w:eastAsia="Times New Roman" w:hAnsi="Arial" w:cs="Arial"/>
                <w:sz w:val="20"/>
              </w:rPr>
            </w:pPr>
            <w:r w:rsidRPr="00361437">
              <w:rPr>
                <w:rFonts w:ascii="Arial" w:eastAsia="Times New Roman" w:hAnsi="Arial" w:cs="Arial"/>
                <w:sz w:val="20"/>
              </w:rPr>
              <w:t>52,745</w:t>
            </w:r>
          </w:p>
        </w:tc>
        <w:tc>
          <w:tcPr>
            <w:tcW w:w="988" w:type="dxa"/>
            <w:vAlign w:val="center"/>
          </w:tcPr>
          <w:p w14:paraId="1A58836D" w14:textId="77777777" w:rsidR="00032E88" w:rsidRPr="00361437" w:rsidRDefault="00032E88" w:rsidP="00032E88">
            <w:pPr>
              <w:spacing w:line="256" w:lineRule="auto"/>
              <w:jc w:val="center"/>
              <w:rPr>
                <w:rFonts w:ascii="Arial" w:eastAsia="Times New Roman" w:hAnsi="Arial" w:cs="Arial"/>
                <w:sz w:val="20"/>
              </w:rPr>
            </w:pPr>
          </w:p>
        </w:tc>
        <w:tc>
          <w:tcPr>
            <w:tcW w:w="236" w:type="dxa"/>
            <w:vAlign w:val="center"/>
          </w:tcPr>
          <w:p w14:paraId="50B69967" w14:textId="77777777" w:rsidR="00032E88" w:rsidRPr="00361437" w:rsidRDefault="00032E88" w:rsidP="00032E88">
            <w:pPr>
              <w:spacing w:line="256" w:lineRule="auto"/>
              <w:jc w:val="center"/>
              <w:rPr>
                <w:rFonts w:ascii="Arial" w:eastAsia="Times New Roman" w:hAnsi="Arial" w:cs="Arial"/>
                <w:sz w:val="20"/>
              </w:rPr>
            </w:pPr>
          </w:p>
        </w:tc>
        <w:tc>
          <w:tcPr>
            <w:tcW w:w="1207" w:type="dxa"/>
            <w:vAlign w:val="center"/>
            <w:hideMark/>
          </w:tcPr>
          <w:p w14:paraId="0827F617" w14:textId="08F181AA" w:rsidR="00032E88" w:rsidRPr="00361437" w:rsidRDefault="00655474" w:rsidP="00032E88">
            <w:pPr>
              <w:spacing w:line="256" w:lineRule="auto"/>
              <w:jc w:val="center"/>
              <w:rPr>
                <w:rFonts w:ascii="Arial" w:eastAsia="Times New Roman" w:hAnsi="Arial" w:cs="Arial"/>
                <w:sz w:val="20"/>
              </w:rPr>
            </w:pPr>
            <w:r w:rsidRPr="00361437">
              <w:rPr>
                <w:rFonts w:ascii="Arial" w:eastAsia="Times New Roman" w:hAnsi="Arial" w:cs="Arial"/>
                <w:sz w:val="20"/>
              </w:rPr>
              <w:t>52,745</w:t>
            </w:r>
          </w:p>
        </w:tc>
        <w:tc>
          <w:tcPr>
            <w:tcW w:w="994" w:type="dxa"/>
            <w:vAlign w:val="center"/>
          </w:tcPr>
          <w:p w14:paraId="00187287" w14:textId="77777777" w:rsidR="00032E88" w:rsidRPr="00361437" w:rsidRDefault="00032E88" w:rsidP="00032E88">
            <w:pPr>
              <w:spacing w:line="256" w:lineRule="auto"/>
              <w:jc w:val="center"/>
              <w:rPr>
                <w:rFonts w:ascii="Arial" w:eastAsia="Times New Roman" w:hAnsi="Arial" w:cs="Arial"/>
                <w:sz w:val="20"/>
              </w:rPr>
            </w:pPr>
          </w:p>
        </w:tc>
        <w:tc>
          <w:tcPr>
            <w:tcW w:w="236" w:type="dxa"/>
            <w:vAlign w:val="center"/>
          </w:tcPr>
          <w:p w14:paraId="44EE51ED" w14:textId="77777777" w:rsidR="00032E88" w:rsidRPr="00361437" w:rsidRDefault="00032E88" w:rsidP="00032E88">
            <w:pPr>
              <w:spacing w:line="256" w:lineRule="auto"/>
              <w:jc w:val="center"/>
              <w:rPr>
                <w:rFonts w:ascii="Arial" w:eastAsia="Times New Roman" w:hAnsi="Arial" w:cs="Arial"/>
                <w:sz w:val="20"/>
              </w:rPr>
            </w:pPr>
          </w:p>
        </w:tc>
        <w:tc>
          <w:tcPr>
            <w:tcW w:w="1207" w:type="dxa"/>
            <w:noWrap/>
            <w:vAlign w:val="center"/>
            <w:hideMark/>
          </w:tcPr>
          <w:p w14:paraId="05C9C360" w14:textId="3523FE75" w:rsidR="00032E88" w:rsidRPr="00361437" w:rsidRDefault="00655474" w:rsidP="00032E88">
            <w:pPr>
              <w:spacing w:line="256" w:lineRule="auto"/>
              <w:jc w:val="center"/>
              <w:rPr>
                <w:rFonts w:ascii="Arial" w:eastAsia="Times New Roman" w:hAnsi="Arial" w:cs="Arial"/>
                <w:sz w:val="20"/>
              </w:rPr>
            </w:pPr>
            <w:r w:rsidRPr="00361437">
              <w:rPr>
                <w:rFonts w:ascii="Arial" w:eastAsia="Times New Roman" w:hAnsi="Arial" w:cs="Arial"/>
                <w:sz w:val="20"/>
              </w:rPr>
              <w:t>52,745</w:t>
            </w:r>
          </w:p>
        </w:tc>
        <w:tc>
          <w:tcPr>
            <w:tcW w:w="1045" w:type="dxa"/>
            <w:noWrap/>
            <w:vAlign w:val="center"/>
          </w:tcPr>
          <w:p w14:paraId="2858E58F" w14:textId="77777777" w:rsidR="00032E88" w:rsidRPr="00361437" w:rsidRDefault="00032E88" w:rsidP="00032E88">
            <w:pPr>
              <w:spacing w:line="256" w:lineRule="auto"/>
              <w:jc w:val="center"/>
              <w:rPr>
                <w:rFonts w:ascii="Arial" w:eastAsia="Times New Roman" w:hAnsi="Arial" w:cs="Arial"/>
                <w:sz w:val="20"/>
              </w:rPr>
            </w:pPr>
          </w:p>
        </w:tc>
      </w:tr>
      <w:tr w:rsidR="00032E88" w:rsidRPr="00361437" w14:paraId="33A7F675" w14:textId="77777777" w:rsidTr="00577B0A">
        <w:tc>
          <w:tcPr>
            <w:tcW w:w="4444" w:type="dxa"/>
            <w:tcBorders>
              <w:top w:val="nil"/>
              <w:left w:val="nil"/>
              <w:bottom w:val="single" w:sz="4" w:space="0" w:color="auto"/>
              <w:right w:val="nil"/>
            </w:tcBorders>
            <w:noWrap/>
            <w:vAlign w:val="center"/>
            <w:hideMark/>
          </w:tcPr>
          <w:p w14:paraId="366D55E9" w14:textId="77777777" w:rsidR="00032E88" w:rsidRPr="00361437" w:rsidRDefault="00032E88" w:rsidP="00032E88">
            <w:pPr>
              <w:spacing w:line="256" w:lineRule="auto"/>
              <w:rPr>
                <w:rFonts w:ascii="Arial" w:eastAsia="Times New Roman" w:hAnsi="Arial" w:cs="Arial"/>
                <w:sz w:val="18"/>
              </w:rPr>
            </w:pPr>
            <w:r w:rsidRPr="00361437">
              <w:rPr>
                <w:rFonts w:ascii="Arial" w:eastAsia="Times New Roman" w:hAnsi="Arial" w:cs="Arial"/>
                <w:sz w:val="18"/>
              </w:rPr>
              <w:t>Adjusted R</w:t>
            </w:r>
            <w:r w:rsidRPr="00361437">
              <w:rPr>
                <w:rFonts w:ascii="Arial" w:eastAsia="Times New Roman" w:hAnsi="Arial" w:cs="Arial"/>
                <w:sz w:val="18"/>
                <w:vertAlign w:val="superscript"/>
              </w:rPr>
              <w:t>2</w:t>
            </w:r>
          </w:p>
        </w:tc>
        <w:tc>
          <w:tcPr>
            <w:tcW w:w="1207" w:type="dxa"/>
            <w:tcBorders>
              <w:top w:val="nil"/>
              <w:left w:val="nil"/>
              <w:bottom w:val="single" w:sz="4" w:space="0" w:color="auto"/>
              <w:right w:val="nil"/>
            </w:tcBorders>
            <w:noWrap/>
            <w:vAlign w:val="center"/>
            <w:hideMark/>
          </w:tcPr>
          <w:p w14:paraId="1B859959" w14:textId="24A5510E"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0.8</w:t>
            </w:r>
            <w:r w:rsidR="00796287" w:rsidRPr="00361437">
              <w:rPr>
                <w:rFonts w:ascii="Arial" w:eastAsia="Times New Roman" w:hAnsi="Arial" w:cs="Arial"/>
                <w:sz w:val="20"/>
              </w:rPr>
              <w:t>447</w:t>
            </w:r>
          </w:p>
        </w:tc>
        <w:tc>
          <w:tcPr>
            <w:tcW w:w="988" w:type="dxa"/>
            <w:tcBorders>
              <w:top w:val="nil"/>
              <w:left w:val="nil"/>
              <w:bottom w:val="single" w:sz="4" w:space="0" w:color="auto"/>
              <w:right w:val="nil"/>
            </w:tcBorders>
            <w:noWrap/>
            <w:vAlign w:val="center"/>
          </w:tcPr>
          <w:p w14:paraId="6F58ACAB" w14:textId="77777777" w:rsidR="00032E88" w:rsidRPr="00361437" w:rsidRDefault="00032E88" w:rsidP="00032E88">
            <w:pPr>
              <w:spacing w:line="256" w:lineRule="auto"/>
              <w:jc w:val="center"/>
              <w:rPr>
                <w:rFonts w:ascii="Arial" w:eastAsia="Times New Roman" w:hAnsi="Arial" w:cs="Arial"/>
                <w:sz w:val="20"/>
              </w:rPr>
            </w:pPr>
          </w:p>
        </w:tc>
        <w:tc>
          <w:tcPr>
            <w:tcW w:w="236" w:type="dxa"/>
            <w:tcBorders>
              <w:top w:val="nil"/>
              <w:left w:val="nil"/>
              <w:bottom w:val="single" w:sz="4" w:space="0" w:color="auto"/>
              <w:right w:val="nil"/>
            </w:tcBorders>
            <w:vAlign w:val="center"/>
          </w:tcPr>
          <w:p w14:paraId="37E504F2" w14:textId="77777777" w:rsidR="00032E88" w:rsidRPr="00361437" w:rsidRDefault="00032E88" w:rsidP="00032E88">
            <w:pPr>
              <w:spacing w:line="256" w:lineRule="auto"/>
              <w:jc w:val="center"/>
              <w:rPr>
                <w:rFonts w:ascii="Arial" w:eastAsia="Times New Roman" w:hAnsi="Arial" w:cs="Arial"/>
                <w:sz w:val="20"/>
              </w:rPr>
            </w:pPr>
          </w:p>
        </w:tc>
        <w:tc>
          <w:tcPr>
            <w:tcW w:w="1207" w:type="dxa"/>
            <w:tcBorders>
              <w:top w:val="nil"/>
              <w:left w:val="nil"/>
              <w:bottom w:val="single" w:sz="4" w:space="0" w:color="auto"/>
              <w:right w:val="nil"/>
            </w:tcBorders>
            <w:vAlign w:val="center"/>
            <w:hideMark/>
          </w:tcPr>
          <w:p w14:paraId="67FB963F" w14:textId="3B8D07A8"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0.8</w:t>
            </w:r>
            <w:r w:rsidR="00796287" w:rsidRPr="00361437">
              <w:rPr>
                <w:rFonts w:ascii="Arial" w:eastAsia="Times New Roman" w:hAnsi="Arial" w:cs="Arial"/>
                <w:sz w:val="20"/>
              </w:rPr>
              <w:t>448</w:t>
            </w:r>
          </w:p>
        </w:tc>
        <w:tc>
          <w:tcPr>
            <w:tcW w:w="988" w:type="dxa"/>
            <w:tcBorders>
              <w:top w:val="nil"/>
              <w:left w:val="nil"/>
              <w:bottom w:val="single" w:sz="4" w:space="0" w:color="auto"/>
              <w:right w:val="nil"/>
            </w:tcBorders>
            <w:vAlign w:val="center"/>
          </w:tcPr>
          <w:p w14:paraId="39BFE307" w14:textId="77777777" w:rsidR="00032E88" w:rsidRPr="00361437" w:rsidRDefault="00032E88" w:rsidP="00032E88">
            <w:pPr>
              <w:spacing w:line="256" w:lineRule="auto"/>
              <w:jc w:val="center"/>
              <w:rPr>
                <w:rFonts w:ascii="Arial" w:eastAsia="Times New Roman" w:hAnsi="Arial" w:cs="Arial"/>
                <w:sz w:val="20"/>
              </w:rPr>
            </w:pPr>
          </w:p>
        </w:tc>
        <w:tc>
          <w:tcPr>
            <w:tcW w:w="236" w:type="dxa"/>
            <w:tcBorders>
              <w:top w:val="nil"/>
              <w:left w:val="nil"/>
              <w:bottom w:val="single" w:sz="4" w:space="0" w:color="auto"/>
              <w:right w:val="nil"/>
            </w:tcBorders>
            <w:vAlign w:val="center"/>
          </w:tcPr>
          <w:p w14:paraId="11754BDA" w14:textId="77777777" w:rsidR="00032E88" w:rsidRPr="00361437" w:rsidRDefault="00032E88" w:rsidP="00032E88">
            <w:pPr>
              <w:spacing w:line="256" w:lineRule="auto"/>
              <w:jc w:val="center"/>
              <w:rPr>
                <w:rFonts w:ascii="Arial" w:eastAsia="Times New Roman" w:hAnsi="Arial" w:cs="Arial"/>
                <w:sz w:val="20"/>
              </w:rPr>
            </w:pPr>
          </w:p>
        </w:tc>
        <w:tc>
          <w:tcPr>
            <w:tcW w:w="1207" w:type="dxa"/>
            <w:tcBorders>
              <w:top w:val="nil"/>
              <w:left w:val="nil"/>
              <w:bottom w:val="single" w:sz="4" w:space="0" w:color="auto"/>
              <w:right w:val="nil"/>
            </w:tcBorders>
            <w:vAlign w:val="center"/>
            <w:hideMark/>
          </w:tcPr>
          <w:p w14:paraId="5BEBA889" w14:textId="58BCB94B"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0.8</w:t>
            </w:r>
            <w:r w:rsidR="00796287" w:rsidRPr="00361437">
              <w:rPr>
                <w:rFonts w:ascii="Arial" w:eastAsia="Times New Roman" w:hAnsi="Arial" w:cs="Arial"/>
                <w:sz w:val="20"/>
              </w:rPr>
              <w:t>011</w:t>
            </w:r>
          </w:p>
        </w:tc>
        <w:tc>
          <w:tcPr>
            <w:tcW w:w="994" w:type="dxa"/>
            <w:tcBorders>
              <w:top w:val="nil"/>
              <w:left w:val="nil"/>
              <w:bottom w:val="single" w:sz="4" w:space="0" w:color="auto"/>
              <w:right w:val="nil"/>
            </w:tcBorders>
            <w:vAlign w:val="center"/>
          </w:tcPr>
          <w:p w14:paraId="7AAD6E67" w14:textId="77777777" w:rsidR="00032E88" w:rsidRPr="00361437" w:rsidRDefault="00032E88" w:rsidP="00032E88">
            <w:pPr>
              <w:spacing w:line="256" w:lineRule="auto"/>
              <w:jc w:val="center"/>
              <w:rPr>
                <w:rFonts w:ascii="Arial" w:eastAsia="Times New Roman" w:hAnsi="Arial" w:cs="Arial"/>
                <w:sz w:val="20"/>
              </w:rPr>
            </w:pPr>
          </w:p>
        </w:tc>
        <w:tc>
          <w:tcPr>
            <w:tcW w:w="236" w:type="dxa"/>
            <w:tcBorders>
              <w:top w:val="nil"/>
              <w:left w:val="nil"/>
              <w:bottom w:val="single" w:sz="4" w:space="0" w:color="auto"/>
              <w:right w:val="nil"/>
            </w:tcBorders>
            <w:vAlign w:val="center"/>
          </w:tcPr>
          <w:p w14:paraId="6A714F11" w14:textId="77777777" w:rsidR="00032E88" w:rsidRPr="00361437" w:rsidRDefault="00032E88" w:rsidP="00032E88">
            <w:pPr>
              <w:spacing w:line="256" w:lineRule="auto"/>
              <w:jc w:val="center"/>
              <w:rPr>
                <w:rFonts w:ascii="Arial" w:eastAsia="Times New Roman" w:hAnsi="Arial" w:cs="Arial"/>
                <w:sz w:val="20"/>
              </w:rPr>
            </w:pPr>
          </w:p>
        </w:tc>
        <w:tc>
          <w:tcPr>
            <w:tcW w:w="1207" w:type="dxa"/>
            <w:tcBorders>
              <w:top w:val="nil"/>
              <w:left w:val="nil"/>
              <w:bottom w:val="single" w:sz="4" w:space="0" w:color="auto"/>
              <w:right w:val="nil"/>
            </w:tcBorders>
            <w:noWrap/>
            <w:vAlign w:val="center"/>
            <w:hideMark/>
          </w:tcPr>
          <w:p w14:paraId="17F31D83" w14:textId="598A30FD"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0.8</w:t>
            </w:r>
            <w:r w:rsidR="00796287" w:rsidRPr="00361437">
              <w:rPr>
                <w:rFonts w:ascii="Arial" w:eastAsia="Times New Roman" w:hAnsi="Arial" w:cs="Arial"/>
                <w:sz w:val="20"/>
              </w:rPr>
              <w:t>011</w:t>
            </w:r>
          </w:p>
        </w:tc>
        <w:tc>
          <w:tcPr>
            <w:tcW w:w="1045" w:type="dxa"/>
            <w:tcBorders>
              <w:top w:val="nil"/>
              <w:left w:val="nil"/>
              <w:bottom w:val="single" w:sz="4" w:space="0" w:color="auto"/>
              <w:right w:val="nil"/>
            </w:tcBorders>
            <w:noWrap/>
            <w:vAlign w:val="center"/>
          </w:tcPr>
          <w:p w14:paraId="64BFF85D" w14:textId="77777777" w:rsidR="00032E88" w:rsidRPr="00361437" w:rsidRDefault="00032E88" w:rsidP="00032E88">
            <w:pPr>
              <w:spacing w:line="256" w:lineRule="auto"/>
              <w:jc w:val="center"/>
              <w:rPr>
                <w:rFonts w:ascii="Arial" w:eastAsia="Times New Roman" w:hAnsi="Arial" w:cs="Arial"/>
                <w:sz w:val="20"/>
              </w:rPr>
            </w:pPr>
          </w:p>
        </w:tc>
      </w:tr>
    </w:tbl>
    <w:p w14:paraId="4DA6A4D8" w14:textId="77777777" w:rsidR="00032E88" w:rsidRPr="00361437" w:rsidRDefault="00032E88" w:rsidP="00032E88">
      <w:pPr>
        <w:rPr>
          <w:rFonts w:ascii="Arial" w:eastAsia="Calibri" w:hAnsi="Arial" w:cs="Arial"/>
          <w:sz w:val="20"/>
        </w:rPr>
        <w:sectPr w:rsidR="00032E88" w:rsidRPr="00361437" w:rsidSect="000E77D9">
          <w:pgSz w:w="16838" w:h="11906" w:orient="landscape" w:code="9"/>
          <w:pgMar w:top="1152" w:right="1440" w:bottom="1152" w:left="1440" w:header="576" w:footer="0" w:gutter="0"/>
          <w:cols w:space="720"/>
        </w:sectPr>
      </w:pPr>
    </w:p>
    <w:p w14:paraId="4258B49C" w14:textId="77777777" w:rsidR="00032E88" w:rsidRPr="00361437" w:rsidRDefault="00032E88" w:rsidP="00032E88">
      <w:pPr>
        <w:rPr>
          <w:rFonts w:ascii="Arial" w:hAnsi="Arial" w:cs="Arial"/>
          <w:sz w:val="20"/>
        </w:rPr>
      </w:pPr>
    </w:p>
    <w:tbl>
      <w:tblPr>
        <w:tblW w:w="0" w:type="auto"/>
        <w:tblLayout w:type="fixed"/>
        <w:tblLook w:val="04A0" w:firstRow="1" w:lastRow="0" w:firstColumn="1" w:lastColumn="0" w:noHBand="0" w:noVBand="1"/>
      </w:tblPr>
      <w:tblGrid>
        <w:gridCol w:w="4229"/>
        <w:gridCol w:w="1262"/>
        <w:gridCol w:w="987"/>
        <w:gridCol w:w="246"/>
        <w:gridCol w:w="1217"/>
        <w:gridCol w:w="1085"/>
      </w:tblGrid>
      <w:tr w:rsidR="00032E88" w:rsidRPr="00361437" w14:paraId="35FF1554" w14:textId="77777777" w:rsidTr="006F39AD">
        <w:trPr>
          <w:trHeight w:val="360"/>
        </w:trPr>
        <w:tc>
          <w:tcPr>
            <w:tcW w:w="9026" w:type="dxa"/>
            <w:gridSpan w:val="6"/>
            <w:tcBorders>
              <w:left w:val="nil"/>
              <w:bottom w:val="nil"/>
              <w:right w:val="nil"/>
            </w:tcBorders>
            <w:noWrap/>
            <w:vAlign w:val="center"/>
            <w:hideMark/>
          </w:tcPr>
          <w:p w14:paraId="60158E40" w14:textId="77777777" w:rsidR="00032E88" w:rsidRPr="00361437" w:rsidRDefault="00032E88">
            <w:pPr>
              <w:spacing w:line="256" w:lineRule="auto"/>
              <w:rPr>
                <w:rFonts w:ascii="Arial" w:eastAsia="Times New Roman" w:hAnsi="Arial" w:cs="Arial"/>
                <w:i/>
                <w:sz w:val="20"/>
              </w:rPr>
            </w:pPr>
            <w:r w:rsidRPr="00361437">
              <w:rPr>
                <w:rFonts w:ascii="Arial" w:hAnsi="Arial" w:cs="Arial"/>
                <w:i/>
                <w:sz w:val="20"/>
              </w:rPr>
              <w:t>Panel B: Proposals grouped by whether creditor interests are aligned with management’s</w:t>
            </w:r>
          </w:p>
        </w:tc>
      </w:tr>
      <w:tr w:rsidR="00032E88" w:rsidRPr="00361437" w14:paraId="08321187" w14:textId="77777777" w:rsidTr="00032E88">
        <w:tc>
          <w:tcPr>
            <w:tcW w:w="4229" w:type="dxa"/>
            <w:tcBorders>
              <w:top w:val="single" w:sz="4" w:space="0" w:color="auto"/>
              <w:left w:val="nil"/>
              <w:bottom w:val="nil"/>
              <w:right w:val="nil"/>
            </w:tcBorders>
            <w:noWrap/>
            <w:vAlign w:val="center"/>
          </w:tcPr>
          <w:p w14:paraId="15E1F675" w14:textId="77777777" w:rsidR="00032E88" w:rsidRPr="00361437" w:rsidRDefault="00032E88">
            <w:pPr>
              <w:spacing w:line="256" w:lineRule="auto"/>
              <w:rPr>
                <w:rFonts w:ascii="Arial" w:eastAsia="Times New Roman" w:hAnsi="Arial" w:cs="Arial"/>
                <w:sz w:val="20"/>
              </w:rPr>
            </w:pPr>
          </w:p>
        </w:tc>
        <w:tc>
          <w:tcPr>
            <w:tcW w:w="2249" w:type="dxa"/>
            <w:gridSpan w:val="2"/>
            <w:tcBorders>
              <w:top w:val="single" w:sz="4" w:space="0" w:color="auto"/>
              <w:left w:val="nil"/>
              <w:bottom w:val="nil"/>
              <w:right w:val="nil"/>
            </w:tcBorders>
            <w:noWrap/>
            <w:vAlign w:val="center"/>
            <w:hideMark/>
          </w:tcPr>
          <w:p w14:paraId="18B8B029"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Creditor interests = Management interests</w:t>
            </w:r>
          </w:p>
        </w:tc>
        <w:tc>
          <w:tcPr>
            <w:tcW w:w="246" w:type="dxa"/>
            <w:tcBorders>
              <w:top w:val="single" w:sz="4" w:space="0" w:color="auto"/>
              <w:left w:val="nil"/>
              <w:bottom w:val="nil"/>
              <w:right w:val="nil"/>
            </w:tcBorders>
            <w:vAlign w:val="center"/>
          </w:tcPr>
          <w:p w14:paraId="004ADD94" w14:textId="77777777" w:rsidR="00032E88" w:rsidRPr="00361437" w:rsidRDefault="00032E88">
            <w:pPr>
              <w:spacing w:line="256" w:lineRule="auto"/>
              <w:jc w:val="center"/>
              <w:rPr>
                <w:rFonts w:ascii="Arial" w:eastAsia="Times New Roman" w:hAnsi="Arial" w:cs="Arial"/>
                <w:sz w:val="20"/>
              </w:rPr>
            </w:pPr>
          </w:p>
        </w:tc>
        <w:tc>
          <w:tcPr>
            <w:tcW w:w="2302" w:type="dxa"/>
            <w:gridSpan w:val="2"/>
            <w:tcBorders>
              <w:top w:val="single" w:sz="4" w:space="0" w:color="auto"/>
              <w:left w:val="nil"/>
              <w:bottom w:val="nil"/>
              <w:right w:val="nil"/>
            </w:tcBorders>
            <w:noWrap/>
            <w:vAlign w:val="center"/>
            <w:hideMark/>
          </w:tcPr>
          <w:p w14:paraId="53233195"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Creditor interests ≠ Management interests</w:t>
            </w:r>
          </w:p>
        </w:tc>
      </w:tr>
      <w:tr w:rsidR="00032E88" w:rsidRPr="00361437" w14:paraId="4D607E28" w14:textId="77777777" w:rsidTr="00032E88">
        <w:tc>
          <w:tcPr>
            <w:tcW w:w="4229" w:type="dxa"/>
            <w:noWrap/>
            <w:vAlign w:val="center"/>
          </w:tcPr>
          <w:p w14:paraId="03D7153B" w14:textId="77777777" w:rsidR="00032E88" w:rsidRPr="00361437" w:rsidRDefault="00032E88">
            <w:pPr>
              <w:spacing w:line="256" w:lineRule="auto"/>
              <w:rPr>
                <w:rFonts w:ascii="Arial" w:eastAsia="Times New Roman" w:hAnsi="Arial" w:cs="Arial"/>
                <w:sz w:val="20"/>
              </w:rPr>
            </w:pPr>
          </w:p>
        </w:tc>
        <w:tc>
          <w:tcPr>
            <w:tcW w:w="2249" w:type="dxa"/>
            <w:gridSpan w:val="2"/>
            <w:tcBorders>
              <w:top w:val="nil"/>
              <w:left w:val="nil"/>
              <w:bottom w:val="single" w:sz="4" w:space="0" w:color="auto"/>
              <w:right w:val="nil"/>
            </w:tcBorders>
            <w:noWrap/>
            <w:vAlign w:val="center"/>
            <w:hideMark/>
          </w:tcPr>
          <w:p w14:paraId="6D5619D9"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Model 1</w:t>
            </w:r>
          </w:p>
        </w:tc>
        <w:tc>
          <w:tcPr>
            <w:tcW w:w="246" w:type="dxa"/>
            <w:vAlign w:val="center"/>
          </w:tcPr>
          <w:p w14:paraId="1B2A9A7D" w14:textId="77777777" w:rsidR="00032E88" w:rsidRPr="00361437" w:rsidRDefault="00032E88">
            <w:pPr>
              <w:spacing w:line="256" w:lineRule="auto"/>
              <w:jc w:val="center"/>
              <w:rPr>
                <w:rFonts w:ascii="Arial" w:eastAsia="Times New Roman" w:hAnsi="Arial" w:cs="Arial"/>
                <w:sz w:val="20"/>
              </w:rPr>
            </w:pPr>
          </w:p>
        </w:tc>
        <w:tc>
          <w:tcPr>
            <w:tcW w:w="2302" w:type="dxa"/>
            <w:gridSpan w:val="2"/>
            <w:tcBorders>
              <w:top w:val="nil"/>
              <w:left w:val="nil"/>
              <w:bottom w:val="single" w:sz="4" w:space="0" w:color="auto"/>
              <w:right w:val="nil"/>
            </w:tcBorders>
            <w:noWrap/>
            <w:vAlign w:val="center"/>
            <w:hideMark/>
          </w:tcPr>
          <w:p w14:paraId="4C755C3D"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Model 2</w:t>
            </w:r>
          </w:p>
        </w:tc>
      </w:tr>
      <w:tr w:rsidR="00032E88" w:rsidRPr="00361437" w14:paraId="54BF6002" w14:textId="77777777" w:rsidTr="00032E88">
        <w:tc>
          <w:tcPr>
            <w:tcW w:w="4229" w:type="dxa"/>
            <w:tcBorders>
              <w:top w:val="nil"/>
              <w:left w:val="nil"/>
              <w:bottom w:val="single" w:sz="4" w:space="0" w:color="auto"/>
              <w:right w:val="nil"/>
            </w:tcBorders>
            <w:noWrap/>
            <w:vAlign w:val="center"/>
          </w:tcPr>
          <w:p w14:paraId="09D490E3" w14:textId="77777777" w:rsidR="00032E88" w:rsidRPr="00361437" w:rsidRDefault="00032E88">
            <w:pPr>
              <w:spacing w:line="256" w:lineRule="auto"/>
              <w:rPr>
                <w:rFonts w:ascii="Arial" w:eastAsia="Times New Roman" w:hAnsi="Arial" w:cs="Arial"/>
                <w:sz w:val="20"/>
              </w:rPr>
            </w:pPr>
          </w:p>
        </w:tc>
        <w:tc>
          <w:tcPr>
            <w:tcW w:w="1262" w:type="dxa"/>
            <w:tcBorders>
              <w:top w:val="single" w:sz="4" w:space="0" w:color="auto"/>
              <w:left w:val="nil"/>
              <w:bottom w:val="single" w:sz="4" w:space="0" w:color="auto"/>
              <w:right w:val="nil"/>
            </w:tcBorders>
            <w:noWrap/>
            <w:vAlign w:val="center"/>
            <w:hideMark/>
          </w:tcPr>
          <w:p w14:paraId="3AC70B76"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987" w:type="dxa"/>
            <w:tcBorders>
              <w:top w:val="single" w:sz="4" w:space="0" w:color="auto"/>
              <w:left w:val="nil"/>
              <w:bottom w:val="single" w:sz="4" w:space="0" w:color="auto"/>
              <w:right w:val="nil"/>
            </w:tcBorders>
            <w:noWrap/>
            <w:vAlign w:val="center"/>
            <w:hideMark/>
          </w:tcPr>
          <w:p w14:paraId="010F9426"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c>
          <w:tcPr>
            <w:tcW w:w="246" w:type="dxa"/>
            <w:tcBorders>
              <w:top w:val="nil"/>
              <w:left w:val="nil"/>
              <w:bottom w:val="single" w:sz="4" w:space="0" w:color="auto"/>
              <w:right w:val="nil"/>
            </w:tcBorders>
            <w:vAlign w:val="center"/>
          </w:tcPr>
          <w:p w14:paraId="4DB326F5" w14:textId="77777777" w:rsidR="00032E88" w:rsidRPr="00361437" w:rsidRDefault="00032E88">
            <w:pPr>
              <w:spacing w:line="256" w:lineRule="auto"/>
              <w:jc w:val="center"/>
              <w:rPr>
                <w:rFonts w:ascii="Arial" w:eastAsia="Times New Roman" w:hAnsi="Arial" w:cs="Arial"/>
                <w:sz w:val="20"/>
              </w:rPr>
            </w:pPr>
          </w:p>
        </w:tc>
        <w:tc>
          <w:tcPr>
            <w:tcW w:w="1217" w:type="dxa"/>
            <w:tcBorders>
              <w:top w:val="nil"/>
              <w:left w:val="nil"/>
              <w:bottom w:val="single" w:sz="4" w:space="0" w:color="auto"/>
              <w:right w:val="nil"/>
            </w:tcBorders>
            <w:noWrap/>
            <w:vAlign w:val="center"/>
            <w:hideMark/>
          </w:tcPr>
          <w:p w14:paraId="6CEA64D6"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1085" w:type="dxa"/>
            <w:tcBorders>
              <w:top w:val="nil"/>
              <w:left w:val="nil"/>
              <w:bottom w:val="single" w:sz="4" w:space="0" w:color="auto"/>
              <w:right w:val="nil"/>
            </w:tcBorders>
            <w:noWrap/>
            <w:vAlign w:val="center"/>
            <w:hideMark/>
          </w:tcPr>
          <w:p w14:paraId="772B5741"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r>
      <w:tr w:rsidR="00032E88" w:rsidRPr="00361437" w14:paraId="5C808E79" w14:textId="77777777" w:rsidTr="00032E88">
        <w:tc>
          <w:tcPr>
            <w:tcW w:w="4229" w:type="dxa"/>
            <w:noWrap/>
            <w:vAlign w:val="center"/>
            <w:hideMark/>
          </w:tcPr>
          <w:p w14:paraId="4CD30F42" w14:textId="367FCDC2" w:rsidR="00032E88" w:rsidRPr="00361437" w:rsidRDefault="009F6C4A">
            <w:pPr>
              <w:spacing w:line="256" w:lineRule="auto"/>
              <w:rPr>
                <w:rFonts w:ascii="Arial" w:eastAsia="Times New Roman" w:hAnsi="Arial" w:cs="Arial"/>
                <w:color w:val="000000" w:themeColor="text1"/>
                <w:sz w:val="20"/>
              </w:rPr>
            </w:pPr>
            <w:r w:rsidRPr="00361437">
              <w:rPr>
                <w:rFonts w:ascii="Arial" w:eastAsia="Times New Roman" w:hAnsi="Arial" w:cs="Arial"/>
                <w:color w:val="000000" w:themeColor="text1"/>
                <w:sz w:val="18"/>
              </w:rPr>
              <w:t>FAMILY_DEBT_FRACTION × DISTRESS_(0,1)</w:t>
            </w:r>
          </w:p>
        </w:tc>
        <w:tc>
          <w:tcPr>
            <w:tcW w:w="1262" w:type="dxa"/>
            <w:noWrap/>
            <w:vAlign w:val="bottom"/>
            <w:hideMark/>
          </w:tcPr>
          <w:p w14:paraId="57FD2B58" w14:textId="0D40E928" w:rsidR="00032E88" w:rsidRPr="00361437" w:rsidRDefault="00032E88">
            <w:pPr>
              <w:tabs>
                <w:tab w:val="decimal" w:pos="279"/>
              </w:tabs>
              <w:spacing w:line="256" w:lineRule="auto"/>
              <w:rPr>
                <w:rFonts w:ascii="Arial" w:hAnsi="Arial" w:cs="Arial"/>
                <w:color w:val="000000" w:themeColor="text1"/>
                <w:sz w:val="20"/>
              </w:rPr>
            </w:pPr>
            <w:r w:rsidRPr="00361437">
              <w:rPr>
                <w:rFonts w:ascii="Arial" w:hAnsi="Arial" w:cs="Arial"/>
                <w:color w:val="000000" w:themeColor="text1"/>
                <w:sz w:val="20"/>
              </w:rPr>
              <w:t>0.</w:t>
            </w:r>
            <w:r w:rsidR="00DF45C5" w:rsidRPr="00361437">
              <w:rPr>
                <w:rFonts w:ascii="Arial" w:hAnsi="Arial" w:cs="Arial"/>
                <w:color w:val="000000" w:themeColor="text1"/>
                <w:sz w:val="20"/>
              </w:rPr>
              <w:t>4</w:t>
            </w:r>
            <w:r w:rsidR="00A459BD" w:rsidRPr="00361437">
              <w:rPr>
                <w:rFonts w:ascii="Arial" w:hAnsi="Arial" w:cs="Arial"/>
                <w:color w:val="000000" w:themeColor="text1"/>
                <w:sz w:val="20"/>
              </w:rPr>
              <w:t>641</w:t>
            </w:r>
            <w:r w:rsidRPr="00361437">
              <w:rPr>
                <w:rFonts w:ascii="Arial" w:hAnsi="Arial" w:cs="Arial"/>
                <w:color w:val="000000" w:themeColor="text1"/>
                <w:sz w:val="20"/>
                <w:vertAlign w:val="superscript"/>
              </w:rPr>
              <w:t>**</w:t>
            </w:r>
          </w:p>
        </w:tc>
        <w:tc>
          <w:tcPr>
            <w:tcW w:w="987" w:type="dxa"/>
            <w:noWrap/>
            <w:vAlign w:val="bottom"/>
            <w:hideMark/>
          </w:tcPr>
          <w:p w14:paraId="2674BD0A" w14:textId="0285FD36" w:rsidR="00032E88" w:rsidRPr="00361437" w:rsidRDefault="00032E88">
            <w:pPr>
              <w:tabs>
                <w:tab w:val="decimal" w:pos="279"/>
              </w:tabs>
              <w:spacing w:line="256" w:lineRule="auto"/>
              <w:rPr>
                <w:rFonts w:ascii="Arial" w:hAnsi="Arial" w:cs="Arial"/>
                <w:color w:val="000000" w:themeColor="text1"/>
                <w:sz w:val="20"/>
              </w:rPr>
            </w:pPr>
            <w:r w:rsidRPr="00361437">
              <w:rPr>
                <w:rFonts w:ascii="Arial" w:hAnsi="Arial" w:cs="Arial"/>
                <w:color w:val="000000" w:themeColor="text1"/>
                <w:sz w:val="20"/>
              </w:rPr>
              <w:t>0.0</w:t>
            </w:r>
            <w:r w:rsidR="00E14FE4" w:rsidRPr="00361437">
              <w:rPr>
                <w:rFonts w:ascii="Arial" w:hAnsi="Arial" w:cs="Arial"/>
                <w:color w:val="000000" w:themeColor="text1"/>
                <w:sz w:val="20"/>
              </w:rPr>
              <w:t>366</w:t>
            </w:r>
          </w:p>
        </w:tc>
        <w:tc>
          <w:tcPr>
            <w:tcW w:w="246" w:type="dxa"/>
            <w:vAlign w:val="bottom"/>
          </w:tcPr>
          <w:p w14:paraId="6784FBF3" w14:textId="77777777" w:rsidR="00032E88" w:rsidRPr="00361437" w:rsidRDefault="00032E88">
            <w:pPr>
              <w:tabs>
                <w:tab w:val="decimal" w:pos="279"/>
              </w:tabs>
              <w:spacing w:line="256" w:lineRule="auto"/>
              <w:rPr>
                <w:rFonts w:ascii="Arial" w:hAnsi="Arial" w:cs="Arial"/>
                <w:color w:val="000000" w:themeColor="text1"/>
                <w:sz w:val="20"/>
              </w:rPr>
            </w:pPr>
          </w:p>
        </w:tc>
        <w:tc>
          <w:tcPr>
            <w:tcW w:w="1217" w:type="dxa"/>
            <w:noWrap/>
            <w:vAlign w:val="bottom"/>
            <w:hideMark/>
          </w:tcPr>
          <w:p w14:paraId="73C298E1" w14:textId="1D2568B0" w:rsidR="00032E88" w:rsidRPr="00361437" w:rsidRDefault="00032E88">
            <w:pPr>
              <w:tabs>
                <w:tab w:val="decimal" w:pos="279"/>
              </w:tabs>
              <w:spacing w:line="256" w:lineRule="auto"/>
              <w:rPr>
                <w:rFonts w:ascii="Arial" w:hAnsi="Arial" w:cs="Arial"/>
                <w:color w:val="000000" w:themeColor="text1"/>
                <w:sz w:val="20"/>
              </w:rPr>
            </w:pPr>
            <w:r w:rsidRPr="00361437">
              <w:rPr>
                <w:rFonts w:ascii="Arial" w:hAnsi="Arial" w:cs="Arial"/>
                <w:color w:val="000000" w:themeColor="text1"/>
                <w:sz w:val="20"/>
              </w:rPr>
              <w:t>0.</w:t>
            </w:r>
            <w:r w:rsidR="00A459BD" w:rsidRPr="00361437">
              <w:rPr>
                <w:rFonts w:ascii="Arial" w:hAnsi="Arial" w:cs="Arial"/>
                <w:color w:val="000000" w:themeColor="text1"/>
                <w:sz w:val="20"/>
              </w:rPr>
              <w:t>1751</w:t>
            </w:r>
            <w:r w:rsidRPr="00361437">
              <w:rPr>
                <w:rFonts w:ascii="Arial" w:hAnsi="Arial" w:cs="Arial"/>
                <w:color w:val="000000" w:themeColor="text1"/>
                <w:sz w:val="20"/>
                <w:vertAlign w:val="superscript"/>
              </w:rPr>
              <w:t>**</w:t>
            </w:r>
          </w:p>
        </w:tc>
        <w:tc>
          <w:tcPr>
            <w:tcW w:w="1085" w:type="dxa"/>
            <w:noWrap/>
            <w:vAlign w:val="bottom"/>
            <w:hideMark/>
          </w:tcPr>
          <w:p w14:paraId="0B6FD665" w14:textId="4CA775AC" w:rsidR="00032E88" w:rsidRPr="00361437" w:rsidRDefault="00032E88">
            <w:pPr>
              <w:tabs>
                <w:tab w:val="decimal" w:pos="279"/>
              </w:tabs>
              <w:spacing w:line="256" w:lineRule="auto"/>
              <w:rPr>
                <w:rFonts w:ascii="Arial" w:hAnsi="Arial" w:cs="Arial"/>
                <w:color w:val="000000" w:themeColor="text1"/>
                <w:sz w:val="20"/>
              </w:rPr>
            </w:pPr>
            <w:r w:rsidRPr="00361437">
              <w:rPr>
                <w:rFonts w:ascii="Arial" w:hAnsi="Arial" w:cs="Arial"/>
                <w:color w:val="000000" w:themeColor="text1"/>
                <w:sz w:val="20"/>
              </w:rPr>
              <w:t>0.0</w:t>
            </w:r>
            <w:r w:rsidR="00E14FE4" w:rsidRPr="00361437">
              <w:rPr>
                <w:rFonts w:ascii="Arial" w:hAnsi="Arial" w:cs="Arial"/>
                <w:color w:val="000000" w:themeColor="text1"/>
                <w:sz w:val="20"/>
              </w:rPr>
              <w:t>41</w:t>
            </w:r>
            <w:r w:rsidR="00A459BD" w:rsidRPr="00361437">
              <w:rPr>
                <w:rFonts w:ascii="Arial" w:hAnsi="Arial" w:cs="Arial"/>
                <w:color w:val="000000" w:themeColor="text1"/>
                <w:sz w:val="20"/>
              </w:rPr>
              <w:t>2</w:t>
            </w:r>
          </w:p>
        </w:tc>
      </w:tr>
      <w:tr w:rsidR="00032E88" w:rsidRPr="00361437" w14:paraId="4E0E43C7" w14:textId="77777777" w:rsidTr="006F39AD">
        <w:tc>
          <w:tcPr>
            <w:tcW w:w="4229" w:type="dxa"/>
            <w:noWrap/>
            <w:vAlign w:val="center"/>
            <w:hideMark/>
          </w:tcPr>
          <w:p w14:paraId="4AE6911F" w14:textId="77777777" w:rsidR="00032E88" w:rsidRPr="00361437" w:rsidRDefault="00032E88">
            <w:pPr>
              <w:spacing w:line="256" w:lineRule="auto"/>
              <w:rPr>
                <w:rFonts w:ascii="Arial" w:eastAsia="Times New Roman" w:hAnsi="Arial" w:cs="Arial"/>
                <w:sz w:val="20"/>
              </w:rPr>
            </w:pPr>
            <w:r w:rsidRPr="00361437">
              <w:rPr>
                <w:rFonts w:ascii="Arial" w:eastAsia="Times New Roman" w:hAnsi="Arial" w:cs="Arial"/>
                <w:sz w:val="20"/>
              </w:rPr>
              <w:t>Other controls as in Panel A Model 2</w:t>
            </w:r>
          </w:p>
        </w:tc>
        <w:tc>
          <w:tcPr>
            <w:tcW w:w="1262" w:type="dxa"/>
            <w:noWrap/>
            <w:vAlign w:val="center"/>
            <w:hideMark/>
          </w:tcPr>
          <w:p w14:paraId="0A5A31F3"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Yes</w:t>
            </w:r>
          </w:p>
        </w:tc>
        <w:tc>
          <w:tcPr>
            <w:tcW w:w="987" w:type="dxa"/>
            <w:noWrap/>
            <w:vAlign w:val="center"/>
          </w:tcPr>
          <w:p w14:paraId="413AE908" w14:textId="77777777" w:rsidR="00032E88" w:rsidRPr="00361437" w:rsidRDefault="00032E88">
            <w:pPr>
              <w:spacing w:line="256" w:lineRule="auto"/>
              <w:jc w:val="center"/>
              <w:rPr>
                <w:rFonts w:ascii="Arial" w:eastAsia="Times New Roman" w:hAnsi="Arial" w:cs="Arial"/>
                <w:sz w:val="20"/>
              </w:rPr>
            </w:pPr>
          </w:p>
        </w:tc>
        <w:tc>
          <w:tcPr>
            <w:tcW w:w="246" w:type="dxa"/>
            <w:vAlign w:val="center"/>
          </w:tcPr>
          <w:p w14:paraId="0C0AA2C3" w14:textId="77777777" w:rsidR="00032E88" w:rsidRPr="00361437" w:rsidRDefault="00032E88">
            <w:pPr>
              <w:spacing w:line="256" w:lineRule="auto"/>
              <w:jc w:val="center"/>
              <w:rPr>
                <w:rFonts w:ascii="Arial" w:eastAsia="Times New Roman" w:hAnsi="Arial" w:cs="Arial"/>
                <w:sz w:val="20"/>
              </w:rPr>
            </w:pPr>
          </w:p>
        </w:tc>
        <w:tc>
          <w:tcPr>
            <w:tcW w:w="1217" w:type="dxa"/>
            <w:noWrap/>
            <w:vAlign w:val="center"/>
            <w:hideMark/>
          </w:tcPr>
          <w:p w14:paraId="0F12D7ED"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Yes</w:t>
            </w:r>
          </w:p>
        </w:tc>
        <w:tc>
          <w:tcPr>
            <w:tcW w:w="1085" w:type="dxa"/>
            <w:noWrap/>
            <w:vAlign w:val="center"/>
          </w:tcPr>
          <w:p w14:paraId="60F264B4" w14:textId="77777777" w:rsidR="00032E88" w:rsidRPr="00361437" w:rsidRDefault="00032E88">
            <w:pPr>
              <w:spacing w:line="256" w:lineRule="auto"/>
              <w:jc w:val="center"/>
              <w:rPr>
                <w:rFonts w:ascii="Arial" w:eastAsia="Times New Roman" w:hAnsi="Arial" w:cs="Arial"/>
                <w:sz w:val="20"/>
              </w:rPr>
            </w:pPr>
          </w:p>
        </w:tc>
      </w:tr>
      <w:tr w:rsidR="00032E88" w:rsidRPr="00361437" w14:paraId="660BD5D1" w14:textId="77777777" w:rsidTr="006F39AD">
        <w:tc>
          <w:tcPr>
            <w:tcW w:w="4229" w:type="dxa"/>
            <w:tcBorders>
              <w:bottom w:val="single" w:sz="4" w:space="0" w:color="auto"/>
            </w:tcBorders>
            <w:noWrap/>
            <w:vAlign w:val="center"/>
            <w:hideMark/>
          </w:tcPr>
          <w:p w14:paraId="144B02D6" w14:textId="77777777" w:rsidR="00032E88" w:rsidRPr="00361437" w:rsidRDefault="00032E88">
            <w:pPr>
              <w:spacing w:line="256" w:lineRule="auto"/>
              <w:rPr>
                <w:rFonts w:ascii="Arial" w:eastAsia="Times New Roman" w:hAnsi="Arial" w:cs="Arial"/>
                <w:sz w:val="20"/>
              </w:rPr>
            </w:pPr>
            <w:r w:rsidRPr="00361437">
              <w:rPr>
                <w:rFonts w:ascii="Arial" w:eastAsia="Times New Roman" w:hAnsi="Arial" w:cs="Arial"/>
                <w:sz w:val="20"/>
              </w:rPr>
              <w:t>N</w:t>
            </w:r>
          </w:p>
        </w:tc>
        <w:tc>
          <w:tcPr>
            <w:tcW w:w="1262" w:type="dxa"/>
            <w:tcBorders>
              <w:bottom w:val="single" w:sz="4" w:space="0" w:color="auto"/>
            </w:tcBorders>
            <w:noWrap/>
            <w:vAlign w:val="center"/>
            <w:hideMark/>
          </w:tcPr>
          <w:p w14:paraId="1CB8818B" w14:textId="68D0DC41"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1</w:t>
            </w:r>
            <w:r w:rsidR="00A459BD" w:rsidRPr="00361437">
              <w:rPr>
                <w:rFonts w:ascii="Arial" w:eastAsia="Times New Roman" w:hAnsi="Arial" w:cs="Arial"/>
                <w:sz w:val="20"/>
              </w:rPr>
              <w:t>3</w:t>
            </w:r>
            <w:r w:rsidRPr="00361437">
              <w:rPr>
                <w:rFonts w:ascii="Arial" w:eastAsia="Times New Roman" w:hAnsi="Arial" w:cs="Arial"/>
                <w:sz w:val="20"/>
              </w:rPr>
              <w:t>,</w:t>
            </w:r>
            <w:r w:rsidR="00A459BD" w:rsidRPr="00361437">
              <w:rPr>
                <w:rFonts w:ascii="Arial" w:eastAsia="Times New Roman" w:hAnsi="Arial" w:cs="Arial"/>
                <w:sz w:val="20"/>
              </w:rPr>
              <w:t>384</w:t>
            </w:r>
          </w:p>
        </w:tc>
        <w:tc>
          <w:tcPr>
            <w:tcW w:w="987" w:type="dxa"/>
            <w:tcBorders>
              <w:bottom w:val="single" w:sz="4" w:space="0" w:color="auto"/>
            </w:tcBorders>
            <w:noWrap/>
            <w:vAlign w:val="center"/>
          </w:tcPr>
          <w:p w14:paraId="6D4E7501" w14:textId="77777777" w:rsidR="00032E88" w:rsidRPr="00361437" w:rsidRDefault="00032E88">
            <w:pPr>
              <w:spacing w:line="256" w:lineRule="auto"/>
              <w:jc w:val="center"/>
              <w:rPr>
                <w:rFonts w:ascii="Arial" w:eastAsia="Times New Roman" w:hAnsi="Arial" w:cs="Arial"/>
                <w:sz w:val="20"/>
              </w:rPr>
            </w:pPr>
          </w:p>
        </w:tc>
        <w:tc>
          <w:tcPr>
            <w:tcW w:w="246" w:type="dxa"/>
            <w:tcBorders>
              <w:bottom w:val="single" w:sz="4" w:space="0" w:color="auto"/>
            </w:tcBorders>
            <w:vAlign w:val="center"/>
          </w:tcPr>
          <w:p w14:paraId="75EB9A73" w14:textId="77777777" w:rsidR="00032E88" w:rsidRPr="00361437" w:rsidRDefault="00032E88">
            <w:pPr>
              <w:spacing w:line="256" w:lineRule="auto"/>
              <w:jc w:val="center"/>
              <w:rPr>
                <w:rFonts w:ascii="Arial" w:eastAsia="Times New Roman" w:hAnsi="Arial" w:cs="Arial"/>
                <w:sz w:val="20"/>
              </w:rPr>
            </w:pPr>
          </w:p>
        </w:tc>
        <w:tc>
          <w:tcPr>
            <w:tcW w:w="1217" w:type="dxa"/>
            <w:tcBorders>
              <w:bottom w:val="single" w:sz="4" w:space="0" w:color="auto"/>
            </w:tcBorders>
            <w:noWrap/>
            <w:vAlign w:val="center"/>
            <w:hideMark/>
          </w:tcPr>
          <w:p w14:paraId="6A912DFA" w14:textId="7B5F24A3" w:rsidR="00032E88" w:rsidRPr="00361437" w:rsidRDefault="00A459BD">
            <w:pPr>
              <w:spacing w:line="256" w:lineRule="auto"/>
              <w:jc w:val="center"/>
              <w:rPr>
                <w:rFonts w:ascii="Arial" w:eastAsia="Times New Roman" w:hAnsi="Arial" w:cs="Arial"/>
                <w:sz w:val="20"/>
              </w:rPr>
            </w:pPr>
            <w:r w:rsidRPr="00361437">
              <w:rPr>
                <w:rFonts w:ascii="Arial" w:eastAsia="Times New Roman" w:hAnsi="Arial" w:cs="Arial"/>
                <w:sz w:val="20"/>
              </w:rPr>
              <w:t>39,361</w:t>
            </w:r>
          </w:p>
        </w:tc>
        <w:tc>
          <w:tcPr>
            <w:tcW w:w="1085" w:type="dxa"/>
            <w:tcBorders>
              <w:bottom w:val="single" w:sz="4" w:space="0" w:color="auto"/>
            </w:tcBorders>
            <w:noWrap/>
            <w:vAlign w:val="center"/>
          </w:tcPr>
          <w:p w14:paraId="5E9DC7EE" w14:textId="77777777" w:rsidR="00032E88" w:rsidRPr="00361437" w:rsidRDefault="00032E88">
            <w:pPr>
              <w:spacing w:line="256" w:lineRule="auto"/>
              <w:jc w:val="center"/>
              <w:rPr>
                <w:rFonts w:ascii="Arial" w:eastAsia="Times New Roman" w:hAnsi="Arial" w:cs="Arial"/>
                <w:sz w:val="20"/>
              </w:rPr>
            </w:pPr>
          </w:p>
        </w:tc>
      </w:tr>
    </w:tbl>
    <w:p w14:paraId="6F16A364" w14:textId="77777777" w:rsidR="00032E88" w:rsidRPr="00361437" w:rsidRDefault="00032E88" w:rsidP="00032E88">
      <w:pPr>
        <w:spacing w:before="100" w:beforeAutospacing="1" w:after="100" w:afterAutospacing="1"/>
        <w:contextualSpacing/>
        <w:rPr>
          <w:rFonts w:ascii="Arial" w:hAnsi="Arial" w:cs="Arial"/>
          <w:sz w:val="20"/>
        </w:rPr>
      </w:pPr>
    </w:p>
    <w:tbl>
      <w:tblPr>
        <w:tblW w:w="0" w:type="auto"/>
        <w:tblLayout w:type="fixed"/>
        <w:tblLook w:val="04A0" w:firstRow="1" w:lastRow="0" w:firstColumn="1" w:lastColumn="0" w:noHBand="0" w:noVBand="1"/>
      </w:tblPr>
      <w:tblGrid>
        <w:gridCol w:w="4229"/>
        <w:gridCol w:w="1350"/>
        <w:gridCol w:w="899"/>
        <w:gridCol w:w="246"/>
        <w:gridCol w:w="1217"/>
        <w:gridCol w:w="1085"/>
      </w:tblGrid>
      <w:tr w:rsidR="00032E88" w:rsidRPr="00361437" w14:paraId="25C2B1BF" w14:textId="77777777" w:rsidTr="006F39AD">
        <w:trPr>
          <w:trHeight w:val="360"/>
        </w:trPr>
        <w:tc>
          <w:tcPr>
            <w:tcW w:w="9026" w:type="dxa"/>
            <w:gridSpan w:val="6"/>
            <w:tcBorders>
              <w:left w:val="nil"/>
              <w:bottom w:val="nil"/>
              <w:right w:val="nil"/>
            </w:tcBorders>
            <w:noWrap/>
            <w:vAlign w:val="center"/>
            <w:hideMark/>
          </w:tcPr>
          <w:p w14:paraId="528725D1" w14:textId="77777777" w:rsidR="00032E88" w:rsidRPr="00361437" w:rsidRDefault="00032E88">
            <w:pPr>
              <w:spacing w:line="256" w:lineRule="auto"/>
              <w:rPr>
                <w:rFonts w:ascii="Arial" w:eastAsia="Times New Roman" w:hAnsi="Arial" w:cs="Arial"/>
                <w:i/>
                <w:sz w:val="20"/>
              </w:rPr>
            </w:pPr>
            <w:r w:rsidRPr="00361437">
              <w:rPr>
                <w:rFonts w:ascii="Arial" w:hAnsi="Arial" w:cs="Arial"/>
                <w:i/>
                <w:sz w:val="20"/>
              </w:rPr>
              <w:br w:type="page"/>
              <w:t>Panel C: Proposals grouped by whether creditor interests are aligned with ISS’s</w:t>
            </w:r>
          </w:p>
        </w:tc>
      </w:tr>
      <w:tr w:rsidR="00032E88" w:rsidRPr="00361437" w14:paraId="606CA7F4" w14:textId="77777777" w:rsidTr="00032E88">
        <w:tc>
          <w:tcPr>
            <w:tcW w:w="4229" w:type="dxa"/>
            <w:tcBorders>
              <w:top w:val="single" w:sz="4" w:space="0" w:color="auto"/>
              <w:left w:val="nil"/>
              <w:bottom w:val="nil"/>
              <w:right w:val="nil"/>
            </w:tcBorders>
            <w:noWrap/>
            <w:vAlign w:val="center"/>
          </w:tcPr>
          <w:p w14:paraId="3929B8AA" w14:textId="77777777" w:rsidR="00032E88" w:rsidRPr="00361437" w:rsidRDefault="00032E88">
            <w:pPr>
              <w:spacing w:line="256" w:lineRule="auto"/>
              <w:rPr>
                <w:rFonts w:ascii="Arial" w:eastAsia="Times New Roman" w:hAnsi="Arial" w:cs="Arial"/>
                <w:sz w:val="20"/>
              </w:rPr>
            </w:pPr>
          </w:p>
        </w:tc>
        <w:tc>
          <w:tcPr>
            <w:tcW w:w="2249" w:type="dxa"/>
            <w:gridSpan w:val="2"/>
            <w:tcBorders>
              <w:top w:val="single" w:sz="4" w:space="0" w:color="auto"/>
              <w:left w:val="nil"/>
              <w:bottom w:val="nil"/>
              <w:right w:val="nil"/>
            </w:tcBorders>
            <w:noWrap/>
            <w:vAlign w:val="center"/>
            <w:hideMark/>
          </w:tcPr>
          <w:p w14:paraId="109E2827"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 xml:space="preserve">Creditor interests = </w:t>
            </w:r>
          </w:p>
          <w:p w14:paraId="1E772435"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ISS interests</w:t>
            </w:r>
          </w:p>
        </w:tc>
        <w:tc>
          <w:tcPr>
            <w:tcW w:w="246" w:type="dxa"/>
            <w:tcBorders>
              <w:top w:val="single" w:sz="4" w:space="0" w:color="auto"/>
              <w:left w:val="nil"/>
              <w:bottom w:val="nil"/>
              <w:right w:val="nil"/>
            </w:tcBorders>
            <w:vAlign w:val="center"/>
          </w:tcPr>
          <w:p w14:paraId="5BB4B608" w14:textId="77777777" w:rsidR="00032E88" w:rsidRPr="00361437" w:rsidRDefault="00032E88">
            <w:pPr>
              <w:spacing w:line="256" w:lineRule="auto"/>
              <w:jc w:val="center"/>
              <w:rPr>
                <w:rFonts w:ascii="Arial" w:eastAsia="Times New Roman" w:hAnsi="Arial" w:cs="Arial"/>
                <w:sz w:val="20"/>
              </w:rPr>
            </w:pPr>
          </w:p>
        </w:tc>
        <w:tc>
          <w:tcPr>
            <w:tcW w:w="2302" w:type="dxa"/>
            <w:gridSpan w:val="2"/>
            <w:tcBorders>
              <w:top w:val="single" w:sz="4" w:space="0" w:color="auto"/>
              <w:left w:val="nil"/>
              <w:bottom w:val="nil"/>
              <w:right w:val="nil"/>
            </w:tcBorders>
            <w:noWrap/>
            <w:vAlign w:val="center"/>
            <w:hideMark/>
          </w:tcPr>
          <w:p w14:paraId="3EB83443"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 xml:space="preserve">Creditor interests ≠ </w:t>
            </w:r>
          </w:p>
          <w:p w14:paraId="3BB9C2A2"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ISS interests</w:t>
            </w:r>
          </w:p>
        </w:tc>
      </w:tr>
      <w:tr w:rsidR="00032E88" w:rsidRPr="00361437" w14:paraId="07836950" w14:textId="77777777" w:rsidTr="00032E88">
        <w:tc>
          <w:tcPr>
            <w:tcW w:w="4229" w:type="dxa"/>
            <w:noWrap/>
            <w:vAlign w:val="center"/>
          </w:tcPr>
          <w:p w14:paraId="43741315" w14:textId="77777777" w:rsidR="00032E88" w:rsidRPr="00361437" w:rsidRDefault="00032E88">
            <w:pPr>
              <w:spacing w:line="256" w:lineRule="auto"/>
              <w:rPr>
                <w:rFonts w:ascii="Arial" w:eastAsia="Times New Roman" w:hAnsi="Arial" w:cs="Arial"/>
                <w:sz w:val="20"/>
              </w:rPr>
            </w:pPr>
          </w:p>
        </w:tc>
        <w:tc>
          <w:tcPr>
            <w:tcW w:w="2249" w:type="dxa"/>
            <w:gridSpan w:val="2"/>
            <w:tcBorders>
              <w:top w:val="nil"/>
              <w:left w:val="nil"/>
              <w:bottom w:val="single" w:sz="4" w:space="0" w:color="auto"/>
              <w:right w:val="nil"/>
            </w:tcBorders>
            <w:noWrap/>
            <w:vAlign w:val="center"/>
            <w:hideMark/>
          </w:tcPr>
          <w:p w14:paraId="570CE57E"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Model 1</w:t>
            </w:r>
          </w:p>
        </w:tc>
        <w:tc>
          <w:tcPr>
            <w:tcW w:w="246" w:type="dxa"/>
            <w:vAlign w:val="center"/>
          </w:tcPr>
          <w:p w14:paraId="24CCFCF3" w14:textId="77777777" w:rsidR="00032E88" w:rsidRPr="00361437" w:rsidRDefault="00032E88">
            <w:pPr>
              <w:spacing w:line="256" w:lineRule="auto"/>
              <w:jc w:val="center"/>
              <w:rPr>
                <w:rFonts w:ascii="Arial" w:eastAsia="Times New Roman" w:hAnsi="Arial" w:cs="Arial"/>
                <w:sz w:val="20"/>
              </w:rPr>
            </w:pPr>
          </w:p>
        </w:tc>
        <w:tc>
          <w:tcPr>
            <w:tcW w:w="2302" w:type="dxa"/>
            <w:gridSpan w:val="2"/>
            <w:tcBorders>
              <w:top w:val="nil"/>
              <w:left w:val="nil"/>
              <w:bottom w:val="single" w:sz="4" w:space="0" w:color="auto"/>
              <w:right w:val="nil"/>
            </w:tcBorders>
            <w:noWrap/>
            <w:vAlign w:val="center"/>
            <w:hideMark/>
          </w:tcPr>
          <w:p w14:paraId="6710B883"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Model 2</w:t>
            </w:r>
          </w:p>
        </w:tc>
      </w:tr>
      <w:tr w:rsidR="00032E88" w:rsidRPr="00361437" w14:paraId="7156350C" w14:textId="77777777" w:rsidTr="00032E88">
        <w:tc>
          <w:tcPr>
            <w:tcW w:w="4229" w:type="dxa"/>
            <w:tcBorders>
              <w:top w:val="nil"/>
              <w:left w:val="nil"/>
              <w:bottom w:val="single" w:sz="4" w:space="0" w:color="auto"/>
              <w:right w:val="nil"/>
            </w:tcBorders>
            <w:noWrap/>
            <w:vAlign w:val="center"/>
          </w:tcPr>
          <w:p w14:paraId="576BCEDE" w14:textId="77777777" w:rsidR="00032E88" w:rsidRPr="00361437" w:rsidRDefault="00032E88">
            <w:pPr>
              <w:spacing w:line="256" w:lineRule="auto"/>
              <w:rPr>
                <w:rFonts w:ascii="Arial" w:eastAsia="Times New Roman" w:hAnsi="Arial" w:cs="Arial"/>
                <w:sz w:val="20"/>
              </w:rPr>
            </w:pPr>
          </w:p>
        </w:tc>
        <w:tc>
          <w:tcPr>
            <w:tcW w:w="1350" w:type="dxa"/>
            <w:tcBorders>
              <w:top w:val="single" w:sz="4" w:space="0" w:color="auto"/>
              <w:left w:val="nil"/>
              <w:bottom w:val="single" w:sz="4" w:space="0" w:color="auto"/>
              <w:right w:val="nil"/>
            </w:tcBorders>
            <w:noWrap/>
            <w:vAlign w:val="center"/>
            <w:hideMark/>
          </w:tcPr>
          <w:p w14:paraId="5DEC0C50"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899" w:type="dxa"/>
            <w:tcBorders>
              <w:top w:val="single" w:sz="4" w:space="0" w:color="auto"/>
              <w:left w:val="nil"/>
              <w:bottom w:val="single" w:sz="4" w:space="0" w:color="auto"/>
              <w:right w:val="nil"/>
            </w:tcBorders>
            <w:noWrap/>
            <w:vAlign w:val="center"/>
            <w:hideMark/>
          </w:tcPr>
          <w:p w14:paraId="43A147F5"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c>
          <w:tcPr>
            <w:tcW w:w="246" w:type="dxa"/>
            <w:tcBorders>
              <w:top w:val="nil"/>
              <w:left w:val="nil"/>
              <w:bottom w:val="single" w:sz="4" w:space="0" w:color="auto"/>
              <w:right w:val="nil"/>
            </w:tcBorders>
            <w:vAlign w:val="center"/>
          </w:tcPr>
          <w:p w14:paraId="1D525540" w14:textId="77777777" w:rsidR="00032E88" w:rsidRPr="00361437" w:rsidRDefault="00032E88">
            <w:pPr>
              <w:spacing w:line="256" w:lineRule="auto"/>
              <w:jc w:val="center"/>
              <w:rPr>
                <w:rFonts w:ascii="Arial" w:eastAsia="Times New Roman" w:hAnsi="Arial" w:cs="Arial"/>
                <w:sz w:val="20"/>
              </w:rPr>
            </w:pPr>
          </w:p>
        </w:tc>
        <w:tc>
          <w:tcPr>
            <w:tcW w:w="1217" w:type="dxa"/>
            <w:tcBorders>
              <w:top w:val="nil"/>
              <w:left w:val="nil"/>
              <w:bottom w:val="single" w:sz="4" w:space="0" w:color="auto"/>
              <w:right w:val="nil"/>
            </w:tcBorders>
            <w:noWrap/>
            <w:vAlign w:val="center"/>
            <w:hideMark/>
          </w:tcPr>
          <w:p w14:paraId="7A9D4A85"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1085" w:type="dxa"/>
            <w:tcBorders>
              <w:top w:val="nil"/>
              <w:left w:val="nil"/>
              <w:bottom w:val="single" w:sz="4" w:space="0" w:color="auto"/>
              <w:right w:val="nil"/>
            </w:tcBorders>
            <w:noWrap/>
            <w:vAlign w:val="center"/>
            <w:hideMark/>
          </w:tcPr>
          <w:p w14:paraId="7F40BB16"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r>
      <w:tr w:rsidR="00032E88" w:rsidRPr="00361437" w14:paraId="04037FC5" w14:textId="77777777" w:rsidTr="00032E88">
        <w:tc>
          <w:tcPr>
            <w:tcW w:w="4229" w:type="dxa"/>
            <w:noWrap/>
            <w:vAlign w:val="center"/>
            <w:hideMark/>
          </w:tcPr>
          <w:p w14:paraId="133E0985" w14:textId="47831A54" w:rsidR="00032E88" w:rsidRPr="00361437" w:rsidRDefault="009F6C4A">
            <w:pPr>
              <w:spacing w:line="256" w:lineRule="auto"/>
              <w:rPr>
                <w:rFonts w:ascii="Arial" w:eastAsia="Times New Roman" w:hAnsi="Arial" w:cs="Arial"/>
                <w:color w:val="000000" w:themeColor="text1"/>
                <w:sz w:val="20"/>
              </w:rPr>
            </w:pPr>
            <w:r w:rsidRPr="00361437">
              <w:rPr>
                <w:rFonts w:ascii="Arial" w:eastAsia="Times New Roman" w:hAnsi="Arial" w:cs="Arial"/>
                <w:color w:val="000000" w:themeColor="text1"/>
                <w:sz w:val="18"/>
              </w:rPr>
              <w:t>FAMILY_DEBT_FRACTION × DISTRESS_(0,1)</w:t>
            </w:r>
          </w:p>
        </w:tc>
        <w:tc>
          <w:tcPr>
            <w:tcW w:w="1350" w:type="dxa"/>
            <w:noWrap/>
            <w:vAlign w:val="bottom"/>
            <w:hideMark/>
          </w:tcPr>
          <w:p w14:paraId="4DFFE60B" w14:textId="0F598ED7" w:rsidR="00032E88" w:rsidRPr="00361437" w:rsidRDefault="00032E88">
            <w:pPr>
              <w:tabs>
                <w:tab w:val="decimal" w:pos="298"/>
              </w:tabs>
              <w:spacing w:line="256" w:lineRule="auto"/>
              <w:rPr>
                <w:rFonts w:ascii="Arial" w:hAnsi="Arial" w:cs="Arial"/>
                <w:color w:val="000000" w:themeColor="text1"/>
                <w:sz w:val="20"/>
              </w:rPr>
            </w:pPr>
            <w:r w:rsidRPr="00361437">
              <w:rPr>
                <w:rFonts w:ascii="Arial" w:hAnsi="Arial" w:cs="Arial"/>
                <w:color w:val="000000" w:themeColor="text1"/>
                <w:sz w:val="20"/>
              </w:rPr>
              <w:t>0.1</w:t>
            </w:r>
            <w:r w:rsidR="00DF45C5" w:rsidRPr="00361437">
              <w:rPr>
                <w:rFonts w:ascii="Arial" w:hAnsi="Arial" w:cs="Arial"/>
                <w:color w:val="000000" w:themeColor="text1"/>
                <w:sz w:val="20"/>
              </w:rPr>
              <w:t>303</w:t>
            </w:r>
            <w:r w:rsidRPr="00361437">
              <w:rPr>
                <w:rFonts w:ascii="Arial" w:hAnsi="Arial" w:cs="Arial"/>
                <w:color w:val="000000" w:themeColor="text1"/>
                <w:sz w:val="20"/>
                <w:vertAlign w:val="superscript"/>
              </w:rPr>
              <w:t>*</w:t>
            </w:r>
            <w:r w:rsidR="00DF45C5" w:rsidRPr="00361437">
              <w:rPr>
                <w:rFonts w:ascii="Arial" w:hAnsi="Arial" w:cs="Arial"/>
                <w:color w:val="000000" w:themeColor="text1"/>
                <w:sz w:val="20"/>
                <w:vertAlign w:val="superscript"/>
              </w:rPr>
              <w:t>*</w:t>
            </w:r>
            <w:r w:rsidRPr="00361437">
              <w:rPr>
                <w:rFonts w:ascii="Arial" w:hAnsi="Arial" w:cs="Arial"/>
                <w:color w:val="000000" w:themeColor="text1"/>
                <w:sz w:val="20"/>
                <w:vertAlign w:val="superscript"/>
              </w:rPr>
              <w:t>*</w:t>
            </w:r>
          </w:p>
        </w:tc>
        <w:tc>
          <w:tcPr>
            <w:tcW w:w="899" w:type="dxa"/>
            <w:noWrap/>
            <w:vAlign w:val="bottom"/>
            <w:hideMark/>
          </w:tcPr>
          <w:p w14:paraId="6D290CB5" w14:textId="73B55A63" w:rsidR="00032E88" w:rsidRPr="00361437" w:rsidRDefault="00032E88">
            <w:pPr>
              <w:tabs>
                <w:tab w:val="decimal" w:pos="298"/>
              </w:tabs>
              <w:spacing w:line="256" w:lineRule="auto"/>
              <w:rPr>
                <w:rFonts w:ascii="Arial" w:hAnsi="Arial" w:cs="Arial"/>
                <w:color w:val="000000" w:themeColor="text1"/>
                <w:sz w:val="20"/>
              </w:rPr>
            </w:pPr>
            <w:r w:rsidRPr="00361437">
              <w:rPr>
                <w:rFonts w:ascii="Arial" w:hAnsi="Arial" w:cs="Arial"/>
                <w:color w:val="000000" w:themeColor="text1"/>
                <w:sz w:val="20"/>
              </w:rPr>
              <w:t>0.0</w:t>
            </w:r>
            <w:r w:rsidR="00DF45C5" w:rsidRPr="00361437">
              <w:rPr>
                <w:rFonts w:ascii="Arial" w:hAnsi="Arial" w:cs="Arial"/>
                <w:color w:val="000000" w:themeColor="text1"/>
                <w:sz w:val="20"/>
              </w:rPr>
              <w:t>000</w:t>
            </w:r>
          </w:p>
        </w:tc>
        <w:tc>
          <w:tcPr>
            <w:tcW w:w="246" w:type="dxa"/>
            <w:vAlign w:val="bottom"/>
          </w:tcPr>
          <w:p w14:paraId="5AD97E5A" w14:textId="77777777" w:rsidR="00032E88" w:rsidRPr="00361437" w:rsidRDefault="00032E88">
            <w:pPr>
              <w:tabs>
                <w:tab w:val="decimal" w:pos="298"/>
              </w:tabs>
              <w:spacing w:line="256" w:lineRule="auto"/>
              <w:rPr>
                <w:rFonts w:ascii="Arial" w:hAnsi="Arial" w:cs="Arial"/>
                <w:color w:val="000000" w:themeColor="text1"/>
                <w:sz w:val="20"/>
              </w:rPr>
            </w:pPr>
          </w:p>
        </w:tc>
        <w:tc>
          <w:tcPr>
            <w:tcW w:w="1217" w:type="dxa"/>
            <w:noWrap/>
            <w:vAlign w:val="bottom"/>
            <w:hideMark/>
          </w:tcPr>
          <w:p w14:paraId="64D1339C" w14:textId="2BE4ABAF" w:rsidR="00032E88" w:rsidRPr="00361437" w:rsidRDefault="00032E88">
            <w:pPr>
              <w:tabs>
                <w:tab w:val="decimal" w:pos="298"/>
              </w:tabs>
              <w:spacing w:line="256" w:lineRule="auto"/>
              <w:rPr>
                <w:rFonts w:ascii="Arial" w:hAnsi="Arial" w:cs="Arial"/>
                <w:color w:val="000000" w:themeColor="text1"/>
                <w:sz w:val="20"/>
              </w:rPr>
            </w:pPr>
            <w:r w:rsidRPr="00361437">
              <w:rPr>
                <w:rFonts w:ascii="Arial" w:hAnsi="Arial" w:cs="Arial"/>
                <w:color w:val="000000" w:themeColor="text1"/>
                <w:sz w:val="20"/>
              </w:rPr>
              <w:t>0.</w:t>
            </w:r>
            <w:r w:rsidR="002E12FF" w:rsidRPr="00361437">
              <w:rPr>
                <w:rFonts w:ascii="Arial" w:hAnsi="Arial" w:cs="Arial"/>
                <w:color w:val="000000" w:themeColor="text1"/>
                <w:sz w:val="20"/>
              </w:rPr>
              <w:t>0</w:t>
            </w:r>
            <w:r w:rsidR="0098339B" w:rsidRPr="00361437">
              <w:rPr>
                <w:rFonts w:ascii="Arial" w:hAnsi="Arial" w:cs="Arial"/>
                <w:color w:val="000000" w:themeColor="text1"/>
                <w:sz w:val="20"/>
              </w:rPr>
              <w:t>513</w:t>
            </w:r>
            <w:r w:rsidRPr="00361437">
              <w:rPr>
                <w:rFonts w:ascii="Arial" w:hAnsi="Arial" w:cs="Arial"/>
                <w:color w:val="000000" w:themeColor="text1"/>
                <w:sz w:val="20"/>
                <w:vertAlign w:val="superscript"/>
              </w:rPr>
              <w:t>**</w:t>
            </w:r>
          </w:p>
        </w:tc>
        <w:tc>
          <w:tcPr>
            <w:tcW w:w="1085" w:type="dxa"/>
            <w:noWrap/>
            <w:vAlign w:val="bottom"/>
            <w:hideMark/>
          </w:tcPr>
          <w:p w14:paraId="48B5DD9C" w14:textId="30D1577A" w:rsidR="00032E88" w:rsidRPr="00361437" w:rsidRDefault="00032E88">
            <w:pPr>
              <w:tabs>
                <w:tab w:val="decimal" w:pos="298"/>
              </w:tabs>
              <w:spacing w:line="256" w:lineRule="auto"/>
              <w:rPr>
                <w:rFonts w:ascii="Arial" w:hAnsi="Arial" w:cs="Arial"/>
                <w:color w:val="000000" w:themeColor="text1"/>
                <w:sz w:val="20"/>
              </w:rPr>
            </w:pPr>
            <w:r w:rsidRPr="00361437">
              <w:rPr>
                <w:rFonts w:ascii="Arial" w:hAnsi="Arial" w:cs="Arial"/>
                <w:color w:val="000000" w:themeColor="text1"/>
                <w:sz w:val="20"/>
              </w:rPr>
              <w:t>0.0</w:t>
            </w:r>
            <w:r w:rsidR="0098339B" w:rsidRPr="00361437">
              <w:rPr>
                <w:rFonts w:ascii="Arial" w:hAnsi="Arial" w:cs="Arial"/>
                <w:color w:val="000000" w:themeColor="text1"/>
                <w:sz w:val="20"/>
              </w:rPr>
              <w:t>206</w:t>
            </w:r>
          </w:p>
        </w:tc>
      </w:tr>
      <w:tr w:rsidR="00032E88" w:rsidRPr="00361437" w14:paraId="573F9DFF" w14:textId="77777777" w:rsidTr="006F39AD">
        <w:tc>
          <w:tcPr>
            <w:tcW w:w="4229" w:type="dxa"/>
            <w:noWrap/>
            <w:vAlign w:val="center"/>
            <w:hideMark/>
          </w:tcPr>
          <w:p w14:paraId="154950BB" w14:textId="131EE8D5" w:rsidR="00032E88" w:rsidRPr="00361437" w:rsidRDefault="00032E88">
            <w:pPr>
              <w:spacing w:line="256" w:lineRule="auto"/>
              <w:rPr>
                <w:rFonts w:ascii="Arial" w:eastAsia="Times New Roman" w:hAnsi="Arial" w:cs="Arial"/>
                <w:sz w:val="20"/>
              </w:rPr>
            </w:pPr>
            <w:r w:rsidRPr="00361437">
              <w:rPr>
                <w:rFonts w:ascii="Arial" w:eastAsia="Times New Roman" w:hAnsi="Arial" w:cs="Arial"/>
                <w:sz w:val="20"/>
              </w:rPr>
              <w:t>Other controls as in Panel A Model 2</w:t>
            </w:r>
            <w:r w:rsidR="006F39AD" w:rsidRPr="00361437">
              <w:rPr>
                <w:rFonts w:ascii="Arial" w:eastAsia="Times New Roman" w:hAnsi="Arial" w:cs="Arial"/>
                <w:sz w:val="20"/>
              </w:rPr>
              <w:t xml:space="preserve"> excluding </w:t>
            </w:r>
            <w:r w:rsidR="000659CB" w:rsidRPr="00361437">
              <w:rPr>
                <w:rFonts w:ascii="Arial" w:eastAsia="Times New Roman" w:hAnsi="Arial" w:cs="Arial"/>
                <w:sz w:val="18"/>
              </w:rPr>
              <w:t>ISS_WITH_CREDITORS_(0,1)</w:t>
            </w:r>
            <w:r w:rsidR="006F39AD" w:rsidRPr="00361437">
              <w:rPr>
                <w:rFonts w:ascii="Arial" w:eastAsia="Times New Roman" w:hAnsi="Arial" w:cs="Arial"/>
                <w:sz w:val="20"/>
              </w:rPr>
              <w:t xml:space="preserve"> </w:t>
            </w:r>
          </w:p>
        </w:tc>
        <w:tc>
          <w:tcPr>
            <w:tcW w:w="1350" w:type="dxa"/>
            <w:noWrap/>
            <w:vAlign w:val="center"/>
            <w:hideMark/>
          </w:tcPr>
          <w:p w14:paraId="38AAD732"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Yes</w:t>
            </w:r>
          </w:p>
        </w:tc>
        <w:tc>
          <w:tcPr>
            <w:tcW w:w="899" w:type="dxa"/>
            <w:noWrap/>
            <w:vAlign w:val="center"/>
          </w:tcPr>
          <w:p w14:paraId="0D0E7B06" w14:textId="77777777" w:rsidR="00032E88" w:rsidRPr="00361437" w:rsidRDefault="00032E88">
            <w:pPr>
              <w:spacing w:line="256" w:lineRule="auto"/>
              <w:jc w:val="center"/>
              <w:rPr>
                <w:rFonts w:ascii="Arial" w:eastAsia="Times New Roman" w:hAnsi="Arial" w:cs="Arial"/>
                <w:sz w:val="20"/>
              </w:rPr>
            </w:pPr>
          </w:p>
        </w:tc>
        <w:tc>
          <w:tcPr>
            <w:tcW w:w="246" w:type="dxa"/>
            <w:vAlign w:val="center"/>
          </w:tcPr>
          <w:p w14:paraId="7F925132" w14:textId="77777777" w:rsidR="00032E88" w:rsidRPr="00361437" w:rsidRDefault="00032E88">
            <w:pPr>
              <w:spacing w:line="256" w:lineRule="auto"/>
              <w:jc w:val="center"/>
              <w:rPr>
                <w:rFonts w:ascii="Arial" w:eastAsia="Times New Roman" w:hAnsi="Arial" w:cs="Arial"/>
                <w:sz w:val="20"/>
              </w:rPr>
            </w:pPr>
          </w:p>
        </w:tc>
        <w:tc>
          <w:tcPr>
            <w:tcW w:w="1217" w:type="dxa"/>
            <w:noWrap/>
            <w:vAlign w:val="center"/>
            <w:hideMark/>
          </w:tcPr>
          <w:p w14:paraId="2B41D7F6"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Yes</w:t>
            </w:r>
          </w:p>
        </w:tc>
        <w:tc>
          <w:tcPr>
            <w:tcW w:w="1085" w:type="dxa"/>
            <w:noWrap/>
            <w:vAlign w:val="center"/>
          </w:tcPr>
          <w:p w14:paraId="1806C852" w14:textId="77777777" w:rsidR="00032E88" w:rsidRPr="00361437" w:rsidRDefault="00032E88">
            <w:pPr>
              <w:spacing w:line="256" w:lineRule="auto"/>
              <w:jc w:val="center"/>
              <w:rPr>
                <w:rFonts w:ascii="Arial" w:eastAsia="Times New Roman" w:hAnsi="Arial" w:cs="Arial"/>
                <w:sz w:val="20"/>
              </w:rPr>
            </w:pPr>
          </w:p>
        </w:tc>
      </w:tr>
      <w:tr w:rsidR="00032E88" w:rsidRPr="00361437" w14:paraId="3B383272" w14:textId="77777777" w:rsidTr="006F39AD">
        <w:tc>
          <w:tcPr>
            <w:tcW w:w="4229" w:type="dxa"/>
            <w:tcBorders>
              <w:bottom w:val="single" w:sz="4" w:space="0" w:color="auto"/>
            </w:tcBorders>
            <w:noWrap/>
            <w:vAlign w:val="center"/>
            <w:hideMark/>
          </w:tcPr>
          <w:p w14:paraId="3E9D1FEC" w14:textId="77777777" w:rsidR="00032E88" w:rsidRPr="00361437" w:rsidRDefault="00032E88">
            <w:pPr>
              <w:spacing w:line="256" w:lineRule="auto"/>
              <w:rPr>
                <w:rFonts w:ascii="Arial" w:eastAsia="Times New Roman" w:hAnsi="Arial" w:cs="Arial"/>
                <w:sz w:val="20"/>
              </w:rPr>
            </w:pPr>
            <w:r w:rsidRPr="00361437">
              <w:rPr>
                <w:rFonts w:ascii="Arial" w:eastAsia="Times New Roman" w:hAnsi="Arial" w:cs="Arial"/>
                <w:sz w:val="20"/>
              </w:rPr>
              <w:t>N</w:t>
            </w:r>
          </w:p>
        </w:tc>
        <w:tc>
          <w:tcPr>
            <w:tcW w:w="1350" w:type="dxa"/>
            <w:tcBorders>
              <w:bottom w:val="single" w:sz="4" w:space="0" w:color="auto"/>
            </w:tcBorders>
            <w:noWrap/>
            <w:vAlign w:val="center"/>
            <w:hideMark/>
          </w:tcPr>
          <w:p w14:paraId="2CDE63DF" w14:textId="5392AF6B"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1</w:t>
            </w:r>
            <w:r w:rsidR="00DF45C5" w:rsidRPr="00361437">
              <w:rPr>
                <w:rFonts w:ascii="Arial" w:eastAsia="Times New Roman" w:hAnsi="Arial" w:cs="Arial"/>
                <w:sz w:val="20"/>
              </w:rPr>
              <w:t>2,65</w:t>
            </w:r>
            <w:r w:rsidRPr="00361437">
              <w:rPr>
                <w:rFonts w:ascii="Arial" w:eastAsia="Times New Roman" w:hAnsi="Arial" w:cs="Arial"/>
                <w:sz w:val="20"/>
              </w:rPr>
              <w:t>9</w:t>
            </w:r>
          </w:p>
        </w:tc>
        <w:tc>
          <w:tcPr>
            <w:tcW w:w="899" w:type="dxa"/>
            <w:tcBorders>
              <w:bottom w:val="single" w:sz="4" w:space="0" w:color="auto"/>
            </w:tcBorders>
            <w:noWrap/>
            <w:vAlign w:val="center"/>
          </w:tcPr>
          <w:p w14:paraId="6AAA3242" w14:textId="77777777" w:rsidR="00032E88" w:rsidRPr="00361437" w:rsidRDefault="00032E88">
            <w:pPr>
              <w:spacing w:line="256" w:lineRule="auto"/>
              <w:jc w:val="center"/>
              <w:rPr>
                <w:rFonts w:ascii="Arial" w:eastAsia="Times New Roman" w:hAnsi="Arial" w:cs="Arial"/>
                <w:sz w:val="20"/>
              </w:rPr>
            </w:pPr>
          </w:p>
        </w:tc>
        <w:tc>
          <w:tcPr>
            <w:tcW w:w="246" w:type="dxa"/>
            <w:tcBorders>
              <w:bottom w:val="single" w:sz="4" w:space="0" w:color="auto"/>
            </w:tcBorders>
            <w:vAlign w:val="center"/>
          </w:tcPr>
          <w:p w14:paraId="1E56FC6C" w14:textId="77777777" w:rsidR="00032E88" w:rsidRPr="00361437" w:rsidRDefault="00032E88">
            <w:pPr>
              <w:spacing w:line="256" w:lineRule="auto"/>
              <w:jc w:val="center"/>
              <w:rPr>
                <w:rFonts w:ascii="Arial" w:eastAsia="Times New Roman" w:hAnsi="Arial" w:cs="Arial"/>
                <w:sz w:val="20"/>
              </w:rPr>
            </w:pPr>
          </w:p>
        </w:tc>
        <w:tc>
          <w:tcPr>
            <w:tcW w:w="1217" w:type="dxa"/>
            <w:tcBorders>
              <w:bottom w:val="single" w:sz="4" w:space="0" w:color="auto"/>
            </w:tcBorders>
            <w:noWrap/>
            <w:vAlign w:val="center"/>
            <w:hideMark/>
          </w:tcPr>
          <w:p w14:paraId="0A1E8B09" w14:textId="1A035BF2"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4</w:t>
            </w:r>
            <w:r w:rsidR="00B43F17" w:rsidRPr="00361437">
              <w:rPr>
                <w:rFonts w:ascii="Arial" w:eastAsia="Times New Roman" w:hAnsi="Arial" w:cs="Arial"/>
                <w:sz w:val="20"/>
              </w:rPr>
              <w:t>0,08</w:t>
            </w:r>
            <w:r w:rsidRPr="00361437">
              <w:rPr>
                <w:rFonts w:ascii="Arial" w:eastAsia="Times New Roman" w:hAnsi="Arial" w:cs="Arial"/>
                <w:sz w:val="20"/>
              </w:rPr>
              <w:t>6</w:t>
            </w:r>
          </w:p>
        </w:tc>
        <w:tc>
          <w:tcPr>
            <w:tcW w:w="1085" w:type="dxa"/>
            <w:tcBorders>
              <w:bottom w:val="single" w:sz="4" w:space="0" w:color="auto"/>
            </w:tcBorders>
            <w:noWrap/>
            <w:vAlign w:val="center"/>
          </w:tcPr>
          <w:p w14:paraId="50C89CE7" w14:textId="77777777" w:rsidR="00032E88" w:rsidRPr="00361437" w:rsidRDefault="00032E88">
            <w:pPr>
              <w:spacing w:line="256" w:lineRule="auto"/>
              <w:jc w:val="center"/>
              <w:rPr>
                <w:rFonts w:ascii="Arial" w:eastAsia="Times New Roman" w:hAnsi="Arial" w:cs="Arial"/>
                <w:sz w:val="20"/>
              </w:rPr>
            </w:pPr>
          </w:p>
        </w:tc>
      </w:tr>
    </w:tbl>
    <w:p w14:paraId="75F401CC" w14:textId="77777777" w:rsidR="00032E88" w:rsidRPr="00361437" w:rsidRDefault="00032E88" w:rsidP="00032E88">
      <w:pPr>
        <w:spacing w:before="100" w:beforeAutospacing="1" w:after="100" w:afterAutospacing="1"/>
        <w:contextualSpacing/>
        <w:rPr>
          <w:rFonts w:ascii="Arial" w:hAnsi="Arial" w:cs="Arial"/>
          <w:sz w:val="20"/>
        </w:rPr>
      </w:pPr>
    </w:p>
    <w:tbl>
      <w:tblPr>
        <w:tblW w:w="0" w:type="auto"/>
        <w:tblLayout w:type="fixed"/>
        <w:tblLook w:val="04A0" w:firstRow="1" w:lastRow="0" w:firstColumn="1" w:lastColumn="0" w:noHBand="0" w:noVBand="1"/>
      </w:tblPr>
      <w:tblGrid>
        <w:gridCol w:w="2538"/>
        <w:gridCol w:w="1080"/>
        <w:gridCol w:w="901"/>
        <w:gridCol w:w="267"/>
        <w:gridCol w:w="1082"/>
        <w:gridCol w:w="901"/>
        <w:gridCol w:w="236"/>
        <w:gridCol w:w="1113"/>
        <w:gridCol w:w="900"/>
      </w:tblGrid>
      <w:tr w:rsidR="00032E88" w:rsidRPr="00361437" w14:paraId="7188E634" w14:textId="77777777" w:rsidTr="00D10EEF">
        <w:trPr>
          <w:trHeight w:val="360"/>
        </w:trPr>
        <w:tc>
          <w:tcPr>
            <w:tcW w:w="9018" w:type="dxa"/>
            <w:gridSpan w:val="9"/>
            <w:tcBorders>
              <w:left w:val="nil"/>
              <w:bottom w:val="single" w:sz="4" w:space="0" w:color="auto"/>
              <w:right w:val="nil"/>
            </w:tcBorders>
            <w:noWrap/>
            <w:vAlign w:val="center"/>
            <w:hideMark/>
          </w:tcPr>
          <w:p w14:paraId="2CF5ECC4" w14:textId="77777777" w:rsidR="00032E88" w:rsidRPr="00361437" w:rsidRDefault="00032E88">
            <w:pPr>
              <w:spacing w:line="256" w:lineRule="auto"/>
              <w:rPr>
                <w:rFonts w:ascii="Arial" w:eastAsia="Times New Roman" w:hAnsi="Arial" w:cs="Arial"/>
                <w:i/>
                <w:sz w:val="20"/>
              </w:rPr>
            </w:pPr>
            <w:r w:rsidRPr="00361437">
              <w:rPr>
                <w:rFonts w:ascii="Arial" w:hAnsi="Arial" w:cs="Arial"/>
                <w:i/>
                <w:sz w:val="20"/>
              </w:rPr>
              <w:t>Panel D: Placebo tests on voting policy using non-conflict proposals</w:t>
            </w:r>
          </w:p>
        </w:tc>
      </w:tr>
      <w:tr w:rsidR="00032E88" w:rsidRPr="00361437" w14:paraId="0022847E" w14:textId="77777777" w:rsidTr="00D10EEF">
        <w:tc>
          <w:tcPr>
            <w:tcW w:w="2538" w:type="dxa"/>
            <w:noWrap/>
            <w:vAlign w:val="center"/>
          </w:tcPr>
          <w:p w14:paraId="2BF45247" w14:textId="77777777" w:rsidR="00032E88" w:rsidRPr="00361437" w:rsidRDefault="00032E88">
            <w:pPr>
              <w:spacing w:line="256" w:lineRule="auto"/>
              <w:rPr>
                <w:rFonts w:ascii="Arial" w:eastAsia="Times New Roman" w:hAnsi="Arial" w:cs="Arial"/>
                <w:sz w:val="20"/>
              </w:rPr>
            </w:pPr>
          </w:p>
        </w:tc>
        <w:tc>
          <w:tcPr>
            <w:tcW w:w="1981" w:type="dxa"/>
            <w:gridSpan w:val="2"/>
            <w:noWrap/>
            <w:vAlign w:val="center"/>
            <w:hideMark/>
          </w:tcPr>
          <w:p w14:paraId="7C5594AA" w14:textId="29D6A037" w:rsidR="00032E88" w:rsidRPr="00361437" w:rsidRDefault="00032E88" w:rsidP="00D10EEF">
            <w:pPr>
              <w:spacing w:line="256" w:lineRule="auto"/>
              <w:jc w:val="center"/>
              <w:rPr>
                <w:rFonts w:ascii="Arial" w:eastAsia="Times New Roman" w:hAnsi="Arial" w:cs="Arial"/>
                <w:sz w:val="20"/>
              </w:rPr>
            </w:pPr>
            <w:r w:rsidRPr="00361437">
              <w:rPr>
                <w:rFonts w:ascii="Arial" w:eastAsia="Times New Roman" w:hAnsi="Arial" w:cs="Arial"/>
                <w:sz w:val="20"/>
              </w:rPr>
              <w:t>Director election</w:t>
            </w:r>
            <w:r w:rsidR="00D10EEF" w:rsidRPr="00361437">
              <w:rPr>
                <w:rFonts w:ascii="Arial" w:eastAsia="Times New Roman" w:hAnsi="Arial" w:cs="Arial"/>
                <w:sz w:val="20"/>
              </w:rPr>
              <w:t xml:space="preserve"> p</w:t>
            </w:r>
            <w:r w:rsidRPr="00361437">
              <w:rPr>
                <w:rFonts w:ascii="Arial" w:eastAsia="Times New Roman" w:hAnsi="Arial" w:cs="Arial"/>
                <w:sz w:val="20"/>
              </w:rPr>
              <w:t>roposals</w:t>
            </w:r>
          </w:p>
        </w:tc>
        <w:tc>
          <w:tcPr>
            <w:tcW w:w="267" w:type="dxa"/>
            <w:vAlign w:val="center"/>
          </w:tcPr>
          <w:p w14:paraId="7A35369D" w14:textId="77777777" w:rsidR="00032E88" w:rsidRPr="00361437" w:rsidRDefault="00032E88">
            <w:pPr>
              <w:spacing w:line="256" w:lineRule="auto"/>
              <w:jc w:val="center"/>
              <w:rPr>
                <w:rFonts w:ascii="Arial" w:eastAsia="Times New Roman" w:hAnsi="Arial" w:cs="Arial"/>
                <w:sz w:val="20"/>
              </w:rPr>
            </w:pPr>
          </w:p>
        </w:tc>
        <w:tc>
          <w:tcPr>
            <w:tcW w:w="1983" w:type="dxa"/>
            <w:gridSpan w:val="2"/>
            <w:noWrap/>
            <w:vAlign w:val="center"/>
            <w:hideMark/>
          </w:tcPr>
          <w:p w14:paraId="667D24C9"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Non-director election proposals</w:t>
            </w:r>
          </w:p>
        </w:tc>
        <w:tc>
          <w:tcPr>
            <w:tcW w:w="236" w:type="dxa"/>
            <w:vAlign w:val="center"/>
          </w:tcPr>
          <w:p w14:paraId="69F927AE" w14:textId="77777777" w:rsidR="00032E88" w:rsidRPr="00361437" w:rsidRDefault="00032E88">
            <w:pPr>
              <w:spacing w:line="256" w:lineRule="auto"/>
              <w:jc w:val="center"/>
              <w:rPr>
                <w:rFonts w:ascii="Arial" w:eastAsia="Times New Roman" w:hAnsi="Arial" w:cs="Arial"/>
                <w:sz w:val="20"/>
              </w:rPr>
            </w:pPr>
          </w:p>
        </w:tc>
        <w:tc>
          <w:tcPr>
            <w:tcW w:w="2013" w:type="dxa"/>
            <w:gridSpan w:val="2"/>
            <w:vAlign w:val="center"/>
            <w:hideMark/>
          </w:tcPr>
          <w:p w14:paraId="037A2678" w14:textId="30536107" w:rsidR="00032E88" w:rsidRPr="00361437" w:rsidRDefault="00032E88" w:rsidP="00D10EEF">
            <w:pPr>
              <w:spacing w:line="256" w:lineRule="auto"/>
              <w:jc w:val="center"/>
              <w:rPr>
                <w:rFonts w:ascii="Arial" w:eastAsia="Times New Roman" w:hAnsi="Arial" w:cs="Arial"/>
                <w:sz w:val="20"/>
              </w:rPr>
            </w:pPr>
            <w:r w:rsidRPr="00361437">
              <w:rPr>
                <w:rFonts w:ascii="Arial" w:eastAsia="Times New Roman" w:hAnsi="Arial" w:cs="Arial"/>
                <w:sz w:val="20"/>
              </w:rPr>
              <w:t>All non-conflict</w:t>
            </w:r>
            <w:r w:rsidR="00D10EEF" w:rsidRPr="00361437">
              <w:rPr>
                <w:rFonts w:ascii="Arial" w:eastAsia="Times New Roman" w:hAnsi="Arial" w:cs="Arial"/>
                <w:sz w:val="20"/>
              </w:rPr>
              <w:t xml:space="preserve"> p</w:t>
            </w:r>
            <w:r w:rsidRPr="00361437">
              <w:rPr>
                <w:rFonts w:ascii="Arial" w:eastAsia="Times New Roman" w:hAnsi="Arial" w:cs="Arial"/>
                <w:sz w:val="20"/>
              </w:rPr>
              <w:t>roposals</w:t>
            </w:r>
          </w:p>
        </w:tc>
      </w:tr>
      <w:tr w:rsidR="00032E88" w:rsidRPr="00361437" w14:paraId="489B37E6" w14:textId="77777777" w:rsidTr="00D10EEF">
        <w:tc>
          <w:tcPr>
            <w:tcW w:w="2538" w:type="dxa"/>
            <w:noWrap/>
            <w:vAlign w:val="center"/>
          </w:tcPr>
          <w:p w14:paraId="47418068" w14:textId="77777777" w:rsidR="00032E88" w:rsidRPr="00361437" w:rsidRDefault="00032E88">
            <w:pPr>
              <w:spacing w:line="256" w:lineRule="auto"/>
              <w:rPr>
                <w:rFonts w:ascii="Arial" w:eastAsia="Times New Roman" w:hAnsi="Arial" w:cs="Arial"/>
                <w:sz w:val="20"/>
              </w:rPr>
            </w:pPr>
          </w:p>
        </w:tc>
        <w:tc>
          <w:tcPr>
            <w:tcW w:w="1981" w:type="dxa"/>
            <w:gridSpan w:val="2"/>
            <w:tcBorders>
              <w:top w:val="nil"/>
              <w:left w:val="nil"/>
              <w:bottom w:val="single" w:sz="4" w:space="0" w:color="auto"/>
              <w:right w:val="nil"/>
            </w:tcBorders>
            <w:noWrap/>
            <w:vAlign w:val="center"/>
            <w:hideMark/>
          </w:tcPr>
          <w:p w14:paraId="36E7FD2F"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Model 1</w:t>
            </w:r>
          </w:p>
        </w:tc>
        <w:tc>
          <w:tcPr>
            <w:tcW w:w="267" w:type="dxa"/>
            <w:vAlign w:val="center"/>
          </w:tcPr>
          <w:p w14:paraId="7CE8CF69" w14:textId="77777777" w:rsidR="00032E88" w:rsidRPr="00361437" w:rsidRDefault="00032E88">
            <w:pPr>
              <w:spacing w:line="256" w:lineRule="auto"/>
              <w:jc w:val="center"/>
              <w:rPr>
                <w:rFonts w:ascii="Arial" w:eastAsia="Times New Roman" w:hAnsi="Arial" w:cs="Arial"/>
                <w:sz w:val="20"/>
              </w:rPr>
            </w:pPr>
          </w:p>
        </w:tc>
        <w:tc>
          <w:tcPr>
            <w:tcW w:w="1983" w:type="dxa"/>
            <w:gridSpan w:val="2"/>
            <w:tcBorders>
              <w:top w:val="nil"/>
              <w:left w:val="nil"/>
              <w:bottom w:val="single" w:sz="4" w:space="0" w:color="auto"/>
              <w:right w:val="nil"/>
            </w:tcBorders>
            <w:noWrap/>
            <w:vAlign w:val="center"/>
            <w:hideMark/>
          </w:tcPr>
          <w:p w14:paraId="0A69D919"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Model 2</w:t>
            </w:r>
          </w:p>
        </w:tc>
        <w:tc>
          <w:tcPr>
            <w:tcW w:w="236" w:type="dxa"/>
            <w:vAlign w:val="center"/>
          </w:tcPr>
          <w:p w14:paraId="19BA4191" w14:textId="77777777" w:rsidR="00032E88" w:rsidRPr="00361437" w:rsidRDefault="00032E88">
            <w:pPr>
              <w:spacing w:line="256" w:lineRule="auto"/>
              <w:jc w:val="center"/>
              <w:rPr>
                <w:rFonts w:ascii="Arial" w:eastAsia="Times New Roman" w:hAnsi="Arial" w:cs="Arial"/>
                <w:sz w:val="20"/>
              </w:rPr>
            </w:pPr>
          </w:p>
        </w:tc>
        <w:tc>
          <w:tcPr>
            <w:tcW w:w="2013" w:type="dxa"/>
            <w:gridSpan w:val="2"/>
            <w:tcBorders>
              <w:top w:val="nil"/>
              <w:left w:val="nil"/>
              <w:bottom w:val="single" w:sz="4" w:space="0" w:color="auto"/>
              <w:right w:val="nil"/>
            </w:tcBorders>
            <w:vAlign w:val="center"/>
            <w:hideMark/>
          </w:tcPr>
          <w:p w14:paraId="197214F8"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Model 3</w:t>
            </w:r>
          </w:p>
        </w:tc>
      </w:tr>
      <w:tr w:rsidR="00541BF8" w:rsidRPr="00361437" w14:paraId="5397418C" w14:textId="77777777" w:rsidTr="00D10EEF">
        <w:tc>
          <w:tcPr>
            <w:tcW w:w="2538" w:type="dxa"/>
            <w:tcBorders>
              <w:top w:val="nil"/>
              <w:left w:val="nil"/>
              <w:bottom w:val="single" w:sz="4" w:space="0" w:color="auto"/>
              <w:right w:val="nil"/>
            </w:tcBorders>
            <w:noWrap/>
            <w:vAlign w:val="center"/>
          </w:tcPr>
          <w:p w14:paraId="05BC492D" w14:textId="77777777" w:rsidR="00541BF8" w:rsidRPr="00361437" w:rsidRDefault="00541BF8" w:rsidP="00541BF8">
            <w:pPr>
              <w:spacing w:line="256" w:lineRule="auto"/>
              <w:rPr>
                <w:rFonts w:ascii="Arial" w:eastAsia="Times New Roman" w:hAnsi="Arial" w:cs="Arial"/>
                <w:sz w:val="20"/>
              </w:rPr>
            </w:pPr>
          </w:p>
        </w:tc>
        <w:tc>
          <w:tcPr>
            <w:tcW w:w="1080" w:type="dxa"/>
            <w:tcBorders>
              <w:top w:val="single" w:sz="4" w:space="0" w:color="auto"/>
              <w:left w:val="nil"/>
              <w:bottom w:val="single" w:sz="4" w:space="0" w:color="auto"/>
              <w:right w:val="nil"/>
            </w:tcBorders>
            <w:noWrap/>
            <w:vAlign w:val="center"/>
            <w:hideMark/>
          </w:tcPr>
          <w:p w14:paraId="234FF5ED" w14:textId="0174043B" w:rsidR="00541BF8" w:rsidRPr="00361437" w:rsidRDefault="00541BF8" w:rsidP="00541BF8">
            <w:pPr>
              <w:spacing w:line="256" w:lineRule="auto"/>
              <w:jc w:val="center"/>
              <w:rPr>
                <w:rFonts w:ascii="Arial" w:eastAsia="Times New Roman" w:hAnsi="Arial" w:cs="Arial"/>
                <w:sz w:val="18"/>
              </w:rPr>
            </w:pPr>
            <w:r w:rsidRPr="00361437">
              <w:rPr>
                <w:rFonts w:ascii="Arial" w:eastAsia="Times New Roman" w:hAnsi="Arial" w:cs="Arial"/>
                <w:sz w:val="18"/>
              </w:rPr>
              <w:t>Coefficient</w:t>
            </w:r>
          </w:p>
        </w:tc>
        <w:tc>
          <w:tcPr>
            <w:tcW w:w="901" w:type="dxa"/>
            <w:tcBorders>
              <w:top w:val="single" w:sz="4" w:space="0" w:color="auto"/>
              <w:left w:val="nil"/>
              <w:bottom w:val="single" w:sz="4" w:space="0" w:color="auto"/>
              <w:right w:val="nil"/>
            </w:tcBorders>
            <w:noWrap/>
            <w:vAlign w:val="center"/>
            <w:hideMark/>
          </w:tcPr>
          <w:p w14:paraId="4D9A4FE0" w14:textId="77777777" w:rsidR="00541BF8" w:rsidRPr="00361437" w:rsidRDefault="00541BF8" w:rsidP="00541BF8">
            <w:pPr>
              <w:spacing w:line="256" w:lineRule="auto"/>
              <w:jc w:val="center"/>
              <w:rPr>
                <w:rFonts w:ascii="Arial" w:eastAsia="Times New Roman" w:hAnsi="Arial" w:cs="Arial"/>
                <w:sz w:val="18"/>
              </w:rPr>
            </w:pPr>
            <w:r w:rsidRPr="00361437">
              <w:rPr>
                <w:rFonts w:ascii="Arial" w:eastAsia="Times New Roman" w:hAnsi="Arial" w:cs="Arial"/>
                <w:i/>
                <w:sz w:val="18"/>
              </w:rPr>
              <w:t>p</w:t>
            </w:r>
            <w:r w:rsidRPr="00361437">
              <w:rPr>
                <w:rFonts w:ascii="Arial" w:eastAsia="Times New Roman" w:hAnsi="Arial" w:cs="Arial"/>
                <w:sz w:val="18"/>
              </w:rPr>
              <w:t>-value</w:t>
            </w:r>
          </w:p>
        </w:tc>
        <w:tc>
          <w:tcPr>
            <w:tcW w:w="267" w:type="dxa"/>
            <w:tcBorders>
              <w:top w:val="nil"/>
              <w:left w:val="nil"/>
              <w:bottom w:val="single" w:sz="4" w:space="0" w:color="auto"/>
              <w:right w:val="nil"/>
            </w:tcBorders>
            <w:vAlign w:val="center"/>
          </w:tcPr>
          <w:p w14:paraId="33F728DB" w14:textId="77777777" w:rsidR="00541BF8" w:rsidRPr="00361437" w:rsidRDefault="00541BF8" w:rsidP="00541BF8">
            <w:pPr>
              <w:spacing w:line="256" w:lineRule="auto"/>
              <w:jc w:val="center"/>
              <w:rPr>
                <w:rFonts w:ascii="Arial" w:eastAsia="Times New Roman" w:hAnsi="Arial" w:cs="Arial"/>
                <w:sz w:val="18"/>
              </w:rPr>
            </w:pPr>
          </w:p>
        </w:tc>
        <w:tc>
          <w:tcPr>
            <w:tcW w:w="1082" w:type="dxa"/>
            <w:tcBorders>
              <w:top w:val="single" w:sz="4" w:space="0" w:color="auto"/>
              <w:left w:val="nil"/>
              <w:bottom w:val="single" w:sz="4" w:space="0" w:color="auto"/>
              <w:right w:val="nil"/>
            </w:tcBorders>
            <w:noWrap/>
            <w:vAlign w:val="center"/>
            <w:hideMark/>
          </w:tcPr>
          <w:p w14:paraId="2BE7234A" w14:textId="4AAF4138" w:rsidR="00541BF8" w:rsidRPr="00361437" w:rsidRDefault="00541BF8" w:rsidP="00541BF8">
            <w:pPr>
              <w:spacing w:line="256" w:lineRule="auto"/>
              <w:jc w:val="center"/>
              <w:rPr>
                <w:rFonts w:ascii="Arial" w:eastAsia="Times New Roman" w:hAnsi="Arial" w:cs="Arial"/>
                <w:sz w:val="18"/>
              </w:rPr>
            </w:pPr>
            <w:r w:rsidRPr="00361437">
              <w:rPr>
                <w:rFonts w:ascii="Arial" w:eastAsia="Times New Roman" w:hAnsi="Arial" w:cs="Arial"/>
                <w:sz w:val="18"/>
              </w:rPr>
              <w:t>Coefficient</w:t>
            </w:r>
          </w:p>
        </w:tc>
        <w:tc>
          <w:tcPr>
            <w:tcW w:w="901" w:type="dxa"/>
            <w:tcBorders>
              <w:top w:val="single" w:sz="4" w:space="0" w:color="auto"/>
              <w:left w:val="nil"/>
              <w:bottom w:val="single" w:sz="4" w:space="0" w:color="auto"/>
              <w:right w:val="nil"/>
            </w:tcBorders>
            <w:noWrap/>
            <w:vAlign w:val="center"/>
            <w:hideMark/>
          </w:tcPr>
          <w:p w14:paraId="5D419D88" w14:textId="1F096693" w:rsidR="00541BF8" w:rsidRPr="00361437" w:rsidRDefault="00541BF8" w:rsidP="00541BF8">
            <w:pPr>
              <w:spacing w:line="256" w:lineRule="auto"/>
              <w:jc w:val="center"/>
              <w:rPr>
                <w:rFonts w:ascii="Arial" w:eastAsia="Times New Roman" w:hAnsi="Arial" w:cs="Arial"/>
                <w:sz w:val="18"/>
              </w:rPr>
            </w:pPr>
            <w:r w:rsidRPr="00361437">
              <w:rPr>
                <w:rFonts w:ascii="Arial" w:eastAsia="Times New Roman" w:hAnsi="Arial" w:cs="Arial"/>
                <w:i/>
                <w:sz w:val="18"/>
              </w:rPr>
              <w:t>p</w:t>
            </w:r>
            <w:r w:rsidRPr="00361437">
              <w:rPr>
                <w:rFonts w:ascii="Arial" w:eastAsia="Times New Roman" w:hAnsi="Arial" w:cs="Arial"/>
                <w:sz w:val="18"/>
              </w:rPr>
              <w:t>-value</w:t>
            </w:r>
          </w:p>
        </w:tc>
        <w:tc>
          <w:tcPr>
            <w:tcW w:w="236" w:type="dxa"/>
            <w:tcBorders>
              <w:top w:val="nil"/>
              <w:left w:val="nil"/>
              <w:bottom w:val="single" w:sz="4" w:space="0" w:color="auto"/>
              <w:right w:val="nil"/>
            </w:tcBorders>
            <w:vAlign w:val="center"/>
          </w:tcPr>
          <w:p w14:paraId="39454778" w14:textId="77777777" w:rsidR="00541BF8" w:rsidRPr="00361437" w:rsidRDefault="00541BF8" w:rsidP="00541BF8">
            <w:pPr>
              <w:spacing w:line="256" w:lineRule="auto"/>
              <w:jc w:val="center"/>
              <w:rPr>
                <w:rFonts w:ascii="Arial" w:eastAsia="Times New Roman" w:hAnsi="Arial" w:cs="Arial"/>
                <w:sz w:val="18"/>
              </w:rPr>
            </w:pPr>
          </w:p>
        </w:tc>
        <w:tc>
          <w:tcPr>
            <w:tcW w:w="1113" w:type="dxa"/>
            <w:tcBorders>
              <w:top w:val="single" w:sz="4" w:space="0" w:color="auto"/>
              <w:left w:val="nil"/>
              <w:bottom w:val="single" w:sz="4" w:space="0" w:color="auto"/>
              <w:right w:val="nil"/>
            </w:tcBorders>
            <w:vAlign w:val="center"/>
            <w:hideMark/>
          </w:tcPr>
          <w:p w14:paraId="31D39100" w14:textId="25C00711" w:rsidR="00541BF8" w:rsidRPr="00361437" w:rsidRDefault="00541BF8" w:rsidP="00541BF8">
            <w:pPr>
              <w:spacing w:line="256" w:lineRule="auto"/>
              <w:jc w:val="center"/>
              <w:rPr>
                <w:rFonts w:ascii="Arial" w:eastAsia="Times New Roman" w:hAnsi="Arial" w:cs="Arial"/>
                <w:sz w:val="18"/>
              </w:rPr>
            </w:pPr>
            <w:r w:rsidRPr="00361437">
              <w:rPr>
                <w:rFonts w:ascii="Arial" w:eastAsia="Times New Roman" w:hAnsi="Arial" w:cs="Arial"/>
                <w:sz w:val="18"/>
              </w:rPr>
              <w:t>Coefficient</w:t>
            </w:r>
          </w:p>
        </w:tc>
        <w:tc>
          <w:tcPr>
            <w:tcW w:w="900" w:type="dxa"/>
            <w:tcBorders>
              <w:top w:val="single" w:sz="4" w:space="0" w:color="auto"/>
              <w:left w:val="nil"/>
              <w:bottom w:val="single" w:sz="4" w:space="0" w:color="auto"/>
              <w:right w:val="nil"/>
            </w:tcBorders>
            <w:vAlign w:val="center"/>
            <w:hideMark/>
          </w:tcPr>
          <w:p w14:paraId="1C6E6EA4" w14:textId="550899B1" w:rsidR="00541BF8" w:rsidRPr="00361437" w:rsidRDefault="00541BF8" w:rsidP="00541BF8">
            <w:pPr>
              <w:spacing w:line="256" w:lineRule="auto"/>
              <w:jc w:val="center"/>
              <w:rPr>
                <w:rFonts w:ascii="Arial" w:eastAsia="Times New Roman" w:hAnsi="Arial" w:cs="Arial"/>
                <w:sz w:val="18"/>
              </w:rPr>
            </w:pPr>
            <w:r w:rsidRPr="00361437">
              <w:rPr>
                <w:rFonts w:ascii="Arial" w:eastAsia="Times New Roman" w:hAnsi="Arial" w:cs="Arial"/>
                <w:i/>
                <w:sz w:val="18"/>
              </w:rPr>
              <w:t>p</w:t>
            </w:r>
            <w:r w:rsidRPr="00361437">
              <w:rPr>
                <w:rFonts w:ascii="Arial" w:eastAsia="Times New Roman" w:hAnsi="Arial" w:cs="Arial"/>
                <w:sz w:val="18"/>
              </w:rPr>
              <w:t>-value</w:t>
            </w:r>
          </w:p>
        </w:tc>
      </w:tr>
      <w:tr w:rsidR="00032E88" w:rsidRPr="00361437" w14:paraId="41611569" w14:textId="77777777" w:rsidTr="00D10EEF">
        <w:tc>
          <w:tcPr>
            <w:tcW w:w="2538" w:type="dxa"/>
            <w:noWrap/>
            <w:vAlign w:val="center"/>
            <w:hideMark/>
          </w:tcPr>
          <w:p w14:paraId="4B2C5F70" w14:textId="77777777" w:rsidR="00541BF8" w:rsidRPr="00361437" w:rsidRDefault="009F6C4A" w:rsidP="00541BF8">
            <w:pPr>
              <w:spacing w:line="256" w:lineRule="auto"/>
              <w:rPr>
                <w:rFonts w:ascii="Arial" w:hAnsi="Arial" w:cs="Arial"/>
                <w:color w:val="000000" w:themeColor="text1"/>
                <w:sz w:val="18"/>
              </w:rPr>
            </w:pPr>
            <w:r w:rsidRPr="00361437">
              <w:rPr>
                <w:rFonts w:ascii="Arial" w:eastAsia="Times New Roman" w:hAnsi="Arial" w:cs="Arial"/>
                <w:color w:val="000000" w:themeColor="text1"/>
                <w:sz w:val="18"/>
              </w:rPr>
              <w:t>FAMILY_DEBT_FRACTION</w:t>
            </w:r>
            <w:r w:rsidR="00032E88" w:rsidRPr="00361437">
              <w:rPr>
                <w:rFonts w:ascii="Arial" w:hAnsi="Arial" w:cs="Arial"/>
                <w:color w:val="000000" w:themeColor="text1"/>
                <w:sz w:val="18"/>
              </w:rPr>
              <w:t xml:space="preserve"> </w:t>
            </w:r>
          </w:p>
          <w:p w14:paraId="4B99A44E" w14:textId="54BBFED7" w:rsidR="00032E88" w:rsidRPr="00361437" w:rsidRDefault="00032E88" w:rsidP="00541BF8">
            <w:pPr>
              <w:spacing w:line="256" w:lineRule="auto"/>
              <w:rPr>
                <w:rFonts w:ascii="Arial" w:eastAsia="Times New Roman" w:hAnsi="Arial" w:cs="Arial"/>
                <w:color w:val="000000" w:themeColor="text1"/>
                <w:sz w:val="18"/>
              </w:rPr>
            </w:pPr>
            <w:r w:rsidRPr="00361437">
              <w:rPr>
                <w:rFonts w:ascii="Arial" w:hAnsi="Arial" w:cs="Arial"/>
                <w:color w:val="000000" w:themeColor="text1"/>
                <w:sz w:val="18"/>
              </w:rPr>
              <w:t>×</w:t>
            </w:r>
            <w:r w:rsidRPr="00361437">
              <w:rPr>
                <w:rFonts w:ascii="Arial" w:eastAsia="Times New Roman" w:hAnsi="Arial" w:cs="Arial"/>
                <w:color w:val="000000" w:themeColor="text1"/>
                <w:sz w:val="18"/>
              </w:rPr>
              <w:t xml:space="preserve"> </w:t>
            </w:r>
            <w:r w:rsidR="006072A7" w:rsidRPr="00361437">
              <w:rPr>
                <w:rFonts w:ascii="Arial" w:eastAsia="Times New Roman" w:hAnsi="Arial" w:cs="Arial"/>
                <w:color w:val="000000" w:themeColor="text1"/>
                <w:sz w:val="18"/>
              </w:rPr>
              <w:t>DISTRESS_</w:t>
            </w:r>
            <w:r w:rsidRPr="00361437">
              <w:rPr>
                <w:rFonts w:ascii="Arial" w:eastAsia="Times New Roman" w:hAnsi="Arial" w:cs="Arial"/>
                <w:color w:val="000000" w:themeColor="text1"/>
                <w:sz w:val="18"/>
              </w:rPr>
              <w:t>(0,1)</w:t>
            </w:r>
          </w:p>
        </w:tc>
        <w:tc>
          <w:tcPr>
            <w:tcW w:w="1080" w:type="dxa"/>
            <w:noWrap/>
            <w:vAlign w:val="bottom"/>
            <w:hideMark/>
          </w:tcPr>
          <w:p w14:paraId="6041291D" w14:textId="4E50E4F0" w:rsidR="00032E88" w:rsidRPr="00361437" w:rsidRDefault="00032E88">
            <w:pPr>
              <w:tabs>
                <w:tab w:val="decimal" w:pos="354"/>
              </w:tabs>
              <w:spacing w:line="256" w:lineRule="auto"/>
              <w:rPr>
                <w:rFonts w:ascii="Arial" w:hAnsi="Arial" w:cs="Arial"/>
                <w:color w:val="000000" w:themeColor="text1"/>
                <w:sz w:val="20"/>
              </w:rPr>
            </w:pPr>
            <w:r w:rsidRPr="00361437">
              <w:rPr>
                <w:rFonts w:ascii="Arial" w:hAnsi="Arial" w:cs="Arial"/>
                <w:color w:val="000000" w:themeColor="text1"/>
                <w:sz w:val="20"/>
              </w:rPr>
              <w:t>0.02</w:t>
            </w:r>
            <w:r w:rsidR="00162519" w:rsidRPr="00361437">
              <w:rPr>
                <w:rFonts w:ascii="Arial" w:hAnsi="Arial" w:cs="Arial"/>
                <w:color w:val="000000" w:themeColor="text1"/>
                <w:sz w:val="20"/>
              </w:rPr>
              <w:t>80</w:t>
            </w:r>
          </w:p>
        </w:tc>
        <w:tc>
          <w:tcPr>
            <w:tcW w:w="901" w:type="dxa"/>
            <w:noWrap/>
            <w:vAlign w:val="bottom"/>
            <w:hideMark/>
          </w:tcPr>
          <w:p w14:paraId="3ED32323" w14:textId="3B20476E" w:rsidR="00032E88" w:rsidRPr="00361437" w:rsidRDefault="00032E88">
            <w:pPr>
              <w:tabs>
                <w:tab w:val="decimal" w:pos="354"/>
              </w:tabs>
              <w:spacing w:line="256" w:lineRule="auto"/>
              <w:rPr>
                <w:rFonts w:ascii="Arial" w:hAnsi="Arial" w:cs="Arial"/>
                <w:color w:val="000000" w:themeColor="text1"/>
                <w:sz w:val="20"/>
              </w:rPr>
            </w:pPr>
            <w:r w:rsidRPr="00361437">
              <w:rPr>
                <w:rFonts w:ascii="Arial" w:hAnsi="Arial" w:cs="Arial"/>
                <w:color w:val="000000" w:themeColor="text1"/>
                <w:sz w:val="20"/>
              </w:rPr>
              <w:t>0.1</w:t>
            </w:r>
            <w:r w:rsidR="00162519" w:rsidRPr="00361437">
              <w:rPr>
                <w:rFonts w:ascii="Arial" w:hAnsi="Arial" w:cs="Arial"/>
                <w:color w:val="000000" w:themeColor="text1"/>
                <w:sz w:val="20"/>
              </w:rPr>
              <w:t>952</w:t>
            </w:r>
          </w:p>
        </w:tc>
        <w:tc>
          <w:tcPr>
            <w:tcW w:w="267" w:type="dxa"/>
            <w:vAlign w:val="bottom"/>
          </w:tcPr>
          <w:p w14:paraId="44F7DB3E" w14:textId="77777777" w:rsidR="00032E88" w:rsidRPr="00361437" w:rsidRDefault="00032E88">
            <w:pPr>
              <w:tabs>
                <w:tab w:val="decimal" w:pos="354"/>
              </w:tabs>
              <w:spacing w:line="256" w:lineRule="auto"/>
              <w:rPr>
                <w:rFonts w:ascii="Arial" w:hAnsi="Arial" w:cs="Arial"/>
                <w:color w:val="000000" w:themeColor="text1"/>
                <w:sz w:val="20"/>
              </w:rPr>
            </w:pPr>
          </w:p>
        </w:tc>
        <w:tc>
          <w:tcPr>
            <w:tcW w:w="1082" w:type="dxa"/>
            <w:noWrap/>
            <w:vAlign w:val="bottom"/>
            <w:hideMark/>
          </w:tcPr>
          <w:p w14:paraId="73A2B815" w14:textId="6AF6E62A" w:rsidR="00032E88" w:rsidRPr="00361437" w:rsidRDefault="00032E88">
            <w:pPr>
              <w:tabs>
                <w:tab w:val="decimal" w:pos="354"/>
              </w:tabs>
              <w:spacing w:line="256" w:lineRule="auto"/>
              <w:rPr>
                <w:rFonts w:ascii="Arial" w:hAnsi="Arial" w:cs="Arial"/>
                <w:color w:val="000000" w:themeColor="text1"/>
                <w:sz w:val="20"/>
              </w:rPr>
            </w:pPr>
            <w:r w:rsidRPr="00361437">
              <w:rPr>
                <w:rFonts w:ascii="Arial" w:hAnsi="Arial" w:cs="Arial"/>
                <w:color w:val="000000" w:themeColor="text1"/>
                <w:sz w:val="20"/>
              </w:rPr>
              <w:t>0.0</w:t>
            </w:r>
            <w:r w:rsidR="007E4F37" w:rsidRPr="00361437">
              <w:rPr>
                <w:rFonts w:ascii="Arial" w:hAnsi="Arial" w:cs="Arial"/>
                <w:color w:val="000000" w:themeColor="text1"/>
                <w:sz w:val="20"/>
              </w:rPr>
              <w:t>078</w:t>
            </w:r>
          </w:p>
        </w:tc>
        <w:tc>
          <w:tcPr>
            <w:tcW w:w="901" w:type="dxa"/>
            <w:noWrap/>
            <w:vAlign w:val="bottom"/>
            <w:hideMark/>
          </w:tcPr>
          <w:p w14:paraId="447CE04F" w14:textId="27BB25EE" w:rsidR="00032E88" w:rsidRPr="00361437" w:rsidRDefault="00032E88">
            <w:pPr>
              <w:tabs>
                <w:tab w:val="decimal" w:pos="354"/>
              </w:tabs>
              <w:spacing w:line="256" w:lineRule="auto"/>
              <w:rPr>
                <w:rFonts w:ascii="Arial" w:hAnsi="Arial" w:cs="Arial"/>
                <w:color w:val="000000" w:themeColor="text1"/>
                <w:sz w:val="20"/>
              </w:rPr>
            </w:pPr>
            <w:r w:rsidRPr="00361437">
              <w:rPr>
                <w:rFonts w:ascii="Arial" w:hAnsi="Arial" w:cs="Arial"/>
                <w:color w:val="000000" w:themeColor="text1"/>
                <w:sz w:val="20"/>
              </w:rPr>
              <w:t>0.27</w:t>
            </w:r>
            <w:r w:rsidR="007E4F37" w:rsidRPr="00361437">
              <w:rPr>
                <w:rFonts w:ascii="Arial" w:hAnsi="Arial" w:cs="Arial"/>
                <w:color w:val="000000" w:themeColor="text1"/>
                <w:sz w:val="20"/>
              </w:rPr>
              <w:t>8</w:t>
            </w:r>
            <w:r w:rsidRPr="00361437">
              <w:rPr>
                <w:rFonts w:ascii="Arial" w:hAnsi="Arial" w:cs="Arial"/>
                <w:color w:val="000000" w:themeColor="text1"/>
                <w:sz w:val="20"/>
              </w:rPr>
              <w:t>0</w:t>
            </w:r>
          </w:p>
        </w:tc>
        <w:tc>
          <w:tcPr>
            <w:tcW w:w="236" w:type="dxa"/>
            <w:vAlign w:val="bottom"/>
          </w:tcPr>
          <w:p w14:paraId="05B61915" w14:textId="77777777" w:rsidR="00032E88" w:rsidRPr="00361437" w:rsidRDefault="00032E88">
            <w:pPr>
              <w:tabs>
                <w:tab w:val="decimal" w:pos="354"/>
              </w:tabs>
              <w:spacing w:line="256" w:lineRule="auto"/>
              <w:rPr>
                <w:rFonts w:ascii="Arial" w:hAnsi="Arial" w:cs="Arial"/>
                <w:color w:val="000000" w:themeColor="text1"/>
                <w:sz w:val="20"/>
              </w:rPr>
            </w:pPr>
          </w:p>
        </w:tc>
        <w:tc>
          <w:tcPr>
            <w:tcW w:w="1113" w:type="dxa"/>
            <w:vAlign w:val="bottom"/>
            <w:hideMark/>
          </w:tcPr>
          <w:p w14:paraId="35ED0110" w14:textId="77777777" w:rsidR="00032E88" w:rsidRPr="00361437" w:rsidRDefault="00032E88">
            <w:pPr>
              <w:tabs>
                <w:tab w:val="decimal" w:pos="354"/>
              </w:tabs>
              <w:spacing w:line="256" w:lineRule="auto"/>
              <w:rPr>
                <w:rFonts w:ascii="Arial" w:hAnsi="Arial" w:cs="Arial"/>
                <w:color w:val="000000" w:themeColor="text1"/>
                <w:sz w:val="20"/>
              </w:rPr>
            </w:pPr>
            <w:r w:rsidRPr="00361437">
              <w:rPr>
                <w:rFonts w:ascii="Arial" w:hAnsi="Arial" w:cs="Arial"/>
                <w:color w:val="000000" w:themeColor="text1"/>
                <w:sz w:val="20"/>
              </w:rPr>
              <w:t>0.0282</w:t>
            </w:r>
          </w:p>
        </w:tc>
        <w:tc>
          <w:tcPr>
            <w:tcW w:w="900" w:type="dxa"/>
            <w:vAlign w:val="bottom"/>
            <w:hideMark/>
          </w:tcPr>
          <w:p w14:paraId="604E92C2" w14:textId="4D77FA3A" w:rsidR="00032E88" w:rsidRPr="00361437" w:rsidRDefault="00032E88">
            <w:pPr>
              <w:tabs>
                <w:tab w:val="decimal" w:pos="354"/>
              </w:tabs>
              <w:spacing w:line="256" w:lineRule="auto"/>
              <w:rPr>
                <w:rFonts w:ascii="Arial" w:hAnsi="Arial" w:cs="Arial"/>
                <w:color w:val="000000" w:themeColor="text1"/>
                <w:sz w:val="20"/>
              </w:rPr>
            </w:pPr>
            <w:r w:rsidRPr="00361437">
              <w:rPr>
                <w:rFonts w:ascii="Arial" w:hAnsi="Arial" w:cs="Arial"/>
                <w:color w:val="000000" w:themeColor="text1"/>
                <w:sz w:val="20"/>
              </w:rPr>
              <w:t>0.2</w:t>
            </w:r>
            <w:r w:rsidR="00EA7515" w:rsidRPr="00361437">
              <w:rPr>
                <w:rFonts w:ascii="Arial" w:hAnsi="Arial" w:cs="Arial"/>
                <w:color w:val="000000" w:themeColor="text1"/>
                <w:sz w:val="20"/>
              </w:rPr>
              <w:t>4</w:t>
            </w:r>
            <w:r w:rsidRPr="00361437">
              <w:rPr>
                <w:rFonts w:ascii="Arial" w:hAnsi="Arial" w:cs="Arial"/>
                <w:color w:val="000000" w:themeColor="text1"/>
                <w:sz w:val="20"/>
              </w:rPr>
              <w:t>10</w:t>
            </w:r>
          </w:p>
        </w:tc>
      </w:tr>
      <w:tr w:rsidR="00032E88" w:rsidRPr="00361437" w14:paraId="6A923E59" w14:textId="77777777" w:rsidTr="00D10EEF">
        <w:tc>
          <w:tcPr>
            <w:tcW w:w="2538" w:type="dxa"/>
            <w:noWrap/>
            <w:vAlign w:val="center"/>
            <w:hideMark/>
          </w:tcPr>
          <w:p w14:paraId="6C57353F" w14:textId="77777777" w:rsidR="00541BF8" w:rsidRPr="00361437" w:rsidRDefault="00032E88">
            <w:pPr>
              <w:spacing w:line="256" w:lineRule="auto"/>
              <w:rPr>
                <w:rFonts w:ascii="Arial" w:eastAsia="Times New Roman" w:hAnsi="Arial" w:cs="Arial"/>
                <w:sz w:val="20"/>
              </w:rPr>
            </w:pPr>
            <w:r w:rsidRPr="00361437">
              <w:rPr>
                <w:rFonts w:ascii="Arial" w:eastAsia="Times New Roman" w:hAnsi="Arial" w:cs="Arial"/>
                <w:sz w:val="20"/>
              </w:rPr>
              <w:t xml:space="preserve">Other controls as in </w:t>
            </w:r>
          </w:p>
          <w:p w14:paraId="447F3D6D" w14:textId="0B057B48" w:rsidR="00032E88" w:rsidRPr="00361437" w:rsidRDefault="00032E88">
            <w:pPr>
              <w:spacing w:line="256" w:lineRule="auto"/>
              <w:rPr>
                <w:rFonts w:ascii="Arial" w:eastAsia="Times New Roman" w:hAnsi="Arial" w:cs="Arial"/>
                <w:sz w:val="20"/>
              </w:rPr>
            </w:pPr>
            <w:r w:rsidRPr="00361437">
              <w:rPr>
                <w:rFonts w:ascii="Arial" w:eastAsia="Times New Roman" w:hAnsi="Arial" w:cs="Arial"/>
                <w:sz w:val="20"/>
              </w:rPr>
              <w:t>Panel A Model 2</w:t>
            </w:r>
          </w:p>
        </w:tc>
        <w:tc>
          <w:tcPr>
            <w:tcW w:w="1080" w:type="dxa"/>
            <w:noWrap/>
            <w:vAlign w:val="center"/>
            <w:hideMark/>
          </w:tcPr>
          <w:p w14:paraId="60646818"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Yes</w:t>
            </w:r>
          </w:p>
        </w:tc>
        <w:tc>
          <w:tcPr>
            <w:tcW w:w="901" w:type="dxa"/>
            <w:noWrap/>
            <w:vAlign w:val="center"/>
          </w:tcPr>
          <w:p w14:paraId="06FA5756" w14:textId="77777777" w:rsidR="00032E88" w:rsidRPr="00361437" w:rsidRDefault="00032E88">
            <w:pPr>
              <w:spacing w:line="256" w:lineRule="auto"/>
              <w:jc w:val="center"/>
              <w:rPr>
                <w:rFonts w:ascii="Arial" w:eastAsia="Times New Roman" w:hAnsi="Arial" w:cs="Arial"/>
                <w:sz w:val="20"/>
              </w:rPr>
            </w:pPr>
          </w:p>
        </w:tc>
        <w:tc>
          <w:tcPr>
            <w:tcW w:w="267" w:type="dxa"/>
            <w:vAlign w:val="center"/>
          </w:tcPr>
          <w:p w14:paraId="4CF51FF6" w14:textId="77777777" w:rsidR="00032E88" w:rsidRPr="00361437" w:rsidRDefault="00032E88">
            <w:pPr>
              <w:spacing w:line="256" w:lineRule="auto"/>
              <w:jc w:val="center"/>
              <w:rPr>
                <w:rFonts w:ascii="Arial" w:eastAsia="Times New Roman" w:hAnsi="Arial" w:cs="Arial"/>
                <w:sz w:val="20"/>
              </w:rPr>
            </w:pPr>
          </w:p>
        </w:tc>
        <w:tc>
          <w:tcPr>
            <w:tcW w:w="1082" w:type="dxa"/>
            <w:noWrap/>
            <w:vAlign w:val="center"/>
            <w:hideMark/>
          </w:tcPr>
          <w:p w14:paraId="72D7F02A"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Yes</w:t>
            </w:r>
          </w:p>
        </w:tc>
        <w:tc>
          <w:tcPr>
            <w:tcW w:w="901" w:type="dxa"/>
            <w:noWrap/>
            <w:vAlign w:val="center"/>
          </w:tcPr>
          <w:p w14:paraId="61256641" w14:textId="77777777" w:rsidR="00032E88" w:rsidRPr="00361437" w:rsidRDefault="00032E88">
            <w:pPr>
              <w:spacing w:line="256" w:lineRule="auto"/>
              <w:jc w:val="center"/>
              <w:rPr>
                <w:rFonts w:ascii="Arial" w:eastAsia="Times New Roman" w:hAnsi="Arial" w:cs="Arial"/>
                <w:sz w:val="20"/>
              </w:rPr>
            </w:pPr>
          </w:p>
        </w:tc>
        <w:tc>
          <w:tcPr>
            <w:tcW w:w="236" w:type="dxa"/>
            <w:vAlign w:val="center"/>
          </w:tcPr>
          <w:p w14:paraId="72D0B423" w14:textId="77777777" w:rsidR="00032E88" w:rsidRPr="00361437" w:rsidRDefault="00032E88">
            <w:pPr>
              <w:spacing w:line="256" w:lineRule="auto"/>
              <w:jc w:val="center"/>
              <w:rPr>
                <w:rFonts w:ascii="Arial" w:eastAsia="Times New Roman" w:hAnsi="Arial" w:cs="Arial"/>
                <w:sz w:val="20"/>
              </w:rPr>
            </w:pPr>
          </w:p>
        </w:tc>
        <w:tc>
          <w:tcPr>
            <w:tcW w:w="1113" w:type="dxa"/>
            <w:vAlign w:val="center"/>
            <w:hideMark/>
          </w:tcPr>
          <w:p w14:paraId="4B9B8B77" w14:textId="77777777"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Yes</w:t>
            </w:r>
          </w:p>
        </w:tc>
        <w:tc>
          <w:tcPr>
            <w:tcW w:w="900" w:type="dxa"/>
            <w:vAlign w:val="center"/>
          </w:tcPr>
          <w:p w14:paraId="29422BAC" w14:textId="77777777" w:rsidR="00032E88" w:rsidRPr="00361437" w:rsidRDefault="00032E88">
            <w:pPr>
              <w:spacing w:line="256" w:lineRule="auto"/>
              <w:jc w:val="center"/>
              <w:rPr>
                <w:rFonts w:ascii="Arial" w:eastAsia="Times New Roman" w:hAnsi="Arial" w:cs="Arial"/>
                <w:sz w:val="20"/>
              </w:rPr>
            </w:pPr>
          </w:p>
        </w:tc>
      </w:tr>
      <w:tr w:rsidR="00032E88" w:rsidRPr="00361437" w14:paraId="5C085F2B" w14:textId="77777777" w:rsidTr="00D10EEF">
        <w:tc>
          <w:tcPr>
            <w:tcW w:w="2538" w:type="dxa"/>
            <w:tcBorders>
              <w:bottom w:val="single" w:sz="4" w:space="0" w:color="auto"/>
            </w:tcBorders>
            <w:noWrap/>
            <w:vAlign w:val="center"/>
            <w:hideMark/>
          </w:tcPr>
          <w:p w14:paraId="076EC682" w14:textId="77777777" w:rsidR="00032E88" w:rsidRPr="00361437" w:rsidRDefault="00032E88">
            <w:pPr>
              <w:spacing w:line="256" w:lineRule="auto"/>
              <w:rPr>
                <w:rFonts w:ascii="Arial" w:eastAsia="Times New Roman" w:hAnsi="Arial" w:cs="Arial"/>
                <w:sz w:val="20"/>
              </w:rPr>
            </w:pPr>
            <w:r w:rsidRPr="00361437">
              <w:rPr>
                <w:rFonts w:ascii="Arial" w:eastAsia="Times New Roman" w:hAnsi="Arial" w:cs="Arial"/>
                <w:sz w:val="20"/>
              </w:rPr>
              <w:t>N</w:t>
            </w:r>
          </w:p>
        </w:tc>
        <w:tc>
          <w:tcPr>
            <w:tcW w:w="1080" w:type="dxa"/>
            <w:tcBorders>
              <w:bottom w:val="single" w:sz="4" w:space="0" w:color="auto"/>
            </w:tcBorders>
            <w:noWrap/>
            <w:tcMar>
              <w:top w:w="0" w:type="dxa"/>
              <w:left w:w="14" w:type="dxa"/>
              <w:bottom w:w="0" w:type="dxa"/>
              <w:right w:w="14" w:type="dxa"/>
            </w:tcMar>
            <w:vAlign w:val="center"/>
            <w:hideMark/>
          </w:tcPr>
          <w:p w14:paraId="3FC22B77" w14:textId="6B964FFC" w:rsidR="00032E88" w:rsidRPr="00361437" w:rsidRDefault="00032E88">
            <w:pPr>
              <w:spacing w:line="256" w:lineRule="auto"/>
              <w:jc w:val="center"/>
              <w:rPr>
                <w:rFonts w:ascii="Arial" w:eastAsia="Times New Roman" w:hAnsi="Arial" w:cs="Arial"/>
                <w:sz w:val="20"/>
              </w:rPr>
            </w:pPr>
            <w:r w:rsidRPr="00361437">
              <w:rPr>
                <w:rFonts w:ascii="Arial" w:eastAsia="Times New Roman" w:hAnsi="Arial" w:cs="Arial"/>
                <w:sz w:val="20"/>
              </w:rPr>
              <w:t>1,</w:t>
            </w:r>
            <w:r w:rsidR="00162519" w:rsidRPr="00361437">
              <w:rPr>
                <w:rFonts w:ascii="Arial" w:eastAsia="Times New Roman" w:hAnsi="Arial" w:cs="Arial"/>
                <w:sz w:val="20"/>
              </w:rPr>
              <w:t>395</w:t>
            </w:r>
            <w:r w:rsidRPr="00361437">
              <w:rPr>
                <w:rFonts w:ascii="Arial" w:eastAsia="Times New Roman" w:hAnsi="Arial" w:cs="Arial"/>
                <w:sz w:val="20"/>
              </w:rPr>
              <w:t>,</w:t>
            </w:r>
            <w:r w:rsidR="00162519" w:rsidRPr="00361437">
              <w:rPr>
                <w:rFonts w:ascii="Arial" w:eastAsia="Times New Roman" w:hAnsi="Arial" w:cs="Arial"/>
                <w:sz w:val="20"/>
              </w:rPr>
              <w:t>566</w:t>
            </w:r>
          </w:p>
        </w:tc>
        <w:tc>
          <w:tcPr>
            <w:tcW w:w="901" w:type="dxa"/>
            <w:tcBorders>
              <w:bottom w:val="single" w:sz="4" w:space="0" w:color="auto"/>
            </w:tcBorders>
            <w:noWrap/>
            <w:tcMar>
              <w:top w:w="0" w:type="dxa"/>
              <w:left w:w="14" w:type="dxa"/>
              <w:bottom w:w="0" w:type="dxa"/>
              <w:right w:w="14" w:type="dxa"/>
            </w:tcMar>
            <w:vAlign w:val="center"/>
          </w:tcPr>
          <w:p w14:paraId="170A3D97" w14:textId="77777777" w:rsidR="00032E88" w:rsidRPr="00361437" w:rsidRDefault="00032E88">
            <w:pPr>
              <w:spacing w:line="256" w:lineRule="auto"/>
              <w:jc w:val="center"/>
              <w:rPr>
                <w:rFonts w:ascii="Arial" w:eastAsia="Times New Roman" w:hAnsi="Arial" w:cs="Arial"/>
                <w:sz w:val="20"/>
              </w:rPr>
            </w:pPr>
          </w:p>
        </w:tc>
        <w:tc>
          <w:tcPr>
            <w:tcW w:w="267" w:type="dxa"/>
            <w:tcBorders>
              <w:bottom w:val="single" w:sz="4" w:space="0" w:color="auto"/>
            </w:tcBorders>
            <w:tcMar>
              <w:top w:w="0" w:type="dxa"/>
              <w:left w:w="14" w:type="dxa"/>
              <w:bottom w:w="0" w:type="dxa"/>
              <w:right w:w="14" w:type="dxa"/>
            </w:tcMar>
            <w:vAlign w:val="center"/>
          </w:tcPr>
          <w:p w14:paraId="7EE976A9" w14:textId="77777777" w:rsidR="00032E88" w:rsidRPr="00361437" w:rsidRDefault="00032E88">
            <w:pPr>
              <w:spacing w:line="256" w:lineRule="auto"/>
              <w:jc w:val="center"/>
              <w:rPr>
                <w:rFonts w:ascii="Arial" w:eastAsia="Times New Roman" w:hAnsi="Arial" w:cs="Arial"/>
                <w:sz w:val="20"/>
              </w:rPr>
            </w:pPr>
          </w:p>
        </w:tc>
        <w:tc>
          <w:tcPr>
            <w:tcW w:w="1082" w:type="dxa"/>
            <w:tcBorders>
              <w:bottom w:val="single" w:sz="4" w:space="0" w:color="auto"/>
            </w:tcBorders>
            <w:noWrap/>
            <w:tcMar>
              <w:top w:w="0" w:type="dxa"/>
              <w:left w:w="14" w:type="dxa"/>
              <w:bottom w:w="0" w:type="dxa"/>
              <w:right w:w="14" w:type="dxa"/>
            </w:tcMar>
            <w:vAlign w:val="center"/>
            <w:hideMark/>
          </w:tcPr>
          <w:p w14:paraId="5D7A230F" w14:textId="33F8F192" w:rsidR="00032E88" w:rsidRPr="00361437" w:rsidRDefault="00162519">
            <w:pPr>
              <w:spacing w:line="256" w:lineRule="auto"/>
              <w:jc w:val="center"/>
              <w:rPr>
                <w:rFonts w:ascii="Arial" w:eastAsia="Times New Roman" w:hAnsi="Arial" w:cs="Arial"/>
                <w:sz w:val="20"/>
              </w:rPr>
            </w:pPr>
            <w:r w:rsidRPr="00361437">
              <w:rPr>
                <w:rFonts w:ascii="Arial" w:eastAsia="Times New Roman" w:hAnsi="Arial" w:cs="Arial"/>
                <w:sz w:val="20"/>
              </w:rPr>
              <w:t>553</w:t>
            </w:r>
            <w:r w:rsidR="00032E88" w:rsidRPr="00361437">
              <w:rPr>
                <w:rFonts w:ascii="Arial" w:eastAsia="Times New Roman" w:hAnsi="Arial" w:cs="Arial"/>
                <w:sz w:val="20"/>
              </w:rPr>
              <w:t>,</w:t>
            </w:r>
            <w:r w:rsidRPr="00361437">
              <w:rPr>
                <w:rFonts w:ascii="Arial" w:eastAsia="Times New Roman" w:hAnsi="Arial" w:cs="Arial"/>
                <w:sz w:val="20"/>
              </w:rPr>
              <w:t>248</w:t>
            </w:r>
          </w:p>
        </w:tc>
        <w:tc>
          <w:tcPr>
            <w:tcW w:w="901" w:type="dxa"/>
            <w:tcBorders>
              <w:bottom w:val="single" w:sz="4" w:space="0" w:color="auto"/>
            </w:tcBorders>
            <w:noWrap/>
            <w:tcMar>
              <w:top w:w="0" w:type="dxa"/>
              <w:left w:w="14" w:type="dxa"/>
              <w:bottom w:w="0" w:type="dxa"/>
              <w:right w:w="14" w:type="dxa"/>
            </w:tcMar>
            <w:vAlign w:val="center"/>
          </w:tcPr>
          <w:p w14:paraId="319FE56B" w14:textId="77777777" w:rsidR="00032E88" w:rsidRPr="00361437" w:rsidRDefault="00032E88">
            <w:pPr>
              <w:spacing w:line="256" w:lineRule="auto"/>
              <w:jc w:val="center"/>
              <w:rPr>
                <w:rFonts w:ascii="Arial" w:eastAsia="Times New Roman" w:hAnsi="Arial" w:cs="Arial"/>
                <w:sz w:val="20"/>
              </w:rPr>
            </w:pPr>
          </w:p>
        </w:tc>
        <w:tc>
          <w:tcPr>
            <w:tcW w:w="236" w:type="dxa"/>
            <w:tcBorders>
              <w:bottom w:val="single" w:sz="4" w:space="0" w:color="auto"/>
            </w:tcBorders>
            <w:tcMar>
              <w:top w:w="0" w:type="dxa"/>
              <w:left w:w="14" w:type="dxa"/>
              <w:bottom w:w="0" w:type="dxa"/>
              <w:right w:w="14" w:type="dxa"/>
            </w:tcMar>
            <w:vAlign w:val="center"/>
          </w:tcPr>
          <w:p w14:paraId="5E311415" w14:textId="77777777" w:rsidR="00032E88" w:rsidRPr="00361437" w:rsidRDefault="00032E88">
            <w:pPr>
              <w:spacing w:line="256" w:lineRule="auto"/>
              <w:jc w:val="center"/>
              <w:rPr>
                <w:rFonts w:ascii="Arial" w:eastAsia="Times New Roman" w:hAnsi="Arial" w:cs="Arial"/>
                <w:sz w:val="20"/>
              </w:rPr>
            </w:pPr>
          </w:p>
        </w:tc>
        <w:tc>
          <w:tcPr>
            <w:tcW w:w="1113" w:type="dxa"/>
            <w:tcBorders>
              <w:bottom w:val="single" w:sz="4" w:space="0" w:color="auto"/>
            </w:tcBorders>
            <w:tcMar>
              <w:top w:w="0" w:type="dxa"/>
              <w:left w:w="14" w:type="dxa"/>
              <w:bottom w:w="0" w:type="dxa"/>
              <w:right w:w="14" w:type="dxa"/>
            </w:tcMar>
            <w:vAlign w:val="center"/>
            <w:hideMark/>
          </w:tcPr>
          <w:p w14:paraId="1BDC5E25" w14:textId="3597D643" w:rsidR="00032E88" w:rsidRPr="00361437" w:rsidRDefault="00EA7515">
            <w:pPr>
              <w:spacing w:line="256" w:lineRule="auto"/>
              <w:jc w:val="center"/>
              <w:rPr>
                <w:rFonts w:ascii="Arial" w:eastAsia="Times New Roman" w:hAnsi="Arial" w:cs="Arial"/>
                <w:sz w:val="20"/>
              </w:rPr>
            </w:pPr>
            <w:r w:rsidRPr="00361437">
              <w:rPr>
                <w:rFonts w:ascii="Arial" w:eastAsia="Times New Roman" w:hAnsi="Arial" w:cs="Arial"/>
                <w:sz w:val="20"/>
              </w:rPr>
              <w:t>1</w:t>
            </w:r>
            <w:r w:rsidR="00032E88" w:rsidRPr="00361437">
              <w:rPr>
                <w:rFonts w:ascii="Arial" w:eastAsia="Times New Roman" w:hAnsi="Arial" w:cs="Arial"/>
                <w:sz w:val="20"/>
              </w:rPr>
              <w:t>,</w:t>
            </w:r>
            <w:r w:rsidRPr="00361437">
              <w:rPr>
                <w:rFonts w:ascii="Arial" w:eastAsia="Times New Roman" w:hAnsi="Arial" w:cs="Arial"/>
                <w:sz w:val="20"/>
              </w:rPr>
              <w:t>948</w:t>
            </w:r>
            <w:r w:rsidR="00032E88" w:rsidRPr="00361437">
              <w:rPr>
                <w:rFonts w:ascii="Arial" w:eastAsia="Times New Roman" w:hAnsi="Arial" w:cs="Arial"/>
                <w:sz w:val="20"/>
              </w:rPr>
              <w:t>,</w:t>
            </w:r>
            <w:r w:rsidRPr="00361437">
              <w:rPr>
                <w:rFonts w:ascii="Arial" w:eastAsia="Times New Roman" w:hAnsi="Arial" w:cs="Arial"/>
                <w:sz w:val="20"/>
              </w:rPr>
              <w:t>814</w:t>
            </w:r>
          </w:p>
        </w:tc>
        <w:tc>
          <w:tcPr>
            <w:tcW w:w="900" w:type="dxa"/>
            <w:tcBorders>
              <w:bottom w:val="single" w:sz="4" w:space="0" w:color="auto"/>
            </w:tcBorders>
            <w:vAlign w:val="center"/>
          </w:tcPr>
          <w:p w14:paraId="70147639" w14:textId="77777777" w:rsidR="00032E88" w:rsidRPr="00361437" w:rsidRDefault="00032E88">
            <w:pPr>
              <w:spacing w:line="256" w:lineRule="auto"/>
              <w:jc w:val="center"/>
              <w:rPr>
                <w:rFonts w:ascii="Arial" w:eastAsia="Times New Roman" w:hAnsi="Arial" w:cs="Arial"/>
                <w:sz w:val="20"/>
              </w:rPr>
            </w:pPr>
          </w:p>
        </w:tc>
      </w:tr>
    </w:tbl>
    <w:p w14:paraId="4837D534" w14:textId="77777777" w:rsidR="00032E88" w:rsidRPr="00361437" w:rsidRDefault="00032E88" w:rsidP="00032E88">
      <w:pPr>
        <w:rPr>
          <w:rFonts w:ascii="Arial" w:hAnsi="Arial" w:cs="Arial"/>
          <w:b/>
          <w:sz w:val="20"/>
        </w:rPr>
      </w:pPr>
    </w:p>
    <w:tbl>
      <w:tblPr>
        <w:tblW w:w="0" w:type="auto"/>
        <w:tblLayout w:type="fixed"/>
        <w:tblLook w:val="04A0" w:firstRow="1" w:lastRow="0" w:firstColumn="1" w:lastColumn="0" w:noHBand="0" w:noVBand="1"/>
      </w:tblPr>
      <w:tblGrid>
        <w:gridCol w:w="4410"/>
        <w:gridCol w:w="1619"/>
        <w:gridCol w:w="1531"/>
        <w:gridCol w:w="1466"/>
      </w:tblGrid>
      <w:tr w:rsidR="00032E88" w:rsidRPr="00361437" w14:paraId="59DDFFAE" w14:textId="77777777" w:rsidTr="006F39AD">
        <w:trPr>
          <w:trHeight w:val="360"/>
        </w:trPr>
        <w:tc>
          <w:tcPr>
            <w:tcW w:w="9026" w:type="dxa"/>
            <w:gridSpan w:val="4"/>
            <w:tcBorders>
              <w:left w:val="nil"/>
              <w:bottom w:val="single" w:sz="4" w:space="0" w:color="auto"/>
              <w:right w:val="nil"/>
            </w:tcBorders>
            <w:noWrap/>
            <w:vAlign w:val="center"/>
            <w:hideMark/>
          </w:tcPr>
          <w:p w14:paraId="20FB0AE7" w14:textId="77777777" w:rsidR="00032E88" w:rsidRPr="00361437" w:rsidRDefault="00032E88">
            <w:pPr>
              <w:spacing w:line="256" w:lineRule="auto"/>
              <w:rPr>
                <w:rFonts w:ascii="Arial" w:eastAsia="Times New Roman" w:hAnsi="Arial" w:cs="Arial"/>
                <w:i/>
                <w:color w:val="000000" w:themeColor="text1"/>
                <w:sz w:val="20"/>
              </w:rPr>
            </w:pPr>
            <w:r w:rsidRPr="00361437">
              <w:rPr>
                <w:rFonts w:ascii="Arial" w:hAnsi="Arial" w:cs="Arial"/>
                <w:i/>
                <w:color w:val="000000" w:themeColor="text1"/>
                <w:sz w:val="20"/>
              </w:rPr>
              <w:t>Panel E: Voting dispersion across funds within a family</w:t>
            </w:r>
          </w:p>
        </w:tc>
      </w:tr>
      <w:tr w:rsidR="00032E88" w:rsidRPr="00361437" w14:paraId="03BD523E" w14:textId="77777777" w:rsidTr="00032E88">
        <w:trPr>
          <w:trHeight w:val="300"/>
        </w:trPr>
        <w:tc>
          <w:tcPr>
            <w:tcW w:w="4410" w:type="dxa"/>
            <w:tcBorders>
              <w:top w:val="single" w:sz="4" w:space="0" w:color="auto"/>
              <w:left w:val="nil"/>
              <w:bottom w:val="single" w:sz="4" w:space="0" w:color="auto"/>
              <w:right w:val="nil"/>
            </w:tcBorders>
            <w:noWrap/>
            <w:vAlign w:val="center"/>
            <w:hideMark/>
          </w:tcPr>
          <w:p w14:paraId="34A6A628" w14:textId="77777777" w:rsidR="00032E88" w:rsidRPr="00361437" w:rsidRDefault="00032E88">
            <w:pPr>
              <w:spacing w:before="100" w:beforeAutospacing="1" w:after="100" w:afterAutospacing="1" w:line="254" w:lineRule="auto"/>
              <w:contextualSpacing/>
              <w:rPr>
                <w:rFonts w:ascii="Arial" w:eastAsia="Times New Roman" w:hAnsi="Arial" w:cs="Arial"/>
                <w:color w:val="000000" w:themeColor="text1"/>
                <w:sz w:val="20"/>
                <w:lang w:eastAsia="en-GB"/>
              </w:rPr>
            </w:pPr>
            <w:r w:rsidRPr="00361437">
              <w:rPr>
                <w:rFonts w:ascii="Arial" w:eastAsia="Times New Roman" w:hAnsi="Arial" w:cs="Arial"/>
                <w:color w:val="000000" w:themeColor="text1"/>
                <w:sz w:val="20"/>
                <w:lang w:eastAsia="en-GB"/>
              </w:rPr>
              <w:t>Percentage of votes in which:</w:t>
            </w:r>
          </w:p>
        </w:tc>
        <w:tc>
          <w:tcPr>
            <w:tcW w:w="1619" w:type="dxa"/>
            <w:tcBorders>
              <w:top w:val="single" w:sz="4" w:space="0" w:color="auto"/>
              <w:left w:val="nil"/>
              <w:bottom w:val="single" w:sz="4" w:space="0" w:color="auto"/>
              <w:right w:val="nil"/>
            </w:tcBorders>
            <w:noWrap/>
            <w:vAlign w:val="center"/>
            <w:hideMark/>
          </w:tcPr>
          <w:p w14:paraId="78410E3E" w14:textId="77777777" w:rsidR="00032E88" w:rsidRPr="00361437" w:rsidRDefault="00032E88">
            <w:pPr>
              <w:spacing w:before="100" w:beforeAutospacing="1" w:after="100" w:afterAutospacing="1" w:line="254" w:lineRule="auto"/>
              <w:contextualSpacing/>
              <w:jc w:val="center"/>
              <w:rPr>
                <w:rFonts w:ascii="Arial" w:eastAsia="Times New Roman" w:hAnsi="Arial" w:cs="Arial"/>
                <w:color w:val="000000" w:themeColor="text1"/>
                <w:sz w:val="20"/>
                <w:lang w:eastAsia="en-GB"/>
              </w:rPr>
            </w:pPr>
            <w:r w:rsidRPr="00361437">
              <w:rPr>
                <w:rFonts w:ascii="Arial" w:eastAsia="Times New Roman" w:hAnsi="Arial" w:cs="Arial"/>
                <w:color w:val="000000" w:themeColor="text1"/>
                <w:sz w:val="20"/>
                <w:lang w:eastAsia="en-GB"/>
              </w:rPr>
              <w:t>Families holding debt and equity</w:t>
            </w:r>
          </w:p>
        </w:tc>
        <w:tc>
          <w:tcPr>
            <w:tcW w:w="1531" w:type="dxa"/>
            <w:tcBorders>
              <w:top w:val="single" w:sz="4" w:space="0" w:color="auto"/>
              <w:left w:val="nil"/>
              <w:bottom w:val="single" w:sz="4" w:space="0" w:color="auto"/>
              <w:right w:val="nil"/>
            </w:tcBorders>
            <w:vAlign w:val="center"/>
            <w:hideMark/>
          </w:tcPr>
          <w:p w14:paraId="72CC45D3" w14:textId="77777777" w:rsidR="00032E88" w:rsidRPr="00361437" w:rsidRDefault="00032E88">
            <w:pPr>
              <w:spacing w:before="100" w:beforeAutospacing="1" w:after="100" w:afterAutospacing="1" w:line="254" w:lineRule="auto"/>
              <w:contextualSpacing/>
              <w:jc w:val="center"/>
              <w:rPr>
                <w:rFonts w:ascii="Arial" w:eastAsia="Times New Roman" w:hAnsi="Arial" w:cs="Arial"/>
                <w:color w:val="000000" w:themeColor="text1"/>
                <w:sz w:val="20"/>
                <w:lang w:eastAsia="en-GB"/>
              </w:rPr>
            </w:pPr>
            <w:r w:rsidRPr="00361437">
              <w:rPr>
                <w:rFonts w:ascii="Arial" w:eastAsia="Times New Roman" w:hAnsi="Arial" w:cs="Arial"/>
                <w:color w:val="000000" w:themeColor="text1"/>
                <w:sz w:val="20"/>
                <w:lang w:eastAsia="en-GB"/>
              </w:rPr>
              <w:t>Families holding equity only</w:t>
            </w:r>
          </w:p>
        </w:tc>
        <w:tc>
          <w:tcPr>
            <w:tcW w:w="1466" w:type="dxa"/>
            <w:tcBorders>
              <w:top w:val="single" w:sz="4" w:space="0" w:color="auto"/>
              <w:left w:val="nil"/>
              <w:bottom w:val="single" w:sz="4" w:space="0" w:color="auto"/>
              <w:right w:val="nil"/>
            </w:tcBorders>
            <w:vAlign w:val="center"/>
            <w:hideMark/>
          </w:tcPr>
          <w:p w14:paraId="219F9FAC" w14:textId="77777777" w:rsidR="00032E88" w:rsidRPr="00361437" w:rsidRDefault="00032E88">
            <w:pPr>
              <w:spacing w:before="100" w:beforeAutospacing="1" w:after="100" w:afterAutospacing="1" w:line="254" w:lineRule="auto"/>
              <w:contextualSpacing/>
              <w:jc w:val="center"/>
              <w:rPr>
                <w:rFonts w:ascii="Arial" w:eastAsia="Times New Roman" w:hAnsi="Arial" w:cs="Arial"/>
                <w:color w:val="000000" w:themeColor="text1"/>
                <w:sz w:val="20"/>
                <w:lang w:eastAsia="en-GB"/>
              </w:rPr>
            </w:pPr>
            <w:r w:rsidRPr="00361437">
              <w:rPr>
                <w:rFonts w:ascii="Arial" w:eastAsia="Times New Roman" w:hAnsi="Arial" w:cs="Arial"/>
                <w:color w:val="000000" w:themeColor="text1"/>
                <w:sz w:val="20"/>
                <w:lang w:eastAsia="en-GB"/>
              </w:rPr>
              <w:t>z test for difference in proportions</w:t>
            </w:r>
          </w:p>
        </w:tc>
      </w:tr>
      <w:tr w:rsidR="00032E88" w:rsidRPr="00361437" w14:paraId="7612B0B6" w14:textId="77777777" w:rsidTr="00032E88">
        <w:trPr>
          <w:trHeight w:val="300"/>
        </w:trPr>
        <w:tc>
          <w:tcPr>
            <w:tcW w:w="4410" w:type="dxa"/>
            <w:tcBorders>
              <w:top w:val="single" w:sz="4" w:space="0" w:color="auto"/>
              <w:left w:val="nil"/>
              <w:bottom w:val="nil"/>
              <w:right w:val="nil"/>
            </w:tcBorders>
            <w:noWrap/>
            <w:vAlign w:val="center"/>
          </w:tcPr>
          <w:p w14:paraId="1108D650" w14:textId="77777777" w:rsidR="00032E88" w:rsidRPr="00361437" w:rsidRDefault="00032E88">
            <w:pPr>
              <w:spacing w:before="100" w:beforeAutospacing="1" w:after="100" w:afterAutospacing="1" w:line="254" w:lineRule="auto"/>
              <w:contextualSpacing/>
              <w:rPr>
                <w:rFonts w:ascii="Arial" w:eastAsia="Times New Roman" w:hAnsi="Arial" w:cs="Arial"/>
                <w:color w:val="000000" w:themeColor="text1"/>
                <w:sz w:val="20"/>
                <w:lang w:eastAsia="en-GB"/>
              </w:rPr>
            </w:pPr>
            <w:r w:rsidRPr="00361437">
              <w:rPr>
                <w:rFonts w:ascii="Arial" w:eastAsia="Times New Roman" w:hAnsi="Arial" w:cs="Arial"/>
                <w:color w:val="000000" w:themeColor="text1"/>
                <w:sz w:val="20"/>
                <w:lang w:eastAsia="en-GB"/>
              </w:rPr>
              <w:t>Funds within a family vote differently on the same proposal</w:t>
            </w:r>
          </w:p>
          <w:p w14:paraId="1B1280F9" w14:textId="77777777" w:rsidR="00032E88" w:rsidRPr="00361437" w:rsidRDefault="00032E88">
            <w:pPr>
              <w:spacing w:before="100" w:beforeAutospacing="1" w:after="100" w:afterAutospacing="1" w:line="254" w:lineRule="auto"/>
              <w:contextualSpacing/>
              <w:rPr>
                <w:rFonts w:ascii="Arial" w:eastAsia="Times New Roman" w:hAnsi="Arial" w:cs="Arial"/>
                <w:color w:val="000000" w:themeColor="text1"/>
                <w:sz w:val="20"/>
                <w:lang w:eastAsia="en-GB"/>
              </w:rPr>
            </w:pPr>
          </w:p>
        </w:tc>
        <w:tc>
          <w:tcPr>
            <w:tcW w:w="1619" w:type="dxa"/>
            <w:tcBorders>
              <w:top w:val="single" w:sz="4" w:space="0" w:color="auto"/>
              <w:left w:val="nil"/>
              <w:bottom w:val="nil"/>
              <w:right w:val="nil"/>
            </w:tcBorders>
            <w:noWrap/>
            <w:vAlign w:val="center"/>
            <w:hideMark/>
          </w:tcPr>
          <w:p w14:paraId="2FEA95FE" w14:textId="1B338368" w:rsidR="00032E88" w:rsidRPr="00361437" w:rsidRDefault="00032E88">
            <w:pPr>
              <w:spacing w:before="100" w:beforeAutospacing="1" w:after="100" w:afterAutospacing="1" w:line="254" w:lineRule="auto"/>
              <w:contextualSpacing/>
              <w:jc w:val="center"/>
              <w:rPr>
                <w:rFonts w:ascii="Arial" w:eastAsia="Times New Roman" w:hAnsi="Arial" w:cs="Arial"/>
                <w:color w:val="000000" w:themeColor="text1"/>
                <w:sz w:val="20"/>
                <w:lang w:eastAsia="en-GB"/>
              </w:rPr>
            </w:pPr>
            <w:r w:rsidRPr="00361437">
              <w:rPr>
                <w:rFonts w:ascii="Arial" w:eastAsia="Times New Roman" w:hAnsi="Arial" w:cs="Arial"/>
                <w:color w:val="000000" w:themeColor="text1"/>
                <w:sz w:val="20"/>
                <w:lang w:eastAsia="en-GB"/>
              </w:rPr>
              <w:t>(N=7,</w:t>
            </w:r>
            <w:r w:rsidR="006D5E83" w:rsidRPr="00361437">
              <w:rPr>
                <w:rFonts w:ascii="Arial" w:eastAsia="Times New Roman" w:hAnsi="Arial" w:cs="Arial"/>
                <w:color w:val="000000" w:themeColor="text1"/>
                <w:sz w:val="20"/>
                <w:lang w:eastAsia="en-GB"/>
              </w:rPr>
              <w:t>136</w:t>
            </w:r>
            <w:r w:rsidRPr="00361437">
              <w:rPr>
                <w:rFonts w:ascii="Arial" w:eastAsia="Times New Roman" w:hAnsi="Arial" w:cs="Arial"/>
                <w:color w:val="000000" w:themeColor="text1"/>
                <w:sz w:val="20"/>
                <w:lang w:eastAsia="en-GB"/>
              </w:rPr>
              <w:t>)</w:t>
            </w:r>
          </w:p>
          <w:p w14:paraId="5588FA54" w14:textId="5216C881" w:rsidR="00032E88" w:rsidRPr="00361437" w:rsidRDefault="009C7A8C">
            <w:pPr>
              <w:spacing w:before="100" w:beforeAutospacing="1" w:after="100" w:afterAutospacing="1" w:line="254" w:lineRule="auto"/>
              <w:contextualSpacing/>
              <w:jc w:val="center"/>
              <w:rPr>
                <w:rFonts w:ascii="Arial" w:eastAsia="Times New Roman" w:hAnsi="Arial" w:cs="Arial"/>
                <w:color w:val="000000" w:themeColor="text1"/>
                <w:sz w:val="20"/>
                <w:lang w:eastAsia="en-GB"/>
              </w:rPr>
            </w:pPr>
            <w:r w:rsidRPr="00361437">
              <w:rPr>
                <w:rFonts w:ascii="Arial" w:eastAsia="Times New Roman" w:hAnsi="Arial" w:cs="Arial"/>
                <w:color w:val="000000" w:themeColor="text1"/>
                <w:sz w:val="20"/>
                <w:lang w:eastAsia="en-GB"/>
              </w:rPr>
              <w:t>2</w:t>
            </w:r>
            <w:r w:rsidR="00032E88" w:rsidRPr="00361437">
              <w:rPr>
                <w:rFonts w:ascii="Arial" w:eastAsia="Times New Roman" w:hAnsi="Arial" w:cs="Arial"/>
                <w:color w:val="000000" w:themeColor="text1"/>
                <w:sz w:val="20"/>
                <w:lang w:eastAsia="en-GB"/>
              </w:rPr>
              <w:t>.</w:t>
            </w:r>
            <w:r w:rsidRPr="00361437">
              <w:rPr>
                <w:rFonts w:ascii="Arial" w:eastAsia="Times New Roman" w:hAnsi="Arial" w:cs="Arial"/>
                <w:color w:val="000000" w:themeColor="text1"/>
                <w:sz w:val="20"/>
                <w:lang w:eastAsia="en-GB"/>
              </w:rPr>
              <w:t>00</w:t>
            </w:r>
            <w:r w:rsidR="00032E88" w:rsidRPr="00361437">
              <w:rPr>
                <w:rFonts w:ascii="Arial" w:eastAsia="Times New Roman" w:hAnsi="Arial" w:cs="Arial"/>
                <w:color w:val="000000" w:themeColor="text1"/>
                <w:sz w:val="20"/>
                <w:lang w:eastAsia="en-GB"/>
              </w:rPr>
              <w:t>%</w:t>
            </w:r>
          </w:p>
        </w:tc>
        <w:tc>
          <w:tcPr>
            <w:tcW w:w="1531" w:type="dxa"/>
            <w:tcBorders>
              <w:top w:val="single" w:sz="4" w:space="0" w:color="auto"/>
              <w:left w:val="nil"/>
              <w:bottom w:val="nil"/>
              <w:right w:val="nil"/>
            </w:tcBorders>
            <w:vAlign w:val="center"/>
            <w:hideMark/>
          </w:tcPr>
          <w:p w14:paraId="02F8462E" w14:textId="07797B55" w:rsidR="00032E88" w:rsidRPr="00361437" w:rsidRDefault="00032E88">
            <w:pPr>
              <w:spacing w:before="100" w:beforeAutospacing="1" w:after="100" w:afterAutospacing="1" w:line="254" w:lineRule="auto"/>
              <w:contextualSpacing/>
              <w:jc w:val="center"/>
              <w:rPr>
                <w:rFonts w:ascii="Arial" w:eastAsia="Times New Roman" w:hAnsi="Arial" w:cs="Arial"/>
                <w:color w:val="000000" w:themeColor="text1"/>
                <w:sz w:val="20"/>
                <w:lang w:eastAsia="en-GB"/>
              </w:rPr>
            </w:pPr>
            <w:r w:rsidRPr="00361437">
              <w:rPr>
                <w:rFonts w:ascii="Arial" w:eastAsia="Times New Roman" w:hAnsi="Arial" w:cs="Arial"/>
                <w:color w:val="000000" w:themeColor="text1"/>
                <w:sz w:val="20"/>
                <w:lang w:eastAsia="en-GB"/>
              </w:rPr>
              <w:t>(N=</w:t>
            </w:r>
            <w:r w:rsidR="006D5E83" w:rsidRPr="00361437">
              <w:rPr>
                <w:rFonts w:ascii="Arial" w:eastAsia="Times New Roman" w:hAnsi="Arial" w:cs="Arial"/>
                <w:color w:val="000000" w:themeColor="text1"/>
                <w:sz w:val="20"/>
                <w:lang w:eastAsia="en-GB"/>
              </w:rPr>
              <w:t>45</w:t>
            </w:r>
            <w:r w:rsidRPr="00361437">
              <w:rPr>
                <w:rFonts w:ascii="Arial" w:eastAsia="Times New Roman" w:hAnsi="Arial" w:cs="Arial"/>
                <w:color w:val="000000" w:themeColor="text1"/>
                <w:sz w:val="20"/>
                <w:lang w:eastAsia="en-GB"/>
              </w:rPr>
              <w:t>,</w:t>
            </w:r>
            <w:r w:rsidR="006D5E83" w:rsidRPr="00361437">
              <w:rPr>
                <w:rFonts w:ascii="Arial" w:eastAsia="Times New Roman" w:hAnsi="Arial" w:cs="Arial"/>
                <w:color w:val="000000" w:themeColor="text1"/>
                <w:sz w:val="20"/>
                <w:lang w:eastAsia="en-GB"/>
              </w:rPr>
              <w:t>609</w:t>
            </w:r>
            <w:r w:rsidRPr="00361437">
              <w:rPr>
                <w:rFonts w:ascii="Arial" w:eastAsia="Times New Roman" w:hAnsi="Arial" w:cs="Arial"/>
                <w:color w:val="000000" w:themeColor="text1"/>
                <w:sz w:val="20"/>
                <w:lang w:eastAsia="en-GB"/>
              </w:rPr>
              <w:t>)</w:t>
            </w:r>
          </w:p>
          <w:p w14:paraId="09A90823" w14:textId="1B618ECA" w:rsidR="00032E88" w:rsidRPr="00361437" w:rsidRDefault="00032E88">
            <w:pPr>
              <w:spacing w:before="100" w:beforeAutospacing="1" w:after="100" w:afterAutospacing="1" w:line="254" w:lineRule="auto"/>
              <w:contextualSpacing/>
              <w:jc w:val="center"/>
              <w:rPr>
                <w:rFonts w:ascii="Arial" w:eastAsia="Times New Roman" w:hAnsi="Arial" w:cs="Arial"/>
                <w:color w:val="000000" w:themeColor="text1"/>
                <w:sz w:val="20"/>
                <w:lang w:eastAsia="en-GB"/>
              </w:rPr>
            </w:pPr>
            <w:r w:rsidRPr="00361437">
              <w:rPr>
                <w:rFonts w:ascii="Arial" w:eastAsia="Times New Roman" w:hAnsi="Arial" w:cs="Arial"/>
                <w:color w:val="000000" w:themeColor="text1"/>
                <w:sz w:val="20"/>
                <w:lang w:eastAsia="en-GB"/>
              </w:rPr>
              <w:t>0.</w:t>
            </w:r>
            <w:r w:rsidR="009C7A8C" w:rsidRPr="00361437">
              <w:rPr>
                <w:rFonts w:ascii="Arial" w:eastAsia="Times New Roman" w:hAnsi="Arial" w:cs="Arial"/>
                <w:color w:val="000000" w:themeColor="text1"/>
                <w:sz w:val="20"/>
                <w:lang w:eastAsia="en-GB"/>
              </w:rPr>
              <w:t>9</w:t>
            </w:r>
            <w:r w:rsidR="005F0EEB" w:rsidRPr="00361437">
              <w:rPr>
                <w:rFonts w:ascii="Arial" w:eastAsia="Times New Roman" w:hAnsi="Arial" w:cs="Arial"/>
                <w:color w:val="000000" w:themeColor="text1"/>
                <w:sz w:val="20"/>
                <w:lang w:eastAsia="en-GB"/>
              </w:rPr>
              <w:t>6</w:t>
            </w:r>
            <w:r w:rsidRPr="00361437">
              <w:rPr>
                <w:rFonts w:ascii="Arial" w:eastAsia="Times New Roman" w:hAnsi="Arial" w:cs="Arial"/>
                <w:color w:val="000000" w:themeColor="text1"/>
                <w:sz w:val="20"/>
                <w:lang w:eastAsia="en-GB"/>
              </w:rPr>
              <w:t>%</w:t>
            </w:r>
          </w:p>
        </w:tc>
        <w:tc>
          <w:tcPr>
            <w:tcW w:w="1466" w:type="dxa"/>
            <w:tcBorders>
              <w:top w:val="single" w:sz="4" w:space="0" w:color="auto"/>
              <w:left w:val="nil"/>
              <w:bottom w:val="nil"/>
              <w:right w:val="nil"/>
            </w:tcBorders>
            <w:vAlign w:val="center"/>
            <w:hideMark/>
          </w:tcPr>
          <w:p w14:paraId="34A9EDC0" w14:textId="4168F927" w:rsidR="00032E88" w:rsidRPr="00361437" w:rsidRDefault="00AC686B">
            <w:pPr>
              <w:tabs>
                <w:tab w:val="decimal" w:pos="645"/>
              </w:tabs>
              <w:spacing w:before="100" w:beforeAutospacing="1" w:after="100" w:afterAutospacing="1" w:line="254" w:lineRule="auto"/>
              <w:contextualSpacing/>
              <w:rPr>
                <w:rFonts w:ascii="Arial" w:eastAsia="Times New Roman" w:hAnsi="Arial" w:cs="Arial"/>
                <w:color w:val="000000" w:themeColor="text1"/>
                <w:sz w:val="20"/>
                <w:lang w:eastAsia="en-GB"/>
              </w:rPr>
            </w:pPr>
            <w:r w:rsidRPr="00361437">
              <w:rPr>
                <w:rFonts w:ascii="Arial" w:eastAsia="Times New Roman" w:hAnsi="Arial" w:cs="Arial"/>
                <w:color w:val="000000" w:themeColor="text1"/>
                <w:sz w:val="20"/>
                <w:lang w:eastAsia="en-GB"/>
              </w:rPr>
              <w:t>6.48</w:t>
            </w:r>
            <w:r w:rsidR="00032E88" w:rsidRPr="00361437">
              <w:rPr>
                <w:rFonts w:ascii="Arial" w:eastAsia="Times New Roman" w:hAnsi="Arial" w:cs="Arial"/>
                <w:color w:val="000000" w:themeColor="text1"/>
                <w:sz w:val="20"/>
                <w:vertAlign w:val="superscript"/>
                <w:lang w:eastAsia="en-GB"/>
              </w:rPr>
              <w:t>***</w:t>
            </w:r>
          </w:p>
        </w:tc>
      </w:tr>
      <w:tr w:rsidR="00032E88" w:rsidRPr="00361437" w14:paraId="7BB5D8B8" w14:textId="77777777" w:rsidTr="00032E88">
        <w:trPr>
          <w:trHeight w:val="300"/>
        </w:trPr>
        <w:tc>
          <w:tcPr>
            <w:tcW w:w="4410" w:type="dxa"/>
            <w:tcBorders>
              <w:top w:val="nil"/>
              <w:left w:val="nil"/>
              <w:bottom w:val="single" w:sz="4" w:space="0" w:color="auto"/>
              <w:right w:val="nil"/>
            </w:tcBorders>
            <w:noWrap/>
            <w:vAlign w:val="center"/>
            <w:hideMark/>
          </w:tcPr>
          <w:p w14:paraId="46121C22" w14:textId="77777777" w:rsidR="00032E88" w:rsidRPr="00361437" w:rsidRDefault="00032E88" w:rsidP="00327A66">
            <w:pPr>
              <w:spacing w:before="100" w:beforeAutospacing="1" w:after="100" w:afterAutospacing="1" w:line="254" w:lineRule="auto"/>
              <w:contextualSpacing/>
              <w:rPr>
                <w:rFonts w:ascii="Arial" w:eastAsia="Times New Roman" w:hAnsi="Arial" w:cs="Arial"/>
                <w:color w:val="000000" w:themeColor="text1"/>
                <w:sz w:val="20"/>
                <w:lang w:eastAsia="en-GB"/>
              </w:rPr>
            </w:pPr>
            <w:r w:rsidRPr="00361437">
              <w:rPr>
                <w:rFonts w:ascii="Arial" w:eastAsia="Times New Roman" w:hAnsi="Arial" w:cs="Arial"/>
                <w:color w:val="000000" w:themeColor="text1"/>
                <w:sz w:val="20"/>
                <w:lang w:eastAsia="en-GB"/>
              </w:rPr>
              <w:t xml:space="preserve">Funds within a family vote differently on the same proposal conditional on ISS </w:t>
            </w:r>
            <w:r w:rsidRPr="00361437">
              <w:rPr>
                <w:rFonts w:ascii="Arial" w:hAnsi="Arial" w:cs="Arial"/>
                <w:sz w:val="20"/>
              </w:rPr>
              <w:t>recommendation to vote against management</w:t>
            </w:r>
          </w:p>
        </w:tc>
        <w:tc>
          <w:tcPr>
            <w:tcW w:w="1619" w:type="dxa"/>
            <w:tcBorders>
              <w:top w:val="nil"/>
              <w:left w:val="nil"/>
              <w:bottom w:val="single" w:sz="4" w:space="0" w:color="auto"/>
              <w:right w:val="nil"/>
            </w:tcBorders>
            <w:noWrap/>
            <w:vAlign w:val="center"/>
            <w:hideMark/>
          </w:tcPr>
          <w:p w14:paraId="3FCE16B3" w14:textId="77777777" w:rsidR="00032E88" w:rsidRPr="00361437" w:rsidRDefault="00032E88">
            <w:pPr>
              <w:spacing w:before="100" w:beforeAutospacing="1" w:after="100" w:afterAutospacing="1" w:line="254" w:lineRule="auto"/>
              <w:contextualSpacing/>
              <w:jc w:val="center"/>
              <w:rPr>
                <w:rFonts w:ascii="Arial" w:eastAsia="Times New Roman" w:hAnsi="Arial" w:cs="Arial"/>
                <w:color w:val="000000" w:themeColor="text1"/>
                <w:sz w:val="20"/>
                <w:lang w:eastAsia="en-GB"/>
              </w:rPr>
            </w:pPr>
            <w:r w:rsidRPr="00361437">
              <w:rPr>
                <w:rFonts w:ascii="Arial" w:eastAsia="Times New Roman" w:hAnsi="Arial" w:cs="Arial"/>
                <w:color w:val="000000" w:themeColor="text1"/>
                <w:sz w:val="20"/>
                <w:lang w:eastAsia="en-GB"/>
              </w:rPr>
              <w:t>(N=462)</w:t>
            </w:r>
          </w:p>
          <w:p w14:paraId="60499C67" w14:textId="3D148816" w:rsidR="00032E88" w:rsidRPr="00361437" w:rsidRDefault="00032E88">
            <w:pPr>
              <w:spacing w:before="100" w:beforeAutospacing="1" w:after="100" w:afterAutospacing="1" w:line="254" w:lineRule="auto"/>
              <w:contextualSpacing/>
              <w:jc w:val="center"/>
              <w:rPr>
                <w:rFonts w:ascii="Arial" w:eastAsia="Times New Roman" w:hAnsi="Arial" w:cs="Arial"/>
                <w:color w:val="000000" w:themeColor="text1"/>
                <w:sz w:val="20"/>
                <w:lang w:eastAsia="en-GB"/>
              </w:rPr>
            </w:pPr>
            <w:r w:rsidRPr="00361437">
              <w:rPr>
                <w:rFonts w:ascii="Arial" w:eastAsia="Times New Roman" w:hAnsi="Arial" w:cs="Arial"/>
                <w:color w:val="000000" w:themeColor="text1"/>
                <w:sz w:val="20"/>
                <w:lang w:eastAsia="en-GB"/>
              </w:rPr>
              <w:t>4.</w:t>
            </w:r>
            <w:r w:rsidR="005F0EEB" w:rsidRPr="00361437">
              <w:rPr>
                <w:rFonts w:ascii="Arial" w:eastAsia="Times New Roman" w:hAnsi="Arial" w:cs="Arial"/>
                <w:color w:val="000000" w:themeColor="text1"/>
                <w:sz w:val="20"/>
                <w:lang w:eastAsia="en-GB"/>
              </w:rPr>
              <w:t>16</w:t>
            </w:r>
            <w:r w:rsidRPr="00361437">
              <w:rPr>
                <w:rFonts w:ascii="Arial" w:eastAsia="Times New Roman" w:hAnsi="Arial" w:cs="Arial"/>
                <w:color w:val="000000" w:themeColor="text1"/>
                <w:sz w:val="20"/>
                <w:lang w:eastAsia="en-GB"/>
              </w:rPr>
              <w:t>%</w:t>
            </w:r>
          </w:p>
        </w:tc>
        <w:tc>
          <w:tcPr>
            <w:tcW w:w="1531" w:type="dxa"/>
            <w:tcBorders>
              <w:top w:val="nil"/>
              <w:left w:val="nil"/>
              <w:bottom w:val="single" w:sz="4" w:space="0" w:color="auto"/>
              <w:right w:val="nil"/>
            </w:tcBorders>
            <w:vAlign w:val="center"/>
            <w:hideMark/>
          </w:tcPr>
          <w:p w14:paraId="03021149" w14:textId="5A43E8F2" w:rsidR="00032E88" w:rsidRPr="00361437" w:rsidRDefault="00032E88">
            <w:pPr>
              <w:spacing w:before="100" w:beforeAutospacing="1" w:after="100" w:afterAutospacing="1" w:line="254" w:lineRule="auto"/>
              <w:contextualSpacing/>
              <w:jc w:val="center"/>
              <w:rPr>
                <w:rFonts w:ascii="Arial" w:eastAsia="Times New Roman" w:hAnsi="Arial" w:cs="Arial"/>
                <w:color w:val="000000" w:themeColor="text1"/>
                <w:sz w:val="20"/>
                <w:lang w:eastAsia="en-GB"/>
              </w:rPr>
            </w:pPr>
            <w:r w:rsidRPr="00361437">
              <w:rPr>
                <w:rFonts w:ascii="Arial" w:eastAsia="Times New Roman" w:hAnsi="Arial" w:cs="Arial"/>
                <w:color w:val="000000" w:themeColor="text1"/>
                <w:sz w:val="20"/>
                <w:lang w:eastAsia="en-GB"/>
              </w:rPr>
              <w:t>(N=</w:t>
            </w:r>
            <w:r w:rsidR="005F0EEB" w:rsidRPr="00361437">
              <w:rPr>
                <w:rFonts w:ascii="Arial" w:eastAsia="Times New Roman" w:hAnsi="Arial" w:cs="Arial"/>
                <w:color w:val="000000" w:themeColor="text1"/>
                <w:sz w:val="20"/>
                <w:lang w:eastAsia="en-GB"/>
              </w:rPr>
              <w:t>4,070</w:t>
            </w:r>
            <w:r w:rsidRPr="00361437">
              <w:rPr>
                <w:rFonts w:ascii="Arial" w:eastAsia="Times New Roman" w:hAnsi="Arial" w:cs="Arial"/>
                <w:color w:val="000000" w:themeColor="text1"/>
                <w:sz w:val="20"/>
                <w:lang w:eastAsia="en-GB"/>
              </w:rPr>
              <w:t>)</w:t>
            </w:r>
          </w:p>
          <w:p w14:paraId="015DC649" w14:textId="68BBF0D2" w:rsidR="00032E88" w:rsidRPr="00361437" w:rsidRDefault="00032E88">
            <w:pPr>
              <w:spacing w:before="100" w:beforeAutospacing="1" w:after="100" w:afterAutospacing="1" w:line="254" w:lineRule="auto"/>
              <w:contextualSpacing/>
              <w:jc w:val="center"/>
              <w:rPr>
                <w:rFonts w:ascii="Arial" w:eastAsia="Times New Roman" w:hAnsi="Arial" w:cs="Arial"/>
                <w:color w:val="000000" w:themeColor="text1"/>
                <w:sz w:val="20"/>
                <w:lang w:eastAsia="en-GB"/>
              </w:rPr>
            </w:pPr>
            <w:r w:rsidRPr="00361437">
              <w:rPr>
                <w:rFonts w:ascii="Arial" w:eastAsia="Times New Roman" w:hAnsi="Arial" w:cs="Arial"/>
                <w:color w:val="000000" w:themeColor="text1"/>
                <w:sz w:val="20"/>
                <w:lang w:eastAsia="en-GB"/>
              </w:rPr>
              <w:t>1.</w:t>
            </w:r>
            <w:r w:rsidR="005F0EEB" w:rsidRPr="00361437">
              <w:rPr>
                <w:rFonts w:ascii="Arial" w:eastAsia="Times New Roman" w:hAnsi="Arial" w:cs="Arial"/>
                <w:color w:val="000000" w:themeColor="text1"/>
                <w:sz w:val="20"/>
                <w:lang w:eastAsia="en-GB"/>
              </w:rPr>
              <w:t>77</w:t>
            </w:r>
            <w:r w:rsidRPr="00361437">
              <w:rPr>
                <w:rFonts w:ascii="Arial" w:eastAsia="Times New Roman" w:hAnsi="Arial" w:cs="Arial"/>
                <w:color w:val="000000" w:themeColor="text1"/>
                <w:sz w:val="20"/>
                <w:lang w:eastAsia="en-GB"/>
              </w:rPr>
              <w:t>%</w:t>
            </w:r>
          </w:p>
        </w:tc>
        <w:tc>
          <w:tcPr>
            <w:tcW w:w="1466" w:type="dxa"/>
            <w:tcBorders>
              <w:top w:val="nil"/>
              <w:left w:val="nil"/>
              <w:bottom w:val="single" w:sz="4" w:space="0" w:color="auto"/>
              <w:right w:val="nil"/>
            </w:tcBorders>
            <w:vAlign w:val="center"/>
            <w:hideMark/>
          </w:tcPr>
          <w:p w14:paraId="058C8ACF" w14:textId="66A4C928" w:rsidR="00032E88" w:rsidRPr="00361437" w:rsidRDefault="00AC686B">
            <w:pPr>
              <w:tabs>
                <w:tab w:val="decimal" w:pos="645"/>
              </w:tabs>
              <w:spacing w:before="100" w:beforeAutospacing="1" w:after="100" w:afterAutospacing="1" w:line="254" w:lineRule="auto"/>
              <w:contextualSpacing/>
              <w:rPr>
                <w:rFonts w:ascii="Arial" w:eastAsia="Times New Roman" w:hAnsi="Arial" w:cs="Arial"/>
                <w:color w:val="000000" w:themeColor="text1"/>
                <w:sz w:val="20"/>
                <w:lang w:eastAsia="en-GB"/>
              </w:rPr>
            </w:pPr>
            <w:r w:rsidRPr="00361437">
              <w:rPr>
                <w:rFonts w:ascii="Arial" w:eastAsia="Times New Roman" w:hAnsi="Arial" w:cs="Arial"/>
                <w:color w:val="000000" w:themeColor="text1"/>
                <w:sz w:val="20"/>
                <w:lang w:eastAsia="en-GB"/>
              </w:rPr>
              <w:t>3.47</w:t>
            </w:r>
            <w:r w:rsidR="00032E88" w:rsidRPr="00361437">
              <w:rPr>
                <w:rFonts w:ascii="Arial" w:eastAsia="Times New Roman" w:hAnsi="Arial" w:cs="Arial"/>
                <w:color w:val="000000" w:themeColor="text1"/>
                <w:sz w:val="20"/>
                <w:vertAlign w:val="superscript"/>
                <w:lang w:eastAsia="en-GB"/>
              </w:rPr>
              <w:t>***</w:t>
            </w:r>
          </w:p>
        </w:tc>
      </w:tr>
    </w:tbl>
    <w:p w14:paraId="0A47FA66" w14:textId="77777777" w:rsidR="00032E88" w:rsidRPr="00361437" w:rsidRDefault="00032E88" w:rsidP="00032E88">
      <w:pPr>
        <w:rPr>
          <w:rFonts w:ascii="Arial" w:hAnsi="Arial" w:cs="Arial"/>
          <w:b/>
          <w:sz w:val="20"/>
        </w:rPr>
      </w:pPr>
    </w:p>
    <w:p w14:paraId="3499E723" w14:textId="77777777" w:rsidR="00032E88" w:rsidRPr="00361437" w:rsidRDefault="00032E88" w:rsidP="00032E88">
      <w:pPr>
        <w:spacing w:after="160" w:line="256" w:lineRule="auto"/>
        <w:rPr>
          <w:rFonts w:ascii="Arial" w:eastAsia="Calibri" w:hAnsi="Arial" w:cs="Arial"/>
          <w:b/>
          <w:sz w:val="20"/>
        </w:rPr>
      </w:pPr>
      <w:r w:rsidRPr="00361437">
        <w:rPr>
          <w:rFonts w:ascii="Arial" w:eastAsia="Calibri" w:hAnsi="Arial" w:cs="Arial"/>
          <w:b/>
          <w:sz w:val="20"/>
        </w:rPr>
        <w:br w:type="page"/>
      </w:r>
    </w:p>
    <w:p w14:paraId="6B41EA4B" w14:textId="77777777" w:rsidR="006F39AD" w:rsidRPr="00361437" w:rsidRDefault="00032E88" w:rsidP="006F39AD">
      <w:pPr>
        <w:pBdr>
          <w:top w:val="single" w:sz="4" w:space="1" w:color="auto"/>
        </w:pBdr>
        <w:jc w:val="center"/>
        <w:rPr>
          <w:rFonts w:ascii="Arial" w:eastAsia="Calibri" w:hAnsi="Arial" w:cs="Arial"/>
          <w:sz w:val="24"/>
        </w:rPr>
      </w:pPr>
      <w:r w:rsidRPr="00361437">
        <w:rPr>
          <w:rFonts w:ascii="Arial" w:eastAsia="Calibri" w:hAnsi="Arial" w:cs="Arial"/>
          <w:sz w:val="24"/>
        </w:rPr>
        <w:lastRenderedPageBreak/>
        <w:t>T</w:t>
      </w:r>
      <w:r w:rsidR="006F39AD" w:rsidRPr="00361437">
        <w:rPr>
          <w:rFonts w:ascii="Arial" w:eastAsia="Calibri" w:hAnsi="Arial" w:cs="Arial"/>
          <w:sz w:val="24"/>
        </w:rPr>
        <w:t>ABLE</w:t>
      </w:r>
      <w:r w:rsidRPr="00361437">
        <w:rPr>
          <w:rFonts w:ascii="Arial" w:eastAsia="Calibri" w:hAnsi="Arial" w:cs="Arial"/>
          <w:sz w:val="24"/>
        </w:rPr>
        <w:t xml:space="preserve"> 4</w:t>
      </w:r>
    </w:p>
    <w:p w14:paraId="0F4500DC" w14:textId="1305C7D6" w:rsidR="00032E88" w:rsidRPr="00361437" w:rsidRDefault="00032E88" w:rsidP="006F39AD">
      <w:pPr>
        <w:pBdr>
          <w:bottom w:val="single" w:sz="4" w:space="1" w:color="auto"/>
        </w:pBdr>
        <w:jc w:val="center"/>
        <w:rPr>
          <w:rFonts w:ascii="Arial" w:eastAsia="Calibri" w:hAnsi="Arial" w:cs="Arial"/>
          <w:sz w:val="24"/>
        </w:rPr>
      </w:pPr>
      <w:r w:rsidRPr="00361437">
        <w:rPr>
          <w:rFonts w:ascii="Arial" w:eastAsia="Calibri" w:hAnsi="Arial" w:cs="Arial"/>
          <w:sz w:val="24"/>
        </w:rPr>
        <w:t xml:space="preserve">The </w:t>
      </w:r>
      <w:r w:rsidR="006F39AD" w:rsidRPr="00361437">
        <w:rPr>
          <w:rFonts w:ascii="Arial" w:eastAsia="Calibri" w:hAnsi="Arial" w:cs="Arial"/>
          <w:sz w:val="24"/>
        </w:rPr>
        <w:t>E</w:t>
      </w:r>
      <w:r w:rsidRPr="00361437">
        <w:rPr>
          <w:rFonts w:ascii="Arial" w:eastAsia="Calibri" w:hAnsi="Arial" w:cs="Arial"/>
          <w:sz w:val="24"/>
        </w:rPr>
        <w:t xml:space="preserve">ffects of </w:t>
      </w:r>
      <w:r w:rsidR="006F39AD" w:rsidRPr="00361437">
        <w:rPr>
          <w:rFonts w:ascii="Arial" w:eastAsia="Calibri" w:hAnsi="Arial" w:cs="Arial"/>
          <w:sz w:val="24"/>
        </w:rPr>
        <w:t>Debt H</w:t>
      </w:r>
      <w:r w:rsidRPr="00361437">
        <w:rPr>
          <w:rFonts w:ascii="Arial" w:eastAsia="Calibri" w:hAnsi="Arial" w:cs="Arial"/>
          <w:sz w:val="24"/>
        </w:rPr>
        <w:t xml:space="preserve">oldings on </w:t>
      </w:r>
      <w:r w:rsidR="006F39AD" w:rsidRPr="00361437">
        <w:rPr>
          <w:rFonts w:ascii="Arial" w:eastAsia="Calibri" w:hAnsi="Arial" w:cs="Arial"/>
          <w:sz w:val="24"/>
        </w:rPr>
        <w:t>V</w:t>
      </w:r>
      <w:r w:rsidRPr="00361437">
        <w:rPr>
          <w:rFonts w:ascii="Arial" w:eastAsia="Calibri" w:hAnsi="Arial" w:cs="Arial"/>
          <w:sz w:val="24"/>
        </w:rPr>
        <w:t xml:space="preserve">oting by </w:t>
      </w:r>
      <w:r w:rsidR="006F39AD" w:rsidRPr="00361437">
        <w:rPr>
          <w:rFonts w:ascii="Arial" w:eastAsia="Calibri" w:hAnsi="Arial" w:cs="Arial"/>
          <w:sz w:val="24"/>
        </w:rPr>
        <w:t>A</w:t>
      </w:r>
      <w:r w:rsidRPr="00361437">
        <w:rPr>
          <w:rFonts w:ascii="Arial" w:eastAsia="Calibri" w:hAnsi="Arial" w:cs="Arial"/>
          <w:sz w:val="24"/>
        </w:rPr>
        <w:t xml:space="preserve">ctive vs </w:t>
      </w:r>
      <w:r w:rsidR="006F39AD" w:rsidRPr="00361437">
        <w:rPr>
          <w:rFonts w:ascii="Arial" w:eastAsia="Calibri" w:hAnsi="Arial" w:cs="Arial"/>
          <w:sz w:val="24"/>
        </w:rPr>
        <w:t>Passive Fu</w:t>
      </w:r>
      <w:r w:rsidRPr="00361437">
        <w:rPr>
          <w:rFonts w:ascii="Arial" w:eastAsia="Calibri" w:hAnsi="Arial" w:cs="Arial"/>
          <w:sz w:val="24"/>
        </w:rPr>
        <w:t>nds</w:t>
      </w:r>
    </w:p>
    <w:p w14:paraId="653EB4E9" w14:textId="77777777" w:rsidR="00032E88" w:rsidRPr="00361437" w:rsidRDefault="00032E88" w:rsidP="00032E88">
      <w:pPr>
        <w:rPr>
          <w:rFonts w:ascii="Arial" w:eastAsia="Calibri" w:hAnsi="Arial" w:cs="Arial"/>
          <w:sz w:val="20"/>
        </w:rPr>
      </w:pPr>
    </w:p>
    <w:p w14:paraId="31AF494E" w14:textId="23D2E94F" w:rsidR="00032E88" w:rsidRPr="00361437" w:rsidRDefault="00032E88" w:rsidP="00032E88">
      <w:pPr>
        <w:jc w:val="both"/>
        <w:rPr>
          <w:rFonts w:ascii="Arial" w:eastAsia="Calibri" w:hAnsi="Arial" w:cs="Arial"/>
          <w:sz w:val="20"/>
        </w:rPr>
      </w:pPr>
      <w:r w:rsidRPr="00361437">
        <w:rPr>
          <w:rFonts w:ascii="Arial" w:eastAsia="Calibri" w:hAnsi="Arial" w:cs="Arial"/>
          <w:sz w:val="20"/>
        </w:rPr>
        <w:t>This table presents the analysis of fund debt holdings on voting</w:t>
      </w:r>
      <w:r w:rsidR="00BB530E" w:rsidRPr="00361437">
        <w:rPr>
          <w:rFonts w:ascii="Arial" w:eastAsia="Calibri" w:hAnsi="Arial" w:cs="Arial"/>
          <w:sz w:val="20"/>
        </w:rPr>
        <w:t xml:space="preserve"> for active and passive funds</w:t>
      </w:r>
      <w:r w:rsidRPr="00361437">
        <w:rPr>
          <w:rFonts w:ascii="Arial" w:eastAsia="Calibri" w:hAnsi="Arial" w:cs="Arial"/>
          <w:sz w:val="20"/>
        </w:rPr>
        <w:t xml:space="preserve">. Panel A shows the summary statistics for the </w:t>
      </w:r>
      <w:r w:rsidR="009F6C4A" w:rsidRPr="00361437">
        <w:rPr>
          <w:rFonts w:ascii="Arial" w:eastAsia="Calibri" w:hAnsi="Arial" w:cs="Arial"/>
          <w:sz w:val="20"/>
        </w:rPr>
        <w:t>FAMILY_DEBT_FRACTION</w:t>
      </w:r>
      <w:r w:rsidRPr="00361437">
        <w:rPr>
          <w:rFonts w:ascii="Arial" w:eastAsia="Calibri" w:hAnsi="Arial" w:cs="Arial"/>
          <w:sz w:val="20"/>
        </w:rPr>
        <w:t xml:space="preserve"> depending on whether the fund holding the firm’s debt is active or passive. Debt fraction at the family level for active (passive) funds is the proportion of investment in bonds by active (passive) funds in total investment in bonds and equity for all funds in the family. Panels B presents the effects of active or passive family debt holding on voting under financial distress using the regressions in Model 2 of Table 3 Panel A. All other variables are defined in </w:t>
      </w:r>
      <w:r w:rsidR="00D10EEF" w:rsidRPr="00361437">
        <w:rPr>
          <w:rFonts w:ascii="Arial" w:eastAsia="Calibri" w:hAnsi="Arial" w:cs="Arial"/>
          <w:sz w:val="20"/>
        </w:rPr>
        <w:t xml:space="preserve">the </w:t>
      </w:r>
      <w:r w:rsidRPr="00361437">
        <w:rPr>
          <w:rFonts w:ascii="Arial" w:eastAsia="Calibri" w:hAnsi="Arial" w:cs="Arial"/>
          <w:sz w:val="20"/>
        </w:rPr>
        <w:t xml:space="preserve">Appendix. </w:t>
      </w:r>
      <w:r w:rsidRPr="00361437">
        <w:rPr>
          <w:rFonts w:ascii="Arial" w:eastAsia="Calibri" w:hAnsi="Arial" w:cs="Arial"/>
          <w:sz w:val="20"/>
          <w:vertAlign w:val="superscript"/>
        </w:rPr>
        <w:t>*</w:t>
      </w:r>
      <w:r w:rsidRPr="00361437">
        <w:rPr>
          <w:rFonts w:ascii="Arial" w:eastAsia="Calibri" w:hAnsi="Arial" w:cs="Arial"/>
          <w:sz w:val="20"/>
        </w:rPr>
        <w:t xml:space="preserve">, </w:t>
      </w:r>
      <w:r w:rsidRPr="00361437">
        <w:rPr>
          <w:rFonts w:ascii="Arial" w:eastAsia="Calibri" w:hAnsi="Arial" w:cs="Arial"/>
          <w:sz w:val="20"/>
          <w:vertAlign w:val="superscript"/>
        </w:rPr>
        <w:t>**</w:t>
      </w:r>
      <w:r w:rsidRPr="00361437">
        <w:rPr>
          <w:rFonts w:ascii="Arial" w:eastAsia="Calibri" w:hAnsi="Arial" w:cs="Arial"/>
          <w:sz w:val="20"/>
        </w:rPr>
        <w:t xml:space="preserve">, and </w:t>
      </w:r>
      <w:r w:rsidRPr="00361437">
        <w:rPr>
          <w:rFonts w:ascii="Arial" w:eastAsia="Calibri" w:hAnsi="Arial" w:cs="Arial"/>
          <w:sz w:val="20"/>
          <w:vertAlign w:val="superscript"/>
        </w:rPr>
        <w:t>***</w:t>
      </w:r>
      <w:r w:rsidRPr="00361437">
        <w:rPr>
          <w:rFonts w:ascii="Arial" w:eastAsia="Calibri" w:hAnsi="Arial" w:cs="Arial"/>
          <w:sz w:val="20"/>
        </w:rPr>
        <w:t xml:space="preserve"> denote statistical significance at the 10%, 5%, and 1% level, respectively.</w:t>
      </w:r>
    </w:p>
    <w:p w14:paraId="2C9BF613" w14:textId="77777777" w:rsidR="00032E88" w:rsidRPr="00361437" w:rsidRDefault="00032E88" w:rsidP="00032E88">
      <w:pPr>
        <w:rPr>
          <w:rFonts w:ascii="Arial" w:eastAsia="Calibri" w:hAnsi="Arial" w:cs="Arial"/>
          <w:sz w:val="20"/>
        </w:rPr>
      </w:pPr>
    </w:p>
    <w:tbl>
      <w:tblPr>
        <w:tblW w:w="5000" w:type="pct"/>
        <w:tblLook w:val="04A0" w:firstRow="1" w:lastRow="0" w:firstColumn="1" w:lastColumn="0" w:noHBand="0" w:noVBand="1"/>
      </w:tblPr>
      <w:tblGrid>
        <w:gridCol w:w="3822"/>
        <w:gridCol w:w="820"/>
        <w:gridCol w:w="1045"/>
        <w:gridCol w:w="200"/>
        <w:gridCol w:w="820"/>
        <w:gridCol w:w="1045"/>
        <w:gridCol w:w="200"/>
        <w:gridCol w:w="1074"/>
      </w:tblGrid>
      <w:tr w:rsidR="00032E88" w:rsidRPr="00361437" w14:paraId="78FF1ED5" w14:textId="77777777" w:rsidTr="006F39AD">
        <w:trPr>
          <w:trHeight w:val="360"/>
        </w:trPr>
        <w:tc>
          <w:tcPr>
            <w:tcW w:w="5000" w:type="pct"/>
            <w:gridSpan w:val="8"/>
            <w:tcBorders>
              <w:left w:val="nil"/>
              <w:bottom w:val="single" w:sz="4" w:space="0" w:color="auto"/>
              <w:right w:val="nil"/>
            </w:tcBorders>
            <w:noWrap/>
            <w:vAlign w:val="center"/>
            <w:hideMark/>
          </w:tcPr>
          <w:p w14:paraId="763C0E57" w14:textId="77777777" w:rsidR="00032E88" w:rsidRPr="00361437" w:rsidRDefault="00032E88" w:rsidP="00032E88">
            <w:pPr>
              <w:spacing w:before="100" w:beforeAutospacing="1" w:after="100" w:afterAutospacing="1" w:line="256" w:lineRule="auto"/>
              <w:contextualSpacing/>
              <w:rPr>
                <w:rFonts w:ascii="Arial" w:eastAsia="Times New Roman" w:hAnsi="Arial" w:cs="Arial"/>
                <w:i/>
                <w:color w:val="000000"/>
                <w:sz w:val="20"/>
                <w:lang w:eastAsia="en-GB"/>
              </w:rPr>
            </w:pPr>
            <w:r w:rsidRPr="00361437">
              <w:rPr>
                <w:rFonts w:ascii="Arial" w:eastAsia="Times New Roman" w:hAnsi="Arial" w:cs="Arial"/>
                <w:i/>
                <w:color w:val="000000"/>
                <w:sz w:val="20"/>
                <w:lang w:eastAsia="en-GB"/>
              </w:rPr>
              <w:t>Panel A: Summary statistics of debt holdings</w:t>
            </w:r>
          </w:p>
        </w:tc>
      </w:tr>
      <w:tr w:rsidR="00032E88" w:rsidRPr="00361437" w14:paraId="05965CD8" w14:textId="77777777" w:rsidTr="00032E88">
        <w:trPr>
          <w:trHeight w:val="360"/>
        </w:trPr>
        <w:tc>
          <w:tcPr>
            <w:tcW w:w="2117" w:type="pct"/>
            <w:noWrap/>
            <w:vAlign w:val="center"/>
          </w:tcPr>
          <w:p w14:paraId="6E4EBBB3" w14:textId="77777777" w:rsidR="00032E88" w:rsidRPr="00361437" w:rsidRDefault="00032E88" w:rsidP="00032E88">
            <w:pPr>
              <w:spacing w:before="100" w:beforeAutospacing="1" w:after="100" w:afterAutospacing="1" w:line="256" w:lineRule="auto"/>
              <w:contextualSpacing/>
              <w:rPr>
                <w:rFonts w:ascii="Arial" w:eastAsia="Times New Roman" w:hAnsi="Arial" w:cs="Arial"/>
                <w:color w:val="000000"/>
                <w:sz w:val="20"/>
                <w:lang w:eastAsia="en-GB"/>
              </w:rPr>
            </w:pPr>
          </w:p>
        </w:tc>
        <w:tc>
          <w:tcPr>
            <w:tcW w:w="1033" w:type="pct"/>
            <w:gridSpan w:val="2"/>
            <w:tcBorders>
              <w:top w:val="single" w:sz="4" w:space="0" w:color="auto"/>
              <w:left w:val="nil"/>
              <w:bottom w:val="single" w:sz="4" w:space="0" w:color="auto"/>
              <w:right w:val="nil"/>
            </w:tcBorders>
            <w:tcMar>
              <w:top w:w="0" w:type="dxa"/>
              <w:left w:w="29" w:type="dxa"/>
              <w:bottom w:w="0" w:type="dxa"/>
              <w:right w:w="29" w:type="dxa"/>
            </w:tcMar>
            <w:vAlign w:val="center"/>
            <w:hideMark/>
          </w:tcPr>
          <w:p w14:paraId="5D83B8A3"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Active funds</w:t>
            </w:r>
          </w:p>
        </w:tc>
        <w:tc>
          <w:tcPr>
            <w:tcW w:w="111" w:type="pct"/>
            <w:tcMar>
              <w:top w:w="0" w:type="dxa"/>
              <w:left w:w="29" w:type="dxa"/>
              <w:bottom w:w="0" w:type="dxa"/>
              <w:right w:w="29" w:type="dxa"/>
            </w:tcMar>
            <w:vAlign w:val="center"/>
          </w:tcPr>
          <w:p w14:paraId="214F33BC"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p>
        </w:tc>
        <w:tc>
          <w:tcPr>
            <w:tcW w:w="1033" w:type="pct"/>
            <w:gridSpan w:val="2"/>
            <w:tcBorders>
              <w:top w:val="single" w:sz="4" w:space="0" w:color="auto"/>
              <w:left w:val="nil"/>
              <w:bottom w:val="single" w:sz="4" w:space="0" w:color="auto"/>
              <w:right w:val="nil"/>
            </w:tcBorders>
            <w:noWrap/>
            <w:tcMar>
              <w:top w:w="0" w:type="dxa"/>
              <w:left w:w="29" w:type="dxa"/>
              <w:bottom w:w="0" w:type="dxa"/>
              <w:right w:w="29" w:type="dxa"/>
            </w:tcMar>
            <w:vAlign w:val="center"/>
            <w:hideMark/>
          </w:tcPr>
          <w:p w14:paraId="76808A10"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Passive funds</w:t>
            </w:r>
          </w:p>
        </w:tc>
        <w:tc>
          <w:tcPr>
            <w:tcW w:w="111" w:type="pct"/>
            <w:tcMar>
              <w:top w:w="0" w:type="dxa"/>
              <w:left w:w="29" w:type="dxa"/>
              <w:bottom w:w="0" w:type="dxa"/>
              <w:right w:w="29" w:type="dxa"/>
            </w:tcMar>
            <w:vAlign w:val="center"/>
          </w:tcPr>
          <w:p w14:paraId="3C3D6EB1"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p>
        </w:tc>
        <w:tc>
          <w:tcPr>
            <w:tcW w:w="596" w:type="pct"/>
            <w:tcBorders>
              <w:top w:val="single" w:sz="4" w:space="0" w:color="auto"/>
              <w:left w:val="nil"/>
              <w:bottom w:val="single" w:sz="4" w:space="0" w:color="auto"/>
              <w:right w:val="nil"/>
            </w:tcBorders>
            <w:tcMar>
              <w:top w:w="0" w:type="dxa"/>
              <w:left w:w="29" w:type="dxa"/>
              <w:bottom w:w="0" w:type="dxa"/>
              <w:right w:w="29" w:type="dxa"/>
            </w:tcMar>
            <w:vAlign w:val="center"/>
            <w:hideMark/>
          </w:tcPr>
          <w:p w14:paraId="1BCC3EEA"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Difference</w:t>
            </w:r>
          </w:p>
        </w:tc>
      </w:tr>
      <w:tr w:rsidR="00032E88" w:rsidRPr="00361437" w14:paraId="27DE793C" w14:textId="77777777" w:rsidTr="00032E88">
        <w:trPr>
          <w:trHeight w:val="360"/>
        </w:trPr>
        <w:tc>
          <w:tcPr>
            <w:tcW w:w="2117" w:type="pct"/>
            <w:tcBorders>
              <w:top w:val="nil"/>
              <w:left w:val="nil"/>
              <w:bottom w:val="single" w:sz="4" w:space="0" w:color="auto"/>
              <w:right w:val="nil"/>
            </w:tcBorders>
            <w:noWrap/>
            <w:vAlign w:val="center"/>
          </w:tcPr>
          <w:p w14:paraId="74748908" w14:textId="77777777" w:rsidR="00032E88" w:rsidRPr="00361437" w:rsidRDefault="00032E88" w:rsidP="00032E88">
            <w:pPr>
              <w:spacing w:before="100" w:beforeAutospacing="1" w:after="100" w:afterAutospacing="1" w:line="256" w:lineRule="auto"/>
              <w:contextualSpacing/>
              <w:rPr>
                <w:rFonts w:ascii="Arial" w:eastAsia="Times New Roman" w:hAnsi="Arial" w:cs="Arial"/>
                <w:color w:val="000000"/>
                <w:sz w:val="20"/>
                <w:lang w:eastAsia="en-GB"/>
              </w:rPr>
            </w:pPr>
          </w:p>
        </w:tc>
        <w:tc>
          <w:tcPr>
            <w:tcW w:w="454" w:type="pct"/>
            <w:tcBorders>
              <w:top w:val="nil"/>
              <w:left w:val="nil"/>
              <w:bottom w:val="single" w:sz="4" w:space="0" w:color="auto"/>
              <w:right w:val="nil"/>
            </w:tcBorders>
            <w:tcMar>
              <w:top w:w="0" w:type="dxa"/>
              <w:left w:w="29" w:type="dxa"/>
              <w:bottom w:w="0" w:type="dxa"/>
              <w:right w:w="29" w:type="dxa"/>
            </w:tcMar>
            <w:vAlign w:val="center"/>
            <w:hideMark/>
          </w:tcPr>
          <w:p w14:paraId="35B9EB72"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N</w:t>
            </w:r>
          </w:p>
        </w:tc>
        <w:tc>
          <w:tcPr>
            <w:tcW w:w="579" w:type="pct"/>
            <w:tcBorders>
              <w:top w:val="nil"/>
              <w:left w:val="nil"/>
              <w:bottom w:val="single" w:sz="4" w:space="0" w:color="auto"/>
              <w:right w:val="nil"/>
            </w:tcBorders>
            <w:noWrap/>
            <w:tcMar>
              <w:top w:w="0" w:type="dxa"/>
              <w:left w:w="29" w:type="dxa"/>
              <w:bottom w:w="0" w:type="dxa"/>
              <w:right w:w="29" w:type="dxa"/>
            </w:tcMar>
            <w:vAlign w:val="center"/>
            <w:hideMark/>
          </w:tcPr>
          <w:p w14:paraId="388A51DA"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Mean</w:t>
            </w:r>
          </w:p>
          <w:p w14:paraId="2D72DF14"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[Median]</w:t>
            </w:r>
          </w:p>
        </w:tc>
        <w:tc>
          <w:tcPr>
            <w:tcW w:w="111" w:type="pct"/>
            <w:tcBorders>
              <w:top w:val="nil"/>
              <w:left w:val="nil"/>
              <w:bottom w:val="single" w:sz="4" w:space="0" w:color="auto"/>
              <w:right w:val="nil"/>
            </w:tcBorders>
            <w:tcMar>
              <w:top w:w="0" w:type="dxa"/>
              <w:left w:w="29" w:type="dxa"/>
              <w:bottom w:w="0" w:type="dxa"/>
              <w:right w:w="29" w:type="dxa"/>
            </w:tcMar>
            <w:vAlign w:val="center"/>
          </w:tcPr>
          <w:p w14:paraId="2AE4D5AA"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p>
        </w:tc>
        <w:tc>
          <w:tcPr>
            <w:tcW w:w="454" w:type="pct"/>
            <w:tcBorders>
              <w:top w:val="nil"/>
              <w:left w:val="nil"/>
              <w:bottom w:val="single" w:sz="4" w:space="0" w:color="auto"/>
              <w:right w:val="nil"/>
            </w:tcBorders>
            <w:noWrap/>
            <w:tcMar>
              <w:top w:w="0" w:type="dxa"/>
              <w:left w:w="29" w:type="dxa"/>
              <w:bottom w:w="0" w:type="dxa"/>
              <w:right w:w="29" w:type="dxa"/>
            </w:tcMar>
            <w:vAlign w:val="center"/>
            <w:hideMark/>
          </w:tcPr>
          <w:p w14:paraId="27E5949B"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N</w:t>
            </w:r>
          </w:p>
        </w:tc>
        <w:tc>
          <w:tcPr>
            <w:tcW w:w="579" w:type="pct"/>
            <w:tcBorders>
              <w:top w:val="nil"/>
              <w:left w:val="nil"/>
              <w:bottom w:val="single" w:sz="4" w:space="0" w:color="auto"/>
              <w:right w:val="nil"/>
            </w:tcBorders>
            <w:tcMar>
              <w:top w:w="0" w:type="dxa"/>
              <w:left w:w="29" w:type="dxa"/>
              <w:bottom w:w="0" w:type="dxa"/>
              <w:right w:w="29" w:type="dxa"/>
            </w:tcMar>
            <w:vAlign w:val="center"/>
            <w:hideMark/>
          </w:tcPr>
          <w:p w14:paraId="2D82BA7A"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Mean</w:t>
            </w:r>
          </w:p>
          <w:p w14:paraId="0B38AEB1"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[Median]</w:t>
            </w:r>
          </w:p>
        </w:tc>
        <w:tc>
          <w:tcPr>
            <w:tcW w:w="111" w:type="pct"/>
            <w:tcBorders>
              <w:top w:val="nil"/>
              <w:left w:val="nil"/>
              <w:bottom w:val="single" w:sz="4" w:space="0" w:color="auto"/>
              <w:right w:val="nil"/>
            </w:tcBorders>
            <w:tcMar>
              <w:top w:w="0" w:type="dxa"/>
              <w:left w:w="29" w:type="dxa"/>
              <w:bottom w:w="0" w:type="dxa"/>
              <w:right w:w="29" w:type="dxa"/>
            </w:tcMar>
            <w:vAlign w:val="center"/>
          </w:tcPr>
          <w:p w14:paraId="18928403"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p>
        </w:tc>
        <w:tc>
          <w:tcPr>
            <w:tcW w:w="596" w:type="pct"/>
            <w:tcBorders>
              <w:top w:val="nil"/>
              <w:left w:val="nil"/>
              <w:bottom w:val="single" w:sz="4" w:space="0" w:color="auto"/>
              <w:right w:val="nil"/>
            </w:tcBorders>
            <w:tcMar>
              <w:top w:w="0" w:type="dxa"/>
              <w:left w:w="29" w:type="dxa"/>
              <w:bottom w:w="0" w:type="dxa"/>
              <w:right w:w="29" w:type="dxa"/>
            </w:tcMar>
            <w:vAlign w:val="center"/>
            <w:hideMark/>
          </w:tcPr>
          <w:p w14:paraId="47DF140C"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t-stat</w:t>
            </w:r>
          </w:p>
          <w:p w14:paraId="5410E999"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[z-stat]</w:t>
            </w:r>
          </w:p>
        </w:tc>
      </w:tr>
      <w:tr w:rsidR="00032E88" w:rsidRPr="00361437" w14:paraId="7AF40A06" w14:textId="77777777" w:rsidTr="006F39AD">
        <w:trPr>
          <w:trHeight w:val="300"/>
        </w:trPr>
        <w:tc>
          <w:tcPr>
            <w:tcW w:w="2117" w:type="pct"/>
            <w:noWrap/>
            <w:hideMark/>
          </w:tcPr>
          <w:p w14:paraId="1CDDC6CB" w14:textId="15F78865" w:rsidR="00032E88" w:rsidRPr="00361437" w:rsidRDefault="009F6C4A" w:rsidP="00032E88">
            <w:pPr>
              <w:spacing w:before="100" w:beforeAutospacing="1" w:after="100" w:afterAutospacing="1" w:line="256" w:lineRule="auto"/>
              <w:ind w:left="360" w:hanging="360"/>
              <w:contextualSpacing/>
              <w:rPr>
                <w:rFonts w:ascii="Arial" w:eastAsia="Times New Roman" w:hAnsi="Arial" w:cs="Arial"/>
                <w:color w:val="000000"/>
                <w:sz w:val="20"/>
                <w:lang w:eastAsia="en-GB"/>
              </w:rPr>
            </w:pPr>
            <w:r w:rsidRPr="00361437">
              <w:rPr>
                <w:rFonts w:ascii="Arial" w:eastAsia="Times New Roman" w:hAnsi="Arial" w:cs="Arial"/>
                <w:color w:val="000000"/>
                <w:sz w:val="18"/>
                <w:lang w:eastAsia="en-GB"/>
              </w:rPr>
              <w:t>FAMILY_DEBT_FRACTION</w:t>
            </w:r>
            <w:r w:rsidR="00032E88" w:rsidRPr="00361437">
              <w:rPr>
                <w:rFonts w:ascii="Arial" w:eastAsia="Times New Roman" w:hAnsi="Arial" w:cs="Arial"/>
                <w:color w:val="000000"/>
                <w:sz w:val="18"/>
                <w:lang w:eastAsia="en-GB"/>
              </w:rPr>
              <w:t xml:space="preserve"> </w:t>
            </w:r>
            <w:r w:rsidR="00032E88" w:rsidRPr="00361437">
              <w:rPr>
                <w:rFonts w:ascii="Arial" w:eastAsia="Times New Roman" w:hAnsi="Arial" w:cs="Arial"/>
                <w:color w:val="000000"/>
                <w:sz w:val="20"/>
                <w:lang w:eastAsia="en-GB"/>
              </w:rPr>
              <w:br/>
            </w:r>
          </w:p>
        </w:tc>
        <w:tc>
          <w:tcPr>
            <w:tcW w:w="454" w:type="pct"/>
            <w:tcMar>
              <w:top w:w="0" w:type="dxa"/>
              <w:left w:w="29" w:type="dxa"/>
              <w:bottom w:w="0" w:type="dxa"/>
              <w:right w:w="29" w:type="dxa"/>
            </w:tcMar>
            <w:hideMark/>
          </w:tcPr>
          <w:p w14:paraId="032024FA" w14:textId="469A5C94" w:rsidR="00032E88" w:rsidRPr="00361437" w:rsidRDefault="00655474"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52,745</w:t>
            </w:r>
          </w:p>
        </w:tc>
        <w:tc>
          <w:tcPr>
            <w:tcW w:w="579" w:type="pct"/>
            <w:noWrap/>
            <w:tcMar>
              <w:top w:w="0" w:type="dxa"/>
              <w:left w:w="29" w:type="dxa"/>
              <w:bottom w:w="0" w:type="dxa"/>
              <w:right w:w="29" w:type="dxa"/>
            </w:tcMar>
            <w:hideMark/>
          </w:tcPr>
          <w:p w14:paraId="03374C63" w14:textId="2F595B7C"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0.04</w:t>
            </w:r>
            <w:r w:rsidR="00A803A8" w:rsidRPr="00361437">
              <w:rPr>
                <w:rFonts w:ascii="Arial" w:eastAsia="Times New Roman" w:hAnsi="Arial" w:cs="Arial"/>
                <w:color w:val="000000"/>
                <w:sz w:val="20"/>
                <w:lang w:eastAsia="en-GB"/>
              </w:rPr>
              <w:t>82</w:t>
            </w:r>
          </w:p>
          <w:p w14:paraId="7B7A22F8"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[0.0000]</w:t>
            </w:r>
          </w:p>
        </w:tc>
        <w:tc>
          <w:tcPr>
            <w:tcW w:w="111" w:type="pct"/>
            <w:tcMar>
              <w:top w:w="0" w:type="dxa"/>
              <w:left w:w="29" w:type="dxa"/>
              <w:bottom w:w="0" w:type="dxa"/>
              <w:right w:w="29" w:type="dxa"/>
            </w:tcMar>
          </w:tcPr>
          <w:p w14:paraId="179C6CFE"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p>
        </w:tc>
        <w:tc>
          <w:tcPr>
            <w:tcW w:w="454" w:type="pct"/>
            <w:noWrap/>
            <w:tcMar>
              <w:top w:w="0" w:type="dxa"/>
              <w:left w:w="29" w:type="dxa"/>
              <w:bottom w:w="0" w:type="dxa"/>
              <w:right w:w="29" w:type="dxa"/>
            </w:tcMar>
            <w:hideMark/>
          </w:tcPr>
          <w:p w14:paraId="670E03A5" w14:textId="33D1E9CD" w:rsidR="00032E88" w:rsidRPr="00361437" w:rsidRDefault="00655474"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52,745</w:t>
            </w:r>
          </w:p>
        </w:tc>
        <w:tc>
          <w:tcPr>
            <w:tcW w:w="579" w:type="pct"/>
            <w:tcMar>
              <w:top w:w="0" w:type="dxa"/>
              <w:left w:w="29" w:type="dxa"/>
              <w:bottom w:w="0" w:type="dxa"/>
              <w:right w:w="29" w:type="dxa"/>
            </w:tcMar>
            <w:hideMark/>
          </w:tcPr>
          <w:p w14:paraId="1FAEB3B3" w14:textId="2603D02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0.003</w:t>
            </w:r>
            <w:r w:rsidR="00A803A8" w:rsidRPr="00361437">
              <w:rPr>
                <w:rFonts w:ascii="Arial" w:eastAsia="Times New Roman" w:hAnsi="Arial" w:cs="Arial"/>
                <w:color w:val="000000"/>
                <w:sz w:val="20"/>
                <w:lang w:eastAsia="en-GB"/>
              </w:rPr>
              <w:t>2</w:t>
            </w:r>
          </w:p>
          <w:p w14:paraId="0C309CF1"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[0.0000]</w:t>
            </w:r>
          </w:p>
        </w:tc>
        <w:tc>
          <w:tcPr>
            <w:tcW w:w="111" w:type="pct"/>
            <w:tcMar>
              <w:top w:w="0" w:type="dxa"/>
              <w:left w:w="29" w:type="dxa"/>
              <w:bottom w:w="0" w:type="dxa"/>
              <w:right w:w="29" w:type="dxa"/>
            </w:tcMar>
          </w:tcPr>
          <w:p w14:paraId="400184E5"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p>
        </w:tc>
        <w:tc>
          <w:tcPr>
            <w:tcW w:w="596" w:type="pct"/>
            <w:tcMar>
              <w:top w:w="0" w:type="dxa"/>
              <w:left w:w="29" w:type="dxa"/>
              <w:bottom w:w="0" w:type="dxa"/>
              <w:right w:w="29" w:type="dxa"/>
            </w:tcMar>
          </w:tcPr>
          <w:p w14:paraId="155419A3" w14:textId="07E3B2C5"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vertAlign w:val="superscript"/>
                <w:lang w:eastAsia="en-GB"/>
              </w:rPr>
            </w:pPr>
            <w:r w:rsidRPr="00361437">
              <w:rPr>
                <w:rFonts w:ascii="Arial" w:eastAsia="Times New Roman" w:hAnsi="Arial" w:cs="Arial"/>
                <w:color w:val="000000"/>
                <w:sz w:val="20"/>
                <w:lang w:eastAsia="en-GB"/>
              </w:rPr>
              <w:t>5</w:t>
            </w:r>
            <w:r w:rsidR="00A803A8" w:rsidRPr="00361437">
              <w:rPr>
                <w:rFonts w:ascii="Arial" w:eastAsia="Times New Roman" w:hAnsi="Arial" w:cs="Arial"/>
                <w:color w:val="000000"/>
                <w:sz w:val="20"/>
                <w:lang w:eastAsia="en-GB"/>
              </w:rPr>
              <w:t>6.53</w:t>
            </w:r>
            <w:r w:rsidRPr="00361437">
              <w:rPr>
                <w:rFonts w:ascii="Arial" w:eastAsia="Times New Roman" w:hAnsi="Arial" w:cs="Arial"/>
                <w:color w:val="000000"/>
                <w:sz w:val="20"/>
                <w:vertAlign w:val="superscript"/>
                <w:lang w:eastAsia="en-GB"/>
              </w:rPr>
              <w:t>***</w:t>
            </w:r>
          </w:p>
          <w:p w14:paraId="566850E3"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p>
        </w:tc>
      </w:tr>
      <w:tr w:rsidR="00032E88" w:rsidRPr="00361437" w14:paraId="5EB88831" w14:textId="77777777" w:rsidTr="006F39AD">
        <w:trPr>
          <w:trHeight w:val="300"/>
        </w:trPr>
        <w:tc>
          <w:tcPr>
            <w:tcW w:w="2117" w:type="pct"/>
            <w:tcBorders>
              <w:bottom w:val="single" w:sz="4" w:space="0" w:color="auto"/>
            </w:tcBorders>
            <w:noWrap/>
            <w:hideMark/>
          </w:tcPr>
          <w:p w14:paraId="7F318827" w14:textId="0B96563B" w:rsidR="00032E88" w:rsidRPr="00361437" w:rsidRDefault="009F6C4A" w:rsidP="00032E88">
            <w:pPr>
              <w:spacing w:before="100" w:beforeAutospacing="1" w:after="100" w:afterAutospacing="1" w:line="256" w:lineRule="auto"/>
              <w:ind w:left="360" w:hanging="360"/>
              <w:contextualSpacing/>
              <w:rPr>
                <w:rFonts w:ascii="Arial" w:eastAsia="Times New Roman" w:hAnsi="Arial" w:cs="Arial"/>
                <w:color w:val="000000"/>
                <w:sz w:val="20"/>
                <w:lang w:eastAsia="en-GB"/>
              </w:rPr>
            </w:pPr>
            <w:r w:rsidRPr="00361437">
              <w:rPr>
                <w:rFonts w:ascii="Arial" w:eastAsia="Times New Roman" w:hAnsi="Arial" w:cs="Arial"/>
                <w:color w:val="000000"/>
                <w:sz w:val="18"/>
                <w:lang w:eastAsia="en-GB"/>
              </w:rPr>
              <w:t>FAMILY_DEBT_FRACTION</w:t>
            </w:r>
            <w:r w:rsidR="00032E88" w:rsidRPr="00361437">
              <w:rPr>
                <w:rFonts w:ascii="Arial" w:eastAsia="Times New Roman" w:hAnsi="Arial" w:cs="Arial"/>
                <w:color w:val="000000"/>
                <w:sz w:val="20"/>
                <w:lang w:eastAsia="en-GB"/>
              </w:rPr>
              <w:t xml:space="preserve"> conditional</w:t>
            </w:r>
            <w:r w:rsidR="00032E88" w:rsidRPr="00361437">
              <w:rPr>
                <w:rFonts w:ascii="Arial" w:eastAsia="Times New Roman" w:hAnsi="Arial" w:cs="Arial"/>
                <w:color w:val="000000"/>
                <w:sz w:val="20"/>
                <w:lang w:eastAsia="en-GB"/>
              </w:rPr>
              <w:br/>
              <w:t>on family debt holding</w:t>
            </w:r>
          </w:p>
        </w:tc>
        <w:tc>
          <w:tcPr>
            <w:tcW w:w="454" w:type="pct"/>
            <w:tcBorders>
              <w:bottom w:val="single" w:sz="4" w:space="0" w:color="auto"/>
            </w:tcBorders>
            <w:tcMar>
              <w:top w:w="0" w:type="dxa"/>
              <w:left w:w="29" w:type="dxa"/>
              <w:bottom w:w="0" w:type="dxa"/>
              <w:right w:w="29" w:type="dxa"/>
            </w:tcMar>
            <w:hideMark/>
          </w:tcPr>
          <w:p w14:paraId="2A4149AA" w14:textId="535E6AE0" w:rsidR="00032E88" w:rsidRPr="00361437" w:rsidRDefault="00A803A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6,561</w:t>
            </w:r>
          </w:p>
        </w:tc>
        <w:tc>
          <w:tcPr>
            <w:tcW w:w="579" w:type="pct"/>
            <w:tcBorders>
              <w:bottom w:val="single" w:sz="4" w:space="0" w:color="auto"/>
            </w:tcBorders>
            <w:noWrap/>
            <w:tcMar>
              <w:top w:w="0" w:type="dxa"/>
              <w:left w:w="29" w:type="dxa"/>
              <w:bottom w:w="0" w:type="dxa"/>
              <w:right w:w="29" w:type="dxa"/>
            </w:tcMar>
            <w:hideMark/>
          </w:tcPr>
          <w:p w14:paraId="25B3BE39" w14:textId="7013D88A"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w:t>
            </w:r>
            <w:r w:rsidR="00A803A8" w:rsidRPr="00361437">
              <w:rPr>
                <w:rFonts w:ascii="Arial" w:eastAsia="Times New Roman" w:hAnsi="Arial" w:cs="Arial"/>
                <w:color w:val="000000"/>
                <w:sz w:val="20"/>
                <w:lang w:eastAsia="en-GB"/>
              </w:rPr>
              <w:t>3915</w:t>
            </w:r>
          </w:p>
          <w:p w14:paraId="7B9564C6" w14:textId="0A7C0DA3"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[0.2</w:t>
            </w:r>
            <w:r w:rsidR="00A803A8" w:rsidRPr="00361437">
              <w:rPr>
                <w:rFonts w:ascii="Arial" w:eastAsia="Times New Roman" w:hAnsi="Arial" w:cs="Arial"/>
                <w:color w:val="000000"/>
                <w:sz w:val="20"/>
                <w:lang w:eastAsia="en-GB"/>
              </w:rPr>
              <w:t>49</w:t>
            </w:r>
            <w:r w:rsidRPr="00361437">
              <w:rPr>
                <w:rFonts w:ascii="Arial" w:eastAsia="Times New Roman" w:hAnsi="Arial" w:cs="Arial"/>
                <w:color w:val="000000"/>
                <w:sz w:val="20"/>
                <w:lang w:eastAsia="en-GB"/>
              </w:rPr>
              <w:t>6]</w:t>
            </w:r>
          </w:p>
        </w:tc>
        <w:tc>
          <w:tcPr>
            <w:tcW w:w="111" w:type="pct"/>
            <w:tcBorders>
              <w:bottom w:val="single" w:sz="4" w:space="0" w:color="auto"/>
            </w:tcBorders>
            <w:tcMar>
              <w:top w:w="0" w:type="dxa"/>
              <w:left w:w="29" w:type="dxa"/>
              <w:bottom w:w="0" w:type="dxa"/>
              <w:right w:w="29" w:type="dxa"/>
            </w:tcMar>
          </w:tcPr>
          <w:p w14:paraId="2D47F87E"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p>
        </w:tc>
        <w:tc>
          <w:tcPr>
            <w:tcW w:w="454" w:type="pct"/>
            <w:tcBorders>
              <w:bottom w:val="single" w:sz="4" w:space="0" w:color="auto"/>
            </w:tcBorders>
            <w:noWrap/>
            <w:tcMar>
              <w:top w:w="0" w:type="dxa"/>
              <w:left w:w="29" w:type="dxa"/>
              <w:bottom w:w="0" w:type="dxa"/>
              <w:right w:w="29" w:type="dxa"/>
            </w:tcMar>
            <w:hideMark/>
          </w:tcPr>
          <w:p w14:paraId="3D14B74A" w14:textId="64043FB4"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1,3</w:t>
            </w:r>
            <w:r w:rsidR="00A803A8" w:rsidRPr="00361437">
              <w:rPr>
                <w:rFonts w:ascii="Arial" w:eastAsia="Times New Roman" w:hAnsi="Arial" w:cs="Arial"/>
                <w:color w:val="000000"/>
                <w:sz w:val="20"/>
                <w:lang w:eastAsia="en-GB"/>
              </w:rPr>
              <w:t>50</w:t>
            </w:r>
          </w:p>
        </w:tc>
        <w:tc>
          <w:tcPr>
            <w:tcW w:w="579" w:type="pct"/>
            <w:tcBorders>
              <w:bottom w:val="single" w:sz="4" w:space="0" w:color="auto"/>
            </w:tcBorders>
            <w:tcMar>
              <w:top w:w="0" w:type="dxa"/>
              <w:left w:w="29" w:type="dxa"/>
              <w:bottom w:w="0" w:type="dxa"/>
              <w:right w:w="29" w:type="dxa"/>
            </w:tcMar>
            <w:hideMark/>
          </w:tcPr>
          <w:p w14:paraId="5EC87097" w14:textId="0A9C60C6"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0.1</w:t>
            </w:r>
            <w:r w:rsidR="00A803A8" w:rsidRPr="00361437">
              <w:rPr>
                <w:rFonts w:ascii="Arial" w:eastAsia="Times New Roman" w:hAnsi="Arial" w:cs="Arial"/>
                <w:color w:val="000000"/>
                <w:sz w:val="20"/>
                <w:lang w:eastAsia="en-GB"/>
              </w:rPr>
              <w:t>294</w:t>
            </w:r>
          </w:p>
          <w:p w14:paraId="4A944179" w14:textId="071EF25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[0.07</w:t>
            </w:r>
            <w:r w:rsidR="00A803A8" w:rsidRPr="00361437">
              <w:rPr>
                <w:rFonts w:ascii="Arial" w:eastAsia="Times New Roman" w:hAnsi="Arial" w:cs="Arial"/>
                <w:color w:val="000000"/>
                <w:sz w:val="20"/>
                <w:lang w:eastAsia="en-GB"/>
              </w:rPr>
              <w:t>08</w:t>
            </w:r>
            <w:r w:rsidRPr="00361437">
              <w:rPr>
                <w:rFonts w:ascii="Arial" w:eastAsia="Times New Roman" w:hAnsi="Arial" w:cs="Arial"/>
                <w:color w:val="000000"/>
                <w:sz w:val="20"/>
                <w:lang w:eastAsia="en-GB"/>
              </w:rPr>
              <w:t>]</w:t>
            </w:r>
          </w:p>
        </w:tc>
        <w:tc>
          <w:tcPr>
            <w:tcW w:w="111" w:type="pct"/>
            <w:tcBorders>
              <w:bottom w:val="single" w:sz="4" w:space="0" w:color="auto"/>
            </w:tcBorders>
            <w:tcMar>
              <w:top w:w="0" w:type="dxa"/>
              <w:left w:w="29" w:type="dxa"/>
              <w:bottom w:w="0" w:type="dxa"/>
              <w:right w:w="29" w:type="dxa"/>
            </w:tcMar>
          </w:tcPr>
          <w:p w14:paraId="34A09906"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p>
        </w:tc>
        <w:tc>
          <w:tcPr>
            <w:tcW w:w="596" w:type="pct"/>
            <w:tcBorders>
              <w:bottom w:val="single" w:sz="4" w:space="0" w:color="auto"/>
            </w:tcBorders>
            <w:tcMar>
              <w:top w:w="0" w:type="dxa"/>
              <w:left w:w="29" w:type="dxa"/>
              <w:bottom w:w="0" w:type="dxa"/>
              <w:right w:w="29" w:type="dxa"/>
            </w:tcMar>
            <w:hideMark/>
          </w:tcPr>
          <w:p w14:paraId="101B3B66" w14:textId="7AAE6DE5"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vertAlign w:val="superscript"/>
                <w:lang w:eastAsia="en-GB"/>
              </w:rPr>
            </w:pPr>
            <w:r w:rsidRPr="00361437">
              <w:rPr>
                <w:rFonts w:ascii="Arial" w:eastAsia="Times New Roman" w:hAnsi="Arial" w:cs="Arial"/>
                <w:color w:val="000000"/>
                <w:sz w:val="20"/>
                <w:lang w:eastAsia="en-GB"/>
              </w:rPr>
              <w:t>41.</w:t>
            </w:r>
            <w:r w:rsidR="00A803A8" w:rsidRPr="00361437">
              <w:rPr>
                <w:rFonts w:ascii="Arial" w:eastAsia="Times New Roman" w:hAnsi="Arial" w:cs="Arial"/>
                <w:color w:val="000000"/>
                <w:sz w:val="20"/>
                <w:lang w:eastAsia="en-GB"/>
              </w:rPr>
              <w:t>36</w:t>
            </w:r>
            <w:r w:rsidRPr="00361437">
              <w:rPr>
                <w:rFonts w:ascii="Arial" w:eastAsia="Times New Roman" w:hAnsi="Arial" w:cs="Arial"/>
                <w:color w:val="000000"/>
                <w:sz w:val="20"/>
                <w:vertAlign w:val="superscript"/>
                <w:lang w:eastAsia="en-GB"/>
              </w:rPr>
              <w:t>***</w:t>
            </w:r>
          </w:p>
          <w:p w14:paraId="7FC25EB7" w14:textId="722FC381"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[2</w:t>
            </w:r>
            <w:r w:rsidR="00A803A8" w:rsidRPr="00361437">
              <w:rPr>
                <w:rFonts w:ascii="Arial" w:eastAsia="Times New Roman" w:hAnsi="Arial" w:cs="Arial"/>
                <w:color w:val="000000"/>
                <w:sz w:val="20"/>
                <w:lang w:eastAsia="en-GB"/>
              </w:rPr>
              <w:t>4.42</w:t>
            </w:r>
            <w:r w:rsidRPr="00361437">
              <w:rPr>
                <w:rFonts w:ascii="Arial" w:eastAsia="Times New Roman" w:hAnsi="Arial" w:cs="Arial"/>
                <w:color w:val="000000"/>
                <w:sz w:val="20"/>
                <w:vertAlign w:val="superscript"/>
                <w:lang w:eastAsia="en-GB"/>
              </w:rPr>
              <w:t>***</w:t>
            </w:r>
            <w:r w:rsidRPr="00361437">
              <w:rPr>
                <w:rFonts w:ascii="Arial" w:eastAsia="Times New Roman" w:hAnsi="Arial" w:cs="Arial"/>
                <w:color w:val="000000"/>
                <w:sz w:val="20"/>
                <w:lang w:eastAsia="en-GB"/>
              </w:rPr>
              <w:t>]</w:t>
            </w:r>
          </w:p>
        </w:tc>
      </w:tr>
    </w:tbl>
    <w:p w14:paraId="684DA76D" w14:textId="77777777" w:rsidR="00032E88" w:rsidRPr="00361437" w:rsidRDefault="00032E88" w:rsidP="00032E88">
      <w:pPr>
        <w:rPr>
          <w:rFonts w:ascii="Arial" w:eastAsia="Calibri" w:hAnsi="Arial" w:cs="Arial"/>
          <w:sz w:val="10"/>
        </w:rPr>
      </w:pPr>
    </w:p>
    <w:tbl>
      <w:tblPr>
        <w:tblW w:w="5000" w:type="pct"/>
        <w:tblLook w:val="04A0" w:firstRow="1" w:lastRow="0" w:firstColumn="1" w:lastColumn="0" w:noHBand="0" w:noVBand="1"/>
      </w:tblPr>
      <w:tblGrid>
        <w:gridCol w:w="3572"/>
        <w:gridCol w:w="843"/>
        <w:gridCol w:w="1206"/>
        <w:gridCol w:w="986"/>
        <w:gridCol w:w="226"/>
        <w:gridCol w:w="1206"/>
        <w:gridCol w:w="987"/>
      </w:tblGrid>
      <w:tr w:rsidR="00032E88" w:rsidRPr="00361437" w14:paraId="1D285E86" w14:textId="77777777" w:rsidTr="006F39AD">
        <w:trPr>
          <w:trHeight w:val="360"/>
        </w:trPr>
        <w:tc>
          <w:tcPr>
            <w:tcW w:w="5000" w:type="pct"/>
            <w:gridSpan w:val="7"/>
            <w:tcBorders>
              <w:left w:val="nil"/>
              <w:bottom w:val="nil"/>
              <w:right w:val="nil"/>
            </w:tcBorders>
            <w:noWrap/>
            <w:vAlign w:val="center"/>
            <w:hideMark/>
          </w:tcPr>
          <w:p w14:paraId="061CE275" w14:textId="77777777" w:rsidR="00032E88" w:rsidRPr="00361437" w:rsidRDefault="00032E88" w:rsidP="00032E88">
            <w:pPr>
              <w:spacing w:line="256" w:lineRule="auto"/>
              <w:rPr>
                <w:rFonts w:ascii="Arial" w:eastAsia="Times New Roman" w:hAnsi="Arial" w:cs="Arial"/>
                <w:i/>
                <w:sz w:val="20"/>
              </w:rPr>
            </w:pPr>
            <w:r w:rsidRPr="00361437">
              <w:rPr>
                <w:rFonts w:ascii="Arial" w:eastAsia="Times New Roman" w:hAnsi="Arial" w:cs="Arial"/>
                <w:i/>
                <w:sz w:val="20"/>
              </w:rPr>
              <w:t>Panel B: The effects of family debt holdings on voting policy</w:t>
            </w:r>
          </w:p>
        </w:tc>
      </w:tr>
      <w:tr w:rsidR="00032E88" w:rsidRPr="00361437" w14:paraId="4E42B13B" w14:textId="77777777" w:rsidTr="00032E88">
        <w:tc>
          <w:tcPr>
            <w:tcW w:w="1979" w:type="pct"/>
            <w:tcBorders>
              <w:top w:val="single" w:sz="4" w:space="0" w:color="auto"/>
              <w:left w:val="nil"/>
              <w:bottom w:val="nil"/>
              <w:right w:val="nil"/>
            </w:tcBorders>
            <w:tcMar>
              <w:top w:w="0" w:type="dxa"/>
              <w:left w:w="115" w:type="dxa"/>
              <w:bottom w:w="0" w:type="dxa"/>
              <w:right w:w="14" w:type="dxa"/>
            </w:tcMar>
            <w:vAlign w:val="center"/>
            <w:hideMark/>
          </w:tcPr>
          <w:p w14:paraId="30BF011D" w14:textId="77777777" w:rsidR="00032E88" w:rsidRPr="00361437" w:rsidRDefault="00032E88" w:rsidP="00032E88">
            <w:pPr>
              <w:spacing w:line="256" w:lineRule="auto"/>
              <w:rPr>
                <w:rFonts w:ascii="Arial" w:eastAsia="Times New Roman" w:hAnsi="Arial" w:cs="Arial"/>
                <w:sz w:val="20"/>
              </w:rPr>
            </w:pPr>
            <w:r w:rsidRPr="00361437">
              <w:rPr>
                <w:rFonts w:ascii="Arial" w:eastAsia="Times New Roman" w:hAnsi="Arial" w:cs="Arial"/>
                <w:sz w:val="20"/>
              </w:rPr>
              <w:t xml:space="preserve">Coefficient and </w:t>
            </w:r>
            <w:r w:rsidRPr="00361437">
              <w:rPr>
                <w:rFonts w:ascii="Arial" w:eastAsia="Times New Roman" w:hAnsi="Arial" w:cs="Arial"/>
                <w:i/>
                <w:sz w:val="20"/>
              </w:rPr>
              <w:t>p</w:t>
            </w:r>
            <w:r w:rsidRPr="00361437">
              <w:rPr>
                <w:rFonts w:ascii="Arial" w:eastAsia="Times New Roman" w:hAnsi="Arial" w:cs="Arial"/>
                <w:sz w:val="20"/>
              </w:rPr>
              <w:t xml:space="preserve">-value for </w:t>
            </w:r>
          </w:p>
          <w:p w14:paraId="2A9A857C" w14:textId="5C3142D9" w:rsidR="00032E88" w:rsidRPr="00361437" w:rsidRDefault="009F6C4A" w:rsidP="00032E88">
            <w:pPr>
              <w:spacing w:line="256" w:lineRule="auto"/>
              <w:rPr>
                <w:rFonts w:ascii="Arial" w:eastAsia="Times New Roman" w:hAnsi="Arial" w:cs="Arial"/>
                <w:sz w:val="20"/>
              </w:rPr>
            </w:pPr>
            <w:r w:rsidRPr="00361437">
              <w:rPr>
                <w:rFonts w:ascii="Arial" w:eastAsia="Times New Roman" w:hAnsi="Arial" w:cs="Arial"/>
                <w:sz w:val="18"/>
              </w:rPr>
              <w:t>FAMILY_DEBT_FRACTION × DISTRESS_(0,1)</w:t>
            </w:r>
          </w:p>
        </w:tc>
        <w:tc>
          <w:tcPr>
            <w:tcW w:w="467" w:type="pct"/>
            <w:tcBorders>
              <w:top w:val="single" w:sz="4" w:space="0" w:color="auto"/>
              <w:left w:val="nil"/>
              <w:bottom w:val="nil"/>
              <w:right w:val="nil"/>
            </w:tcBorders>
            <w:noWrap/>
            <w:vAlign w:val="center"/>
          </w:tcPr>
          <w:p w14:paraId="04FFB89F" w14:textId="77777777" w:rsidR="00032E88" w:rsidRPr="00361437" w:rsidRDefault="00032E88" w:rsidP="00032E88">
            <w:pPr>
              <w:spacing w:line="256" w:lineRule="auto"/>
              <w:rPr>
                <w:rFonts w:ascii="Arial" w:eastAsia="Times New Roman" w:hAnsi="Arial" w:cs="Arial"/>
                <w:sz w:val="20"/>
              </w:rPr>
            </w:pPr>
          </w:p>
        </w:tc>
        <w:tc>
          <w:tcPr>
            <w:tcW w:w="1214" w:type="pct"/>
            <w:gridSpan w:val="2"/>
            <w:tcBorders>
              <w:top w:val="single" w:sz="4" w:space="0" w:color="auto"/>
              <w:left w:val="nil"/>
              <w:bottom w:val="single" w:sz="4" w:space="0" w:color="auto"/>
              <w:right w:val="nil"/>
            </w:tcBorders>
            <w:vAlign w:val="center"/>
            <w:hideMark/>
          </w:tcPr>
          <w:p w14:paraId="615A65AE"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 xml:space="preserve">Active funds </w:t>
            </w:r>
          </w:p>
        </w:tc>
        <w:tc>
          <w:tcPr>
            <w:tcW w:w="125" w:type="pct"/>
            <w:tcBorders>
              <w:top w:val="single" w:sz="4" w:space="0" w:color="auto"/>
              <w:left w:val="nil"/>
              <w:bottom w:val="nil"/>
              <w:right w:val="nil"/>
            </w:tcBorders>
            <w:vAlign w:val="center"/>
          </w:tcPr>
          <w:p w14:paraId="63FBADB5" w14:textId="77777777" w:rsidR="00032E88" w:rsidRPr="00361437" w:rsidRDefault="00032E88" w:rsidP="00032E88">
            <w:pPr>
              <w:spacing w:line="256" w:lineRule="auto"/>
              <w:jc w:val="center"/>
              <w:rPr>
                <w:rFonts w:ascii="Arial" w:eastAsia="Times New Roman" w:hAnsi="Arial" w:cs="Arial"/>
                <w:sz w:val="20"/>
              </w:rPr>
            </w:pPr>
          </w:p>
        </w:tc>
        <w:tc>
          <w:tcPr>
            <w:tcW w:w="1214" w:type="pct"/>
            <w:gridSpan w:val="2"/>
            <w:tcBorders>
              <w:top w:val="single" w:sz="4" w:space="0" w:color="auto"/>
              <w:left w:val="nil"/>
              <w:bottom w:val="single" w:sz="4" w:space="0" w:color="auto"/>
              <w:right w:val="nil"/>
            </w:tcBorders>
            <w:vAlign w:val="center"/>
            <w:hideMark/>
          </w:tcPr>
          <w:p w14:paraId="4943EF5D"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Passive funds</w:t>
            </w:r>
          </w:p>
        </w:tc>
      </w:tr>
      <w:tr w:rsidR="00032E88" w:rsidRPr="00361437" w14:paraId="59811F73" w14:textId="77777777" w:rsidTr="00032E88">
        <w:tc>
          <w:tcPr>
            <w:tcW w:w="1979" w:type="pct"/>
            <w:tcBorders>
              <w:top w:val="nil"/>
              <w:left w:val="nil"/>
              <w:bottom w:val="single" w:sz="4" w:space="0" w:color="auto"/>
              <w:right w:val="nil"/>
            </w:tcBorders>
            <w:vAlign w:val="center"/>
          </w:tcPr>
          <w:p w14:paraId="6F95F43B" w14:textId="77777777" w:rsidR="00032E88" w:rsidRPr="00361437" w:rsidRDefault="00032E88" w:rsidP="00032E88">
            <w:pPr>
              <w:spacing w:line="256" w:lineRule="auto"/>
              <w:rPr>
                <w:rFonts w:ascii="Arial" w:eastAsia="Times New Roman" w:hAnsi="Arial" w:cs="Arial"/>
                <w:sz w:val="20"/>
              </w:rPr>
            </w:pPr>
          </w:p>
        </w:tc>
        <w:tc>
          <w:tcPr>
            <w:tcW w:w="467" w:type="pct"/>
            <w:tcBorders>
              <w:top w:val="nil"/>
              <w:left w:val="nil"/>
              <w:bottom w:val="single" w:sz="4" w:space="0" w:color="auto"/>
              <w:right w:val="nil"/>
            </w:tcBorders>
            <w:noWrap/>
            <w:vAlign w:val="center"/>
            <w:hideMark/>
          </w:tcPr>
          <w:p w14:paraId="66C7666E"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N</w:t>
            </w:r>
          </w:p>
        </w:tc>
        <w:tc>
          <w:tcPr>
            <w:tcW w:w="668" w:type="pct"/>
            <w:tcBorders>
              <w:top w:val="single" w:sz="4" w:space="0" w:color="auto"/>
              <w:left w:val="nil"/>
              <w:bottom w:val="single" w:sz="4" w:space="0" w:color="auto"/>
              <w:right w:val="nil"/>
            </w:tcBorders>
            <w:vAlign w:val="center"/>
            <w:hideMark/>
          </w:tcPr>
          <w:p w14:paraId="0AB1727D"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546" w:type="pct"/>
            <w:tcBorders>
              <w:top w:val="single" w:sz="4" w:space="0" w:color="auto"/>
              <w:left w:val="nil"/>
              <w:bottom w:val="single" w:sz="4" w:space="0" w:color="auto"/>
              <w:right w:val="nil"/>
            </w:tcBorders>
            <w:vAlign w:val="center"/>
            <w:hideMark/>
          </w:tcPr>
          <w:p w14:paraId="5481E7CC"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c>
          <w:tcPr>
            <w:tcW w:w="125" w:type="pct"/>
            <w:tcBorders>
              <w:top w:val="nil"/>
              <w:left w:val="nil"/>
              <w:bottom w:val="single" w:sz="4" w:space="0" w:color="auto"/>
              <w:right w:val="nil"/>
            </w:tcBorders>
            <w:vAlign w:val="center"/>
          </w:tcPr>
          <w:p w14:paraId="16A65467" w14:textId="77777777" w:rsidR="00032E88" w:rsidRPr="00361437" w:rsidRDefault="00032E88" w:rsidP="00032E88">
            <w:pPr>
              <w:spacing w:line="256" w:lineRule="auto"/>
              <w:jc w:val="center"/>
              <w:rPr>
                <w:rFonts w:ascii="Arial" w:eastAsia="Times New Roman" w:hAnsi="Arial" w:cs="Arial"/>
                <w:sz w:val="20"/>
              </w:rPr>
            </w:pPr>
          </w:p>
        </w:tc>
        <w:tc>
          <w:tcPr>
            <w:tcW w:w="668" w:type="pct"/>
            <w:tcBorders>
              <w:top w:val="single" w:sz="4" w:space="0" w:color="auto"/>
              <w:left w:val="nil"/>
              <w:bottom w:val="single" w:sz="4" w:space="0" w:color="auto"/>
              <w:right w:val="nil"/>
            </w:tcBorders>
            <w:vAlign w:val="center"/>
            <w:hideMark/>
          </w:tcPr>
          <w:p w14:paraId="0600BE5A"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546" w:type="pct"/>
            <w:tcBorders>
              <w:top w:val="single" w:sz="4" w:space="0" w:color="auto"/>
              <w:left w:val="nil"/>
              <w:bottom w:val="single" w:sz="4" w:space="0" w:color="auto"/>
              <w:right w:val="nil"/>
            </w:tcBorders>
            <w:vAlign w:val="center"/>
            <w:hideMark/>
          </w:tcPr>
          <w:p w14:paraId="65932862"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r>
      <w:tr w:rsidR="00032E88" w:rsidRPr="00361437" w14:paraId="4D2BA574" w14:textId="77777777" w:rsidTr="00032E88">
        <w:tc>
          <w:tcPr>
            <w:tcW w:w="1979" w:type="pct"/>
            <w:vAlign w:val="center"/>
            <w:hideMark/>
          </w:tcPr>
          <w:p w14:paraId="49A0758A" w14:textId="77777777" w:rsidR="00032E88" w:rsidRPr="00361437" w:rsidRDefault="00032E88" w:rsidP="00032E88">
            <w:pPr>
              <w:spacing w:line="256" w:lineRule="auto"/>
              <w:rPr>
                <w:rFonts w:ascii="Arial" w:eastAsia="Times New Roman" w:hAnsi="Arial" w:cs="Arial"/>
                <w:sz w:val="20"/>
              </w:rPr>
            </w:pPr>
            <w:r w:rsidRPr="00361437">
              <w:rPr>
                <w:rFonts w:ascii="Arial" w:eastAsia="Times New Roman" w:hAnsi="Arial" w:cs="Arial"/>
                <w:sz w:val="20"/>
              </w:rPr>
              <w:t>All proposals</w:t>
            </w:r>
          </w:p>
        </w:tc>
        <w:tc>
          <w:tcPr>
            <w:tcW w:w="467" w:type="pct"/>
            <w:noWrap/>
            <w:hideMark/>
          </w:tcPr>
          <w:p w14:paraId="2BCA0527" w14:textId="6DC1D405" w:rsidR="00032E88" w:rsidRPr="00361437" w:rsidRDefault="00655474" w:rsidP="00032E88">
            <w:pPr>
              <w:spacing w:line="256" w:lineRule="auto"/>
              <w:rPr>
                <w:rFonts w:ascii="Arial" w:eastAsia="Times New Roman" w:hAnsi="Arial" w:cs="Arial"/>
                <w:sz w:val="20"/>
              </w:rPr>
            </w:pPr>
            <w:r w:rsidRPr="00361437">
              <w:rPr>
                <w:rFonts w:ascii="Arial" w:eastAsia="Times New Roman" w:hAnsi="Arial" w:cs="Arial"/>
                <w:sz w:val="20"/>
              </w:rPr>
              <w:t>52,745</w:t>
            </w:r>
          </w:p>
        </w:tc>
        <w:tc>
          <w:tcPr>
            <w:tcW w:w="668" w:type="pct"/>
            <w:tcMar>
              <w:top w:w="0" w:type="dxa"/>
              <w:left w:w="14" w:type="dxa"/>
              <w:bottom w:w="0" w:type="dxa"/>
              <w:right w:w="14" w:type="dxa"/>
            </w:tcMar>
            <w:vAlign w:val="center"/>
            <w:hideMark/>
          </w:tcPr>
          <w:p w14:paraId="003470BB" w14:textId="75F4106C" w:rsidR="00032E88" w:rsidRPr="00361437" w:rsidRDefault="00032E88" w:rsidP="00032E88">
            <w:pPr>
              <w:tabs>
                <w:tab w:val="decimal" w:pos="390"/>
              </w:tabs>
              <w:spacing w:line="256" w:lineRule="auto"/>
              <w:rPr>
                <w:rFonts w:ascii="Arial" w:eastAsia="Calibri" w:hAnsi="Arial" w:cs="Arial"/>
                <w:color w:val="000000"/>
                <w:sz w:val="20"/>
              </w:rPr>
            </w:pPr>
            <w:r w:rsidRPr="00361437">
              <w:rPr>
                <w:rFonts w:ascii="Arial" w:eastAsia="Calibri" w:hAnsi="Arial" w:cs="Arial"/>
                <w:color w:val="000000"/>
                <w:sz w:val="20"/>
              </w:rPr>
              <w:t>0.</w:t>
            </w:r>
            <w:r w:rsidR="00295A05" w:rsidRPr="00361437">
              <w:rPr>
                <w:rFonts w:ascii="Arial" w:eastAsia="Calibri" w:hAnsi="Arial" w:cs="Arial"/>
                <w:color w:val="000000"/>
                <w:sz w:val="20"/>
              </w:rPr>
              <w:t>1</w:t>
            </w:r>
            <w:r w:rsidR="009622AA" w:rsidRPr="00361437">
              <w:rPr>
                <w:rFonts w:ascii="Arial" w:eastAsia="Calibri" w:hAnsi="Arial" w:cs="Arial"/>
                <w:color w:val="000000"/>
                <w:sz w:val="20"/>
              </w:rPr>
              <w:t>840</w:t>
            </w:r>
            <w:r w:rsidRPr="00361437">
              <w:rPr>
                <w:rFonts w:ascii="Arial" w:eastAsia="Calibri" w:hAnsi="Arial" w:cs="Arial"/>
                <w:color w:val="000000"/>
                <w:sz w:val="20"/>
                <w:vertAlign w:val="superscript"/>
              </w:rPr>
              <w:t>*</w:t>
            </w:r>
            <w:r w:rsidR="009622AA" w:rsidRPr="00361437">
              <w:rPr>
                <w:rFonts w:ascii="Arial" w:eastAsia="Calibri" w:hAnsi="Arial" w:cs="Arial"/>
                <w:color w:val="000000"/>
                <w:sz w:val="20"/>
                <w:vertAlign w:val="superscript"/>
              </w:rPr>
              <w:t>*</w:t>
            </w:r>
            <w:r w:rsidRPr="00361437">
              <w:rPr>
                <w:rFonts w:ascii="Arial" w:eastAsia="Calibri" w:hAnsi="Arial" w:cs="Arial"/>
                <w:color w:val="000000"/>
                <w:sz w:val="20"/>
                <w:vertAlign w:val="superscript"/>
              </w:rPr>
              <w:t>*</w:t>
            </w:r>
          </w:p>
        </w:tc>
        <w:tc>
          <w:tcPr>
            <w:tcW w:w="546" w:type="pct"/>
            <w:vAlign w:val="center"/>
            <w:hideMark/>
          </w:tcPr>
          <w:p w14:paraId="76D554F3" w14:textId="710758AA"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9622AA" w:rsidRPr="00361437">
              <w:rPr>
                <w:rFonts w:ascii="Arial" w:eastAsia="Calibri" w:hAnsi="Arial" w:cs="Arial"/>
                <w:color w:val="000000"/>
                <w:sz w:val="20"/>
              </w:rPr>
              <w:t>0</w:t>
            </w:r>
            <w:r w:rsidRPr="00361437">
              <w:rPr>
                <w:rFonts w:ascii="Arial" w:eastAsia="Calibri" w:hAnsi="Arial" w:cs="Arial"/>
                <w:color w:val="000000"/>
                <w:sz w:val="20"/>
              </w:rPr>
              <w:t>45</w:t>
            </w:r>
          </w:p>
        </w:tc>
        <w:tc>
          <w:tcPr>
            <w:tcW w:w="125" w:type="pct"/>
            <w:vAlign w:val="center"/>
          </w:tcPr>
          <w:p w14:paraId="7128F61F" w14:textId="77777777" w:rsidR="00032E88" w:rsidRPr="00361437" w:rsidRDefault="00032E88" w:rsidP="00032E88">
            <w:pPr>
              <w:tabs>
                <w:tab w:val="decimal" w:pos="252"/>
              </w:tabs>
              <w:spacing w:line="256" w:lineRule="auto"/>
              <w:rPr>
                <w:rFonts w:ascii="Arial" w:eastAsia="Calibri" w:hAnsi="Arial" w:cs="Arial"/>
                <w:color w:val="000000"/>
                <w:sz w:val="20"/>
              </w:rPr>
            </w:pPr>
          </w:p>
        </w:tc>
        <w:tc>
          <w:tcPr>
            <w:tcW w:w="668" w:type="pct"/>
            <w:vAlign w:val="center"/>
            <w:hideMark/>
          </w:tcPr>
          <w:p w14:paraId="4B76F7A0" w14:textId="50F5DF06"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w:t>
            </w:r>
            <w:r w:rsidR="00295A05" w:rsidRPr="00361437">
              <w:rPr>
                <w:rFonts w:ascii="Arial" w:eastAsia="Calibri" w:hAnsi="Arial" w:cs="Arial"/>
                <w:color w:val="000000"/>
                <w:sz w:val="20"/>
              </w:rPr>
              <w:t>1730</w:t>
            </w:r>
          </w:p>
        </w:tc>
        <w:tc>
          <w:tcPr>
            <w:tcW w:w="546" w:type="pct"/>
            <w:vAlign w:val="center"/>
            <w:hideMark/>
          </w:tcPr>
          <w:p w14:paraId="2E06926A" w14:textId="5199BE66"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w:t>
            </w:r>
            <w:r w:rsidR="00295A05" w:rsidRPr="00361437">
              <w:rPr>
                <w:rFonts w:ascii="Arial" w:eastAsia="Calibri" w:hAnsi="Arial" w:cs="Arial"/>
                <w:color w:val="000000"/>
                <w:sz w:val="20"/>
              </w:rPr>
              <w:t>2313</w:t>
            </w:r>
          </w:p>
        </w:tc>
      </w:tr>
      <w:tr w:rsidR="00032E88" w:rsidRPr="00361437" w14:paraId="5A908926" w14:textId="77777777" w:rsidTr="00032E88">
        <w:tc>
          <w:tcPr>
            <w:tcW w:w="1979" w:type="pct"/>
            <w:vAlign w:val="center"/>
          </w:tcPr>
          <w:p w14:paraId="1E772EC8" w14:textId="77777777" w:rsidR="00032E88" w:rsidRPr="00361437" w:rsidRDefault="00032E88" w:rsidP="00032E88">
            <w:pPr>
              <w:spacing w:line="256" w:lineRule="auto"/>
              <w:rPr>
                <w:rFonts w:ascii="Arial" w:eastAsia="Times New Roman" w:hAnsi="Arial" w:cs="Arial"/>
                <w:sz w:val="20"/>
              </w:rPr>
            </w:pPr>
          </w:p>
        </w:tc>
        <w:tc>
          <w:tcPr>
            <w:tcW w:w="467" w:type="pct"/>
            <w:noWrap/>
          </w:tcPr>
          <w:p w14:paraId="5D4A67C0" w14:textId="77777777" w:rsidR="00032E88" w:rsidRPr="00361437" w:rsidRDefault="00032E88" w:rsidP="00032E88">
            <w:pPr>
              <w:spacing w:line="256" w:lineRule="auto"/>
              <w:rPr>
                <w:rFonts w:ascii="Arial" w:eastAsia="Times New Roman" w:hAnsi="Arial" w:cs="Arial"/>
                <w:sz w:val="20"/>
              </w:rPr>
            </w:pPr>
          </w:p>
        </w:tc>
        <w:tc>
          <w:tcPr>
            <w:tcW w:w="668" w:type="pct"/>
            <w:tcMar>
              <w:top w:w="0" w:type="dxa"/>
              <w:left w:w="14" w:type="dxa"/>
              <w:bottom w:w="0" w:type="dxa"/>
              <w:right w:w="14" w:type="dxa"/>
            </w:tcMar>
            <w:vAlign w:val="center"/>
          </w:tcPr>
          <w:p w14:paraId="0A7B1A54" w14:textId="77777777" w:rsidR="00032E88" w:rsidRPr="00361437" w:rsidRDefault="00032E88" w:rsidP="00032E88">
            <w:pPr>
              <w:tabs>
                <w:tab w:val="decimal" w:pos="390"/>
              </w:tabs>
              <w:spacing w:line="256" w:lineRule="auto"/>
              <w:rPr>
                <w:rFonts w:ascii="Arial" w:eastAsia="Calibri" w:hAnsi="Arial" w:cs="Arial"/>
                <w:color w:val="000000"/>
                <w:sz w:val="20"/>
              </w:rPr>
            </w:pPr>
          </w:p>
        </w:tc>
        <w:tc>
          <w:tcPr>
            <w:tcW w:w="546" w:type="pct"/>
            <w:vAlign w:val="center"/>
          </w:tcPr>
          <w:p w14:paraId="2FADB95F" w14:textId="77777777" w:rsidR="00032E88" w:rsidRPr="00361437" w:rsidRDefault="00032E88" w:rsidP="00032E88">
            <w:pPr>
              <w:tabs>
                <w:tab w:val="decimal" w:pos="252"/>
              </w:tabs>
              <w:spacing w:line="256" w:lineRule="auto"/>
              <w:rPr>
                <w:rFonts w:ascii="Arial" w:eastAsia="Calibri" w:hAnsi="Arial" w:cs="Arial"/>
                <w:color w:val="000000"/>
                <w:sz w:val="20"/>
              </w:rPr>
            </w:pPr>
          </w:p>
        </w:tc>
        <w:tc>
          <w:tcPr>
            <w:tcW w:w="125" w:type="pct"/>
            <w:vAlign w:val="center"/>
          </w:tcPr>
          <w:p w14:paraId="36AD3579" w14:textId="77777777" w:rsidR="00032E88" w:rsidRPr="00361437" w:rsidRDefault="00032E88" w:rsidP="00032E88">
            <w:pPr>
              <w:tabs>
                <w:tab w:val="decimal" w:pos="252"/>
              </w:tabs>
              <w:spacing w:line="256" w:lineRule="auto"/>
              <w:rPr>
                <w:rFonts w:ascii="Arial" w:eastAsia="Calibri" w:hAnsi="Arial" w:cs="Arial"/>
                <w:color w:val="000000"/>
                <w:sz w:val="20"/>
              </w:rPr>
            </w:pPr>
          </w:p>
        </w:tc>
        <w:tc>
          <w:tcPr>
            <w:tcW w:w="668" w:type="pct"/>
            <w:vAlign w:val="center"/>
          </w:tcPr>
          <w:p w14:paraId="2DE93322" w14:textId="77777777" w:rsidR="00032E88" w:rsidRPr="00361437" w:rsidRDefault="00032E88" w:rsidP="00032E88">
            <w:pPr>
              <w:tabs>
                <w:tab w:val="decimal" w:pos="252"/>
              </w:tabs>
              <w:spacing w:line="256" w:lineRule="auto"/>
              <w:rPr>
                <w:rFonts w:ascii="Arial" w:eastAsia="Calibri" w:hAnsi="Arial" w:cs="Arial"/>
                <w:color w:val="000000"/>
                <w:sz w:val="20"/>
              </w:rPr>
            </w:pPr>
          </w:p>
        </w:tc>
        <w:tc>
          <w:tcPr>
            <w:tcW w:w="546" w:type="pct"/>
            <w:vAlign w:val="center"/>
          </w:tcPr>
          <w:p w14:paraId="665B6076" w14:textId="77777777" w:rsidR="00032E88" w:rsidRPr="00361437" w:rsidRDefault="00032E88" w:rsidP="00032E88">
            <w:pPr>
              <w:tabs>
                <w:tab w:val="decimal" w:pos="252"/>
              </w:tabs>
              <w:spacing w:line="256" w:lineRule="auto"/>
              <w:rPr>
                <w:rFonts w:ascii="Arial" w:eastAsia="Calibri" w:hAnsi="Arial" w:cs="Arial"/>
                <w:color w:val="000000"/>
                <w:sz w:val="20"/>
              </w:rPr>
            </w:pPr>
          </w:p>
        </w:tc>
      </w:tr>
      <w:tr w:rsidR="00032E88" w:rsidRPr="00361437" w14:paraId="530F8A87" w14:textId="77777777" w:rsidTr="00032E88">
        <w:tc>
          <w:tcPr>
            <w:tcW w:w="1979" w:type="pct"/>
            <w:vAlign w:val="center"/>
            <w:hideMark/>
          </w:tcPr>
          <w:p w14:paraId="75EA616D" w14:textId="77777777" w:rsidR="00032E88" w:rsidRPr="00361437" w:rsidRDefault="00032E88" w:rsidP="00032E88">
            <w:pPr>
              <w:spacing w:line="256" w:lineRule="auto"/>
              <w:rPr>
                <w:rFonts w:ascii="Arial" w:eastAsia="Times New Roman" w:hAnsi="Arial" w:cs="Arial"/>
                <w:sz w:val="20"/>
              </w:rPr>
            </w:pPr>
            <w:r w:rsidRPr="00361437">
              <w:rPr>
                <w:rFonts w:ascii="Arial" w:eastAsia="Times New Roman" w:hAnsi="Arial" w:cs="Arial"/>
                <w:sz w:val="20"/>
              </w:rPr>
              <w:t>Creditor = management interests</w:t>
            </w:r>
          </w:p>
        </w:tc>
        <w:tc>
          <w:tcPr>
            <w:tcW w:w="467" w:type="pct"/>
            <w:noWrap/>
            <w:hideMark/>
          </w:tcPr>
          <w:p w14:paraId="3BA87EA5" w14:textId="2AFEAB1A" w:rsidR="00032E88" w:rsidRPr="00361437" w:rsidRDefault="00B03005" w:rsidP="00032E88">
            <w:pPr>
              <w:spacing w:line="256" w:lineRule="auto"/>
              <w:rPr>
                <w:rFonts w:ascii="Arial" w:eastAsia="Times New Roman" w:hAnsi="Arial" w:cs="Arial"/>
                <w:sz w:val="20"/>
              </w:rPr>
            </w:pPr>
            <w:r w:rsidRPr="00361437">
              <w:rPr>
                <w:rFonts w:ascii="Arial" w:eastAsia="Times New Roman" w:hAnsi="Arial" w:cs="Arial"/>
                <w:sz w:val="20"/>
              </w:rPr>
              <w:t>13,384</w:t>
            </w:r>
          </w:p>
        </w:tc>
        <w:tc>
          <w:tcPr>
            <w:tcW w:w="668" w:type="pct"/>
            <w:tcMar>
              <w:top w:w="0" w:type="dxa"/>
              <w:left w:w="14" w:type="dxa"/>
              <w:bottom w:w="0" w:type="dxa"/>
              <w:right w:w="14" w:type="dxa"/>
            </w:tcMar>
            <w:vAlign w:val="center"/>
            <w:hideMark/>
          </w:tcPr>
          <w:p w14:paraId="4A0F5715" w14:textId="61526D16" w:rsidR="00032E88" w:rsidRPr="00361437" w:rsidRDefault="00032E88" w:rsidP="00032E88">
            <w:pPr>
              <w:tabs>
                <w:tab w:val="decimal" w:pos="390"/>
              </w:tabs>
              <w:spacing w:line="256" w:lineRule="auto"/>
              <w:rPr>
                <w:rFonts w:ascii="Arial" w:eastAsia="Calibri" w:hAnsi="Arial" w:cs="Arial"/>
                <w:color w:val="000000"/>
                <w:sz w:val="20"/>
              </w:rPr>
            </w:pPr>
            <w:r w:rsidRPr="00361437">
              <w:rPr>
                <w:rFonts w:ascii="Arial" w:eastAsia="Calibri" w:hAnsi="Arial" w:cs="Arial"/>
                <w:color w:val="000000"/>
                <w:sz w:val="20"/>
              </w:rPr>
              <w:t>0.</w:t>
            </w:r>
            <w:r w:rsidR="001974C4" w:rsidRPr="00361437">
              <w:rPr>
                <w:rFonts w:ascii="Arial" w:eastAsia="Calibri" w:hAnsi="Arial" w:cs="Arial"/>
                <w:color w:val="000000"/>
                <w:sz w:val="20"/>
              </w:rPr>
              <w:t>1</w:t>
            </w:r>
            <w:r w:rsidR="009622AA" w:rsidRPr="00361437">
              <w:rPr>
                <w:rFonts w:ascii="Arial" w:eastAsia="Calibri" w:hAnsi="Arial" w:cs="Arial"/>
                <w:color w:val="000000"/>
                <w:sz w:val="20"/>
              </w:rPr>
              <w:t>643</w:t>
            </w:r>
            <w:r w:rsidRPr="00361437">
              <w:rPr>
                <w:rFonts w:ascii="Arial" w:eastAsia="Calibri" w:hAnsi="Arial" w:cs="Arial"/>
                <w:color w:val="000000"/>
                <w:sz w:val="20"/>
                <w:vertAlign w:val="superscript"/>
              </w:rPr>
              <w:t>*</w:t>
            </w:r>
            <w:r w:rsidR="009622AA" w:rsidRPr="00361437">
              <w:rPr>
                <w:rFonts w:ascii="Arial" w:eastAsia="Calibri" w:hAnsi="Arial" w:cs="Arial"/>
                <w:color w:val="000000"/>
                <w:sz w:val="20"/>
                <w:vertAlign w:val="superscript"/>
              </w:rPr>
              <w:t>*</w:t>
            </w:r>
          </w:p>
        </w:tc>
        <w:tc>
          <w:tcPr>
            <w:tcW w:w="546" w:type="pct"/>
            <w:vAlign w:val="center"/>
            <w:hideMark/>
          </w:tcPr>
          <w:p w14:paraId="498CA3FC" w14:textId="1917F6E8"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9622AA" w:rsidRPr="00361437">
              <w:rPr>
                <w:rFonts w:ascii="Arial" w:eastAsia="Calibri" w:hAnsi="Arial" w:cs="Arial"/>
                <w:color w:val="000000"/>
                <w:sz w:val="20"/>
              </w:rPr>
              <w:t>423</w:t>
            </w:r>
          </w:p>
        </w:tc>
        <w:tc>
          <w:tcPr>
            <w:tcW w:w="125" w:type="pct"/>
            <w:vAlign w:val="center"/>
          </w:tcPr>
          <w:p w14:paraId="337BCED8" w14:textId="77777777" w:rsidR="00032E88" w:rsidRPr="00361437" w:rsidRDefault="00032E88" w:rsidP="00032E88">
            <w:pPr>
              <w:tabs>
                <w:tab w:val="decimal" w:pos="252"/>
              </w:tabs>
              <w:spacing w:line="256" w:lineRule="auto"/>
              <w:rPr>
                <w:rFonts w:ascii="Arial" w:eastAsia="Calibri" w:hAnsi="Arial" w:cs="Arial"/>
                <w:color w:val="000000"/>
                <w:sz w:val="20"/>
              </w:rPr>
            </w:pPr>
          </w:p>
        </w:tc>
        <w:tc>
          <w:tcPr>
            <w:tcW w:w="668" w:type="pct"/>
            <w:vAlign w:val="center"/>
            <w:hideMark/>
          </w:tcPr>
          <w:p w14:paraId="2FBAF535" w14:textId="6FD16C81"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w:t>
            </w:r>
            <w:r w:rsidR="00295A05" w:rsidRPr="00361437">
              <w:rPr>
                <w:rFonts w:ascii="Arial" w:eastAsia="Calibri" w:hAnsi="Arial" w:cs="Arial"/>
                <w:color w:val="000000"/>
                <w:sz w:val="20"/>
              </w:rPr>
              <w:t>0436</w:t>
            </w:r>
          </w:p>
        </w:tc>
        <w:tc>
          <w:tcPr>
            <w:tcW w:w="546" w:type="pct"/>
            <w:vAlign w:val="center"/>
            <w:hideMark/>
          </w:tcPr>
          <w:p w14:paraId="325DC9B2" w14:textId="7FBC6528"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w:t>
            </w:r>
            <w:r w:rsidR="00295A05" w:rsidRPr="00361437">
              <w:rPr>
                <w:rFonts w:ascii="Arial" w:eastAsia="Calibri" w:hAnsi="Arial" w:cs="Arial"/>
                <w:color w:val="000000"/>
                <w:sz w:val="20"/>
              </w:rPr>
              <w:t>6970</w:t>
            </w:r>
          </w:p>
        </w:tc>
      </w:tr>
      <w:tr w:rsidR="00032E88" w:rsidRPr="00361437" w14:paraId="31404DAA" w14:textId="77777777" w:rsidTr="00032E88">
        <w:tc>
          <w:tcPr>
            <w:tcW w:w="1979" w:type="pct"/>
            <w:vAlign w:val="center"/>
            <w:hideMark/>
          </w:tcPr>
          <w:p w14:paraId="16424738" w14:textId="77777777" w:rsidR="00032E88" w:rsidRPr="00361437" w:rsidRDefault="00032E88" w:rsidP="00032E88">
            <w:pPr>
              <w:spacing w:line="256" w:lineRule="auto"/>
              <w:rPr>
                <w:rFonts w:ascii="Arial" w:eastAsia="Times New Roman" w:hAnsi="Arial" w:cs="Arial"/>
                <w:sz w:val="20"/>
              </w:rPr>
            </w:pPr>
            <w:r w:rsidRPr="00361437">
              <w:rPr>
                <w:rFonts w:ascii="Arial" w:eastAsia="Times New Roman" w:hAnsi="Arial" w:cs="Arial"/>
                <w:sz w:val="20"/>
              </w:rPr>
              <w:t>Creditor ≠ management interests</w:t>
            </w:r>
          </w:p>
        </w:tc>
        <w:tc>
          <w:tcPr>
            <w:tcW w:w="467" w:type="pct"/>
            <w:noWrap/>
            <w:hideMark/>
          </w:tcPr>
          <w:p w14:paraId="07B2F196" w14:textId="4208A5F7" w:rsidR="00032E88" w:rsidRPr="00361437" w:rsidRDefault="00B03005" w:rsidP="00032E88">
            <w:pPr>
              <w:spacing w:line="256" w:lineRule="auto"/>
              <w:rPr>
                <w:rFonts w:ascii="Arial" w:eastAsia="Times New Roman" w:hAnsi="Arial" w:cs="Arial"/>
                <w:sz w:val="20"/>
              </w:rPr>
            </w:pPr>
            <w:r w:rsidRPr="00361437">
              <w:rPr>
                <w:rFonts w:ascii="Arial" w:eastAsia="Times New Roman" w:hAnsi="Arial" w:cs="Arial"/>
                <w:sz w:val="20"/>
              </w:rPr>
              <w:t>39,361</w:t>
            </w:r>
          </w:p>
        </w:tc>
        <w:tc>
          <w:tcPr>
            <w:tcW w:w="668" w:type="pct"/>
            <w:tcMar>
              <w:top w:w="0" w:type="dxa"/>
              <w:left w:w="14" w:type="dxa"/>
              <w:bottom w:w="0" w:type="dxa"/>
              <w:right w:w="14" w:type="dxa"/>
            </w:tcMar>
            <w:vAlign w:val="center"/>
            <w:hideMark/>
          </w:tcPr>
          <w:p w14:paraId="76EAAA7B" w14:textId="6C73C627" w:rsidR="00032E88" w:rsidRPr="00361437" w:rsidRDefault="00032E88" w:rsidP="00032E88">
            <w:pPr>
              <w:tabs>
                <w:tab w:val="decimal" w:pos="390"/>
              </w:tabs>
              <w:spacing w:line="256" w:lineRule="auto"/>
              <w:rPr>
                <w:rFonts w:ascii="Arial" w:eastAsia="Calibri" w:hAnsi="Arial" w:cs="Arial"/>
                <w:color w:val="000000"/>
                <w:sz w:val="20"/>
              </w:rPr>
            </w:pPr>
            <w:r w:rsidRPr="00361437">
              <w:rPr>
                <w:rFonts w:ascii="Arial" w:eastAsia="Calibri" w:hAnsi="Arial" w:cs="Arial"/>
                <w:color w:val="000000"/>
                <w:sz w:val="20"/>
              </w:rPr>
              <w:t>0.</w:t>
            </w:r>
            <w:r w:rsidR="001974C4" w:rsidRPr="00361437">
              <w:rPr>
                <w:rFonts w:ascii="Arial" w:eastAsia="Calibri" w:hAnsi="Arial" w:cs="Arial"/>
                <w:color w:val="000000"/>
                <w:sz w:val="20"/>
              </w:rPr>
              <w:t>1</w:t>
            </w:r>
            <w:r w:rsidR="009622AA" w:rsidRPr="00361437">
              <w:rPr>
                <w:rFonts w:ascii="Arial" w:eastAsia="Calibri" w:hAnsi="Arial" w:cs="Arial"/>
                <w:color w:val="000000"/>
                <w:sz w:val="20"/>
              </w:rPr>
              <w:t>930</w:t>
            </w:r>
            <w:r w:rsidRPr="00361437">
              <w:rPr>
                <w:rFonts w:ascii="Arial" w:eastAsia="Calibri" w:hAnsi="Arial" w:cs="Arial"/>
                <w:color w:val="000000"/>
                <w:sz w:val="20"/>
                <w:vertAlign w:val="superscript"/>
              </w:rPr>
              <w:t>**</w:t>
            </w:r>
          </w:p>
        </w:tc>
        <w:tc>
          <w:tcPr>
            <w:tcW w:w="546" w:type="pct"/>
            <w:vAlign w:val="center"/>
            <w:hideMark/>
          </w:tcPr>
          <w:p w14:paraId="239B2A38" w14:textId="7D889EBF"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9622AA" w:rsidRPr="00361437">
              <w:rPr>
                <w:rFonts w:ascii="Arial" w:eastAsia="Calibri" w:hAnsi="Arial" w:cs="Arial"/>
                <w:color w:val="000000"/>
                <w:sz w:val="20"/>
              </w:rPr>
              <w:t>162</w:t>
            </w:r>
          </w:p>
        </w:tc>
        <w:tc>
          <w:tcPr>
            <w:tcW w:w="125" w:type="pct"/>
            <w:vAlign w:val="center"/>
          </w:tcPr>
          <w:p w14:paraId="12AF71CD" w14:textId="77777777" w:rsidR="00032E88" w:rsidRPr="00361437" w:rsidRDefault="00032E88" w:rsidP="00032E88">
            <w:pPr>
              <w:tabs>
                <w:tab w:val="decimal" w:pos="252"/>
              </w:tabs>
              <w:spacing w:line="256" w:lineRule="auto"/>
              <w:rPr>
                <w:rFonts w:ascii="Arial" w:eastAsia="Calibri" w:hAnsi="Arial" w:cs="Arial"/>
                <w:color w:val="000000"/>
                <w:sz w:val="20"/>
              </w:rPr>
            </w:pPr>
          </w:p>
        </w:tc>
        <w:tc>
          <w:tcPr>
            <w:tcW w:w="668" w:type="pct"/>
            <w:vAlign w:val="center"/>
            <w:hideMark/>
          </w:tcPr>
          <w:p w14:paraId="6FAD7593" w14:textId="632B9082"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CB2E9A" w:rsidRPr="00361437">
              <w:rPr>
                <w:rFonts w:ascii="Arial" w:eastAsia="Calibri" w:hAnsi="Arial" w:cs="Arial"/>
                <w:color w:val="000000"/>
                <w:sz w:val="20"/>
              </w:rPr>
              <w:t>466</w:t>
            </w:r>
          </w:p>
        </w:tc>
        <w:tc>
          <w:tcPr>
            <w:tcW w:w="546" w:type="pct"/>
            <w:vAlign w:val="center"/>
            <w:hideMark/>
          </w:tcPr>
          <w:p w14:paraId="6C8479C4" w14:textId="48FD2748"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w:t>
            </w:r>
            <w:r w:rsidR="00CB2E9A" w:rsidRPr="00361437">
              <w:rPr>
                <w:rFonts w:ascii="Arial" w:eastAsia="Calibri" w:hAnsi="Arial" w:cs="Arial"/>
                <w:color w:val="000000"/>
                <w:sz w:val="20"/>
              </w:rPr>
              <w:t>5190</w:t>
            </w:r>
          </w:p>
        </w:tc>
      </w:tr>
      <w:tr w:rsidR="00032E88" w:rsidRPr="00361437" w14:paraId="59467D06" w14:textId="77777777" w:rsidTr="00032E88">
        <w:tc>
          <w:tcPr>
            <w:tcW w:w="1979" w:type="pct"/>
            <w:vAlign w:val="center"/>
          </w:tcPr>
          <w:p w14:paraId="0AF0372C" w14:textId="77777777" w:rsidR="00032E88" w:rsidRPr="00361437" w:rsidRDefault="00032E88" w:rsidP="00032E88">
            <w:pPr>
              <w:spacing w:line="256" w:lineRule="auto"/>
              <w:rPr>
                <w:rFonts w:ascii="Arial" w:eastAsia="Times New Roman" w:hAnsi="Arial" w:cs="Arial"/>
                <w:sz w:val="20"/>
              </w:rPr>
            </w:pPr>
          </w:p>
        </w:tc>
        <w:tc>
          <w:tcPr>
            <w:tcW w:w="467" w:type="pct"/>
            <w:noWrap/>
          </w:tcPr>
          <w:p w14:paraId="3C81403E" w14:textId="77777777" w:rsidR="00032E88" w:rsidRPr="00361437" w:rsidRDefault="00032E88" w:rsidP="00032E88">
            <w:pPr>
              <w:spacing w:line="256" w:lineRule="auto"/>
              <w:rPr>
                <w:rFonts w:ascii="Arial" w:eastAsia="Times New Roman" w:hAnsi="Arial" w:cs="Arial"/>
                <w:sz w:val="20"/>
              </w:rPr>
            </w:pPr>
          </w:p>
        </w:tc>
        <w:tc>
          <w:tcPr>
            <w:tcW w:w="668" w:type="pct"/>
            <w:tcMar>
              <w:top w:w="0" w:type="dxa"/>
              <w:left w:w="14" w:type="dxa"/>
              <w:bottom w:w="0" w:type="dxa"/>
              <w:right w:w="14" w:type="dxa"/>
            </w:tcMar>
            <w:vAlign w:val="center"/>
          </w:tcPr>
          <w:p w14:paraId="458A5946" w14:textId="77777777" w:rsidR="00032E88" w:rsidRPr="00361437" w:rsidRDefault="00032E88" w:rsidP="00032E88">
            <w:pPr>
              <w:tabs>
                <w:tab w:val="decimal" w:pos="390"/>
              </w:tabs>
              <w:spacing w:line="256" w:lineRule="auto"/>
              <w:rPr>
                <w:rFonts w:ascii="Arial" w:eastAsia="Calibri" w:hAnsi="Arial" w:cs="Arial"/>
                <w:color w:val="000000"/>
                <w:sz w:val="20"/>
              </w:rPr>
            </w:pPr>
          </w:p>
        </w:tc>
        <w:tc>
          <w:tcPr>
            <w:tcW w:w="546" w:type="pct"/>
            <w:vAlign w:val="center"/>
          </w:tcPr>
          <w:p w14:paraId="678FA898" w14:textId="77777777" w:rsidR="00032E88" w:rsidRPr="00361437" w:rsidRDefault="00032E88" w:rsidP="00032E88">
            <w:pPr>
              <w:tabs>
                <w:tab w:val="decimal" w:pos="252"/>
              </w:tabs>
              <w:spacing w:line="256" w:lineRule="auto"/>
              <w:rPr>
                <w:rFonts w:ascii="Arial" w:eastAsia="Calibri" w:hAnsi="Arial" w:cs="Arial"/>
                <w:color w:val="000000"/>
                <w:sz w:val="20"/>
              </w:rPr>
            </w:pPr>
          </w:p>
        </w:tc>
        <w:tc>
          <w:tcPr>
            <w:tcW w:w="125" w:type="pct"/>
            <w:vAlign w:val="center"/>
          </w:tcPr>
          <w:p w14:paraId="0D43CB14" w14:textId="77777777" w:rsidR="00032E88" w:rsidRPr="00361437" w:rsidRDefault="00032E88" w:rsidP="00032E88">
            <w:pPr>
              <w:tabs>
                <w:tab w:val="decimal" w:pos="252"/>
              </w:tabs>
              <w:spacing w:line="256" w:lineRule="auto"/>
              <w:rPr>
                <w:rFonts w:ascii="Arial" w:eastAsia="Calibri" w:hAnsi="Arial" w:cs="Arial"/>
                <w:color w:val="000000"/>
                <w:sz w:val="20"/>
              </w:rPr>
            </w:pPr>
          </w:p>
        </w:tc>
        <w:tc>
          <w:tcPr>
            <w:tcW w:w="668" w:type="pct"/>
            <w:vAlign w:val="center"/>
          </w:tcPr>
          <w:p w14:paraId="7CD27B67" w14:textId="77777777" w:rsidR="00032E88" w:rsidRPr="00361437" w:rsidRDefault="00032E88" w:rsidP="00032E88">
            <w:pPr>
              <w:tabs>
                <w:tab w:val="decimal" w:pos="252"/>
              </w:tabs>
              <w:spacing w:line="256" w:lineRule="auto"/>
              <w:rPr>
                <w:rFonts w:ascii="Arial" w:eastAsia="Calibri" w:hAnsi="Arial" w:cs="Arial"/>
                <w:color w:val="000000"/>
                <w:sz w:val="20"/>
              </w:rPr>
            </w:pPr>
          </w:p>
        </w:tc>
        <w:tc>
          <w:tcPr>
            <w:tcW w:w="546" w:type="pct"/>
            <w:vAlign w:val="center"/>
          </w:tcPr>
          <w:p w14:paraId="31D52703" w14:textId="77777777" w:rsidR="00032E88" w:rsidRPr="00361437" w:rsidRDefault="00032E88" w:rsidP="00032E88">
            <w:pPr>
              <w:tabs>
                <w:tab w:val="decimal" w:pos="252"/>
              </w:tabs>
              <w:spacing w:line="256" w:lineRule="auto"/>
              <w:rPr>
                <w:rFonts w:ascii="Arial" w:eastAsia="Calibri" w:hAnsi="Arial" w:cs="Arial"/>
                <w:color w:val="000000"/>
                <w:sz w:val="20"/>
              </w:rPr>
            </w:pPr>
          </w:p>
        </w:tc>
      </w:tr>
      <w:tr w:rsidR="00032E88" w:rsidRPr="00361437" w14:paraId="7D9C7213" w14:textId="77777777" w:rsidTr="00032E88">
        <w:tc>
          <w:tcPr>
            <w:tcW w:w="1979" w:type="pct"/>
            <w:vAlign w:val="center"/>
            <w:hideMark/>
          </w:tcPr>
          <w:p w14:paraId="00372E58" w14:textId="77777777" w:rsidR="00032E88" w:rsidRPr="00361437" w:rsidRDefault="00032E88" w:rsidP="00032E88">
            <w:pPr>
              <w:spacing w:line="256" w:lineRule="auto"/>
              <w:rPr>
                <w:rFonts w:ascii="Arial" w:eastAsia="Times New Roman" w:hAnsi="Arial" w:cs="Arial"/>
                <w:sz w:val="20"/>
              </w:rPr>
            </w:pPr>
            <w:r w:rsidRPr="00361437">
              <w:rPr>
                <w:rFonts w:ascii="Arial" w:eastAsia="Times New Roman" w:hAnsi="Arial" w:cs="Arial"/>
                <w:sz w:val="20"/>
              </w:rPr>
              <w:t>Creditor = ISS interests</w:t>
            </w:r>
          </w:p>
        </w:tc>
        <w:tc>
          <w:tcPr>
            <w:tcW w:w="467" w:type="pct"/>
            <w:noWrap/>
            <w:hideMark/>
          </w:tcPr>
          <w:p w14:paraId="5FF98D4E" w14:textId="19957E3F" w:rsidR="00032E88" w:rsidRPr="00361437" w:rsidRDefault="00D66AF2" w:rsidP="00032E88">
            <w:pPr>
              <w:spacing w:line="256" w:lineRule="auto"/>
              <w:rPr>
                <w:rFonts w:ascii="Arial" w:eastAsia="Times New Roman" w:hAnsi="Arial" w:cs="Arial"/>
                <w:sz w:val="20"/>
              </w:rPr>
            </w:pPr>
            <w:r w:rsidRPr="00361437">
              <w:rPr>
                <w:rFonts w:ascii="Arial" w:eastAsia="Times New Roman" w:hAnsi="Arial" w:cs="Arial"/>
                <w:sz w:val="20"/>
              </w:rPr>
              <w:t>12,659</w:t>
            </w:r>
          </w:p>
        </w:tc>
        <w:tc>
          <w:tcPr>
            <w:tcW w:w="668" w:type="pct"/>
            <w:tcMar>
              <w:top w:w="0" w:type="dxa"/>
              <w:left w:w="14" w:type="dxa"/>
              <w:bottom w:w="0" w:type="dxa"/>
              <w:right w:w="14" w:type="dxa"/>
            </w:tcMar>
            <w:vAlign w:val="center"/>
            <w:hideMark/>
          </w:tcPr>
          <w:p w14:paraId="03AED10B" w14:textId="5457EF59" w:rsidR="00032E88" w:rsidRPr="00361437" w:rsidRDefault="00032E88" w:rsidP="00032E88">
            <w:pPr>
              <w:tabs>
                <w:tab w:val="decimal" w:pos="390"/>
              </w:tabs>
              <w:spacing w:line="256" w:lineRule="auto"/>
              <w:rPr>
                <w:rFonts w:ascii="Arial" w:eastAsia="Calibri" w:hAnsi="Arial" w:cs="Arial"/>
                <w:color w:val="000000"/>
                <w:sz w:val="20"/>
              </w:rPr>
            </w:pPr>
            <w:r w:rsidRPr="00361437">
              <w:rPr>
                <w:rFonts w:ascii="Arial" w:eastAsia="Calibri" w:hAnsi="Arial" w:cs="Arial"/>
                <w:color w:val="000000"/>
                <w:sz w:val="20"/>
              </w:rPr>
              <w:t>0.1</w:t>
            </w:r>
            <w:r w:rsidR="009622AA" w:rsidRPr="00361437">
              <w:rPr>
                <w:rFonts w:ascii="Arial" w:eastAsia="Calibri" w:hAnsi="Arial" w:cs="Arial"/>
                <w:color w:val="000000"/>
                <w:sz w:val="20"/>
              </w:rPr>
              <w:t>179</w:t>
            </w:r>
            <w:r w:rsidRPr="00361437">
              <w:rPr>
                <w:rFonts w:ascii="Arial" w:eastAsia="Calibri" w:hAnsi="Arial" w:cs="Arial"/>
                <w:color w:val="000000"/>
                <w:sz w:val="20"/>
                <w:vertAlign w:val="superscript"/>
              </w:rPr>
              <w:t>*</w:t>
            </w:r>
            <w:r w:rsidR="009622AA" w:rsidRPr="00361437">
              <w:rPr>
                <w:rFonts w:ascii="Arial" w:eastAsia="Calibri" w:hAnsi="Arial" w:cs="Arial"/>
                <w:color w:val="000000"/>
                <w:sz w:val="20"/>
                <w:vertAlign w:val="superscript"/>
              </w:rPr>
              <w:t>*</w:t>
            </w:r>
            <w:r w:rsidRPr="00361437">
              <w:rPr>
                <w:rFonts w:ascii="Arial" w:eastAsia="Calibri" w:hAnsi="Arial" w:cs="Arial"/>
                <w:color w:val="000000"/>
                <w:sz w:val="20"/>
                <w:vertAlign w:val="superscript"/>
              </w:rPr>
              <w:t>*</w:t>
            </w:r>
          </w:p>
        </w:tc>
        <w:tc>
          <w:tcPr>
            <w:tcW w:w="546" w:type="pct"/>
            <w:vAlign w:val="center"/>
            <w:hideMark/>
          </w:tcPr>
          <w:p w14:paraId="64963D7B" w14:textId="384AFAE8"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9622AA" w:rsidRPr="00361437">
              <w:rPr>
                <w:rFonts w:ascii="Arial" w:eastAsia="Calibri" w:hAnsi="Arial" w:cs="Arial"/>
                <w:color w:val="000000"/>
                <w:sz w:val="20"/>
              </w:rPr>
              <w:t>000</w:t>
            </w:r>
          </w:p>
        </w:tc>
        <w:tc>
          <w:tcPr>
            <w:tcW w:w="125" w:type="pct"/>
            <w:vAlign w:val="center"/>
          </w:tcPr>
          <w:p w14:paraId="72C17125" w14:textId="77777777" w:rsidR="00032E88" w:rsidRPr="00361437" w:rsidRDefault="00032E88" w:rsidP="00032E88">
            <w:pPr>
              <w:tabs>
                <w:tab w:val="decimal" w:pos="252"/>
              </w:tabs>
              <w:spacing w:line="256" w:lineRule="auto"/>
              <w:rPr>
                <w:rFonts w:ascii="Arial" w:eastAsia="Calibri" w:hAnsi="Arial" w:cs="Arial"/>
                <w:color w:val="000000"/>
                <w:sz w:val="20"/>
              </w:rPr>
            </w:pPr>
          </w:p>
        </w:tc>
        <w:tc>
          <w:tcPr>
            <w:tcW w:w="668" w:type="pct"/>
            <w:vAlign w:val="center"/>
            <w:hideMark/>
          </w:tcPr>
          <w:p w14:paraId="021E9401" w14:textId="0AB437C1"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w:t>
            </w:r>
            <w:r w:rsidR="00CB2E9A" w:rsidRPr="00361437">
              <w:rPr>
                <w:rFonts w:ascii="Arial" w:eastAsia="Calibri" w:hAnsi="Arial" w:cs="Arial"/>
                <w:color w:val="000000"/>
                <w:sz w:val="20"/>
              </w:rPr>
              <w:t>0921</w:t>
            </w:r>
          </w:p>
        </w:tc>
        <w:tc>
          <w:tcPr>
            <w:tcW w:w="546" w:type="pct"/>
            <w:vAlign w:val="center"/>
            <w:hideMark/>
          </w:tcPr>
          <w:p w14:paraId="6A208BB4" w14:textId="48803763"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w:t>
            </w:r>
            <w:r w:rsidR="00CB2E9A" w:rsidRPr="00361437">
              <w:rPr>
                <w:rFonts w:ascii="Arial" w:eastAsia="Calibri" w:hAnsi="Arial" w:cs="Arial"/>
                <w:color w:val="000000"/>
                <w:sz w:val="20"/>
              </w:rPr>
              <w:t>53</w:t>
            </w:r>
            <w:r w:rsidRPr="00361437">
              <w:rPr>
                <w:rFonts w:ascii="Arial" w:eastAsia="Calibri" w:hAnsi="Arial" w:cs="Arial"/>
                <w:color w:val="000000"/>
                <w:sz w:val="20"/>
              </w:rPr>
              <w:t>9</w:t>
            </w:r>
            <w:r w:rsidR="00CB2E9A" w:rsidRPr="00361437">
              <w:rPr>
                <w:rFonts w:ascii="Arial" w:eastAsia="Calibri" w:hAnsi="Arial" w:cs="Arial"/>
                <w:color w:val="000000"/>
                <w:sz w:val="20"/>
              </w:rPr>
              <w:t>0</w:t>
            </w:r>
          </w:p>
        </w:tc>
      </w:tr>
      <w:tr w:rsidR="00032E88" w:rsidRPr="00361437" w14:paraId="49789D74" w14:textId="77777777" w:rsidTr="00032E88">
        <w:tc>
          <w:tcPr>
            <w:tcW w:w="1979" w:type="pct"/>
            <w:tcBorders>
              <w:top w:val="nil"/>
              <w:left w:val="nil"/>
              <w:bottom w:val="single" w:sz="4" w:space="0" w:color="auto"/>
              <w:right w:val="nil"/>
            </w:tcBorders>
            <w:vAlign w:val="center"/>
            <w:hideMark/>
          </w:tcPr>
          <w:p w14:paraId="75D13324" w14:textId="77777777" w:rsidR="00032E88" w:rsidRPr="00361437" w:rsidRDefault="00032E88" w:rsidP="00032E88">
            <w:pPr>
              <w:spacing w:line="256" w:lineRule="auto"/>
              <w:rPr>
                <w:rFonts w:ascii="Arial" w:eastAsia="Times New Roman" w:hAnsi="Arial" w:cs="Arial"/>
                <w:sz w:val="20"/>
              </w:rPr>
            </w:pPr>
            <w:r w:rsidRPr="00361437">
              <w:rPr>
                <w:rFonts w:ascii="Arial" w:eastAsia="Times New Roman" w:hAnsi="Arial" w:cs="Arial"/>
                <w:sz w:val="20"/>
              </w:rPr>
              <w:t>Creditor ≠ ISS interests</w:t>
            </w:r>
          </w:p>
        </w:tc>
        <w:tc>
          <w:tcPr>
            <w:tcW w:w="467" w:type="pct"/>
            <w:tcBorders>
              <w:top w:val="nil"/>
              <w:left w:val="nil"/>
              <w:bottom w:val="single" w:sz="4" w:space="0" w:color="auto"/>
              <w:right w:val="nil"/>
            </w:tcBorders>
            <w:noWrap/>
            <w:hideMark/>
          </w:tcPr>
          <w:p w14:paraId="75A3F02C" w14:textId="066AA7E9" w:rsidR="00032E88" w:rsidRPr="00361437" w:rsidRDefault="00D66AF2" w:rsidP="00032E88">
            <w:pPr>
              <w:spacing w:line="256" w:lineRule="auto"/>
              <w:rPr>
                <w:rFonts w:ascii="Arial" w:eastAsia="Times New Roman" w:hAnsi="Arial" w:cs="Arial"/>
                <w:sz w:val="20"/>
              </w:rPr>
            </w:pPr>
            <w:r w:rsidRPr="00361437">
              <w:rPr>
                <w:rFonts w:ascii="Arial" w:eastAsia="Times New Roman" w:hAnsi="Arial" w:cs="Arial"/>
                <w:sz w:val="20"/>
              </w:rPr>
              <w:t>40,086</w:t>
            </w:r>
          </w:p>
        </w:tc>
        <w:tc>
          <w:tcPr>
            <w:tcW w:w="668" w:type="pct"/>
            <w:tcBorders>
              <w:top w:val="nil"/>
              <w:left w:val="nil"/>
              <w:bottom w:val="single" w:sz="4" w:space="0" w:color="auto"/>
              <w:right w:val="nil"/>
            </w:tcBorders>
            <w:tcMar>
              <w:top w:w="0" w:type="dxa"/>
              <w:left w:w="14" w:type="dxa"/>
              <w:bottom w:w="0" w:type="dxa"/>
              <w:right w:w="14" w:type="dxa"/>
            </w:tcMar>
            <w:vAlign w:val="center"/>
            <w:hideMark/>
          </w:tcPr>
          <w:p w14:paraId="2D41D12E" w14:textId="343CE868" w:rsidR="00032E88" w:rsidRPr="00361437" w:rsidRDefault="00032E88" w:rsidP="00032E88">
            <w:pPr>
              <w:tabs>
                <w:tab w:val="decimal" w:pos="390"/>
              </w:tabs>
              <w:spacing w:line="256" w:lineRule="auto"/>
              <w:rPr>
                <w:rFonts w:ascii="Arial" w:eastAsia="Calibri" w:hAnsi="Arial" w:cs="Arial"/>
                <w:color w:val="000000"/>
                <w:sz w:val="20"/>
              </w:rPr>
            </w:pPr>
            <w:r w:rsidRPr="00361437">
              <w:rPr>
                <w:rFonts w:ascii="Arial" w:eastAsia="Calibri" w:hAnsi="Arial" w:cs="Arial"/>
                <w:color w:val="000000"/>
                <w:sz w:val="20"/>
              </w:rPr>
              <w:t>0.</w:t>
            </w:r>
            <w:r w:rsidR="009622AA" w:rsidRPr="00361437">
              <w:rPr>
                <w:rFonts w:ascii="Arial" w:eastAsia="Calibri" w:hAnsi="Arial" w:cs="Arial"/>
                <w:color w:val="000000"/>
                <w:sz w:val="20"/>
              </w:rPr>
              <w:t>0909</w:t>
            </w:r>
            <w:r w:rsidRPr="00361437">
              <w:rPr>
                <w:rFonts w:ascii="Arial" w:eastAsia="Calibri" w:hAnsi="Arial" w:cs="Arial"/>
                <w:color w:val="000000"/>
                <w:sz w:val="20"/>
                <w:vertAlign w:val="superscript"/>
              </w:rPr>
              <w:t>**</w:t>
            </w:r>
          </w:p>
        </w:tc>
        <w:tc>
          <w:tcPr>
            <w:tcW w:w="546" w:type="pct"/>
            <w:tcBorders>
              <w:top w:val="nil"/>
              <w:left w:val="nil"/>
              <w:bottom w:val="single" w:sz="4" w:space="0" w:color="auto"/>
              <w:right w:val="nil"/>
            </w:tcBorders>
            <w:vAlign w:val="center"/>
            <w:hideMark/>
          </w:tcPr>
          <w:p w14:paraId="51029BAA" w14:textId="22DCC8E6"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9622AA" w:rsidRPr="00361437">
              <w:rPr>
                <w:rFonts w:ascii="Arial" w:eastAsia="Calibri" w:hAnsi="Arial" w:cs="Arial"/>
                <w:color w:val="000000"/>
                <w:sz w:val="20"/>
              </w:rPr>
              <w:t>104</w:t>
            </w:r>
          </w:p>
        </w:tc>
        <w:tc>
          <w:tcPr>
            <w:tcW w:w="125" w:type="pct"/>
            <w:tcBorders>
              <w:top w:val="nil"/>
              <w:left w:val="nil"/>
              <w:bottom w:val="single" w:sz="4" w:space="0" w:color="auto"/>
              <w:right w:val="nil"/>
            </w:tcBorders>
            <w:vAlign w:val="center"/>
          </w:tcPr>
          <w:p w14:paraId="6C1AAD4F" w14:textId="77777777" w:rsidR="00032E88" w:rsidRPr="00361437" w:rsidRDefault="00032E88" w:rsidP="00032E88">
            <w:pPr>
              <w:tabs>
                <w:tab w:val="decimal" w:pos="252"/>
              </w:tabs>
              <w:spacing w:line="256" w:lineRule="auto"/>
              <w:rPr>
                <w:rFonts w:ascii="Arial" w:eastAsia="Calibri" w:hAnsi="Arial" w:cs="Arial"/>
                <w:color w:val="000000"/>
                <w:sz w:val="20"/>
              </w:rPr>
            </w:pPr>
          </w:p>
        </w:tc>
        <w:tc>
          <w:tcPr>
            <w:tcW w:w="668" w:type="pct"/>
            <w:tcBorders>
              <w:top w:val="nil"/>
              <w:left w:val="nil"/>
              <w:bottom w:val="single" w:sz="4" w:space="0" w:color="auto"/>
              <w:right w:val="nil"/>
            </w:tcBorders>
            <w:vAlign w:val="center"/>
            <w:hideMark/>
          </w:tcPr>
          <w:p w14:paraId="5677A6C2" w14:textId="517B237F"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CB2E9A" w:rsidRPr="00361437">
              <w:rPr>
                <w:rFonts w:ascii="Arial" w:eastAsia="Calibri" w:hAnsi="Arial" w:cs="Arial"/>
                <w:color w:val="000000"/>
                <w:sz w:val="20"/>
              </w:rPr>
              <w:t>727</w:t>
            </w:r>
          </w:p>
        </w:tc>
        <w:tc>
          <w:tcPr>
            <w:tcW w:w="546" w:type="pct"/>
            <w:tcBorders>
              <w:top w:val="nil"/>
              <w:left w:val="nil"/>
              <w:bottom w:val="single" w:sz="4" w:space="0" w:color="auto"/>
              <w:right w:val="nil"/>
            </w:tcBorders>
            <w:vAlign w:val="center"/>
            <w:hideMark/>
          </w:tcPr>
          <w:p w14:paraId="47455271" w14:textId="57DB259F"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w:t>
            </w:r>
            <w:r w:rsidR="00CB2E9A" w:rsidRPr="00361437">
              <w:rPr>
                <w:rFonts w:ascii="Arial" w:eastAsia="Calibri" w:hAnsi="Arial" w:cs="Arial"/>
                <w:color w:val="000000"/>
                <w:sz w:val="20"/>
              </w:rPr>
              <w:t>59</w:t>
            </w:r>
            <w:r w:rsidRPr="00361437">
              <w:rPr>
                <w:rFonts w:ascii="Arial" w:eastAsia="Calibri" w:hAnsi="Arial" w:cs="Arial"/>
                <w:color w:val="000000"/>
                <w:sz w:val="20"/>
              </w:rPr>
              <w:t>30</w:t>
            </w:r>
          </w:p>
        </w:tc>
      </w:tr>
    </w:tbl>
    <w:p w14:paraId="333D5444" w14:textId="77777777" w:rsidR="00032E88" w:rsidRPr="00361437" w:rsidRDefault="00032E88" w:rsidP="00032E88">
      <w:pPr>
        <w:rPr>
          <w:rFonts w:ascii="Arial" w:eastAsia="Calibri" w:hAnsi="Arial" w:cs="Arial"/>
          <w:sz w:val="10"/>
        </w:rPr>
      </w:pPr>
    </w:p>
    <w:p w14:paraId="52D68879" w14:textId="77777777" w:rsidR="00032E88" w:rsidRPr="00361437" w:rsidRDefault="00032E88" w:rsidP="00032E88">
      <w:pPr>
        <w:rPr>
          <w:rFonts w:ascii="Arial" w:eastAsia="Calibri" w:hAnsi="Arial" w:cs="Arial"/>
          <w:b/>
          <w:sz w:val="20"/>
        </w:rPr>
      </w:pPr>
      <w:r w:rsidRPr="00361437">
        <w:rPr>
          <w:rFonts w:ascii="Arial" w:eastAsia="Calibri" w:hAnsi="Arial" w:cs="Arial"/>
          <w:b/>
          <w:sz w:val="20"/>
        </w:rPr>
        <w:br w:type="page"/>
      </w:r>
    </w:p>
    <w:p w14:paraId="6DADEA58" w14:textId="77777777" w:rsidR="006F39AD" w:rsidRPr="00361437" w:rsidRDefault="00032E88" w:rsidP="006F39AD">
      <w:pPr>
        <w:pBdr>
          <w:top w:val="single" w:sz="4" w:space="1" w:color="auto"/>
        </w:pBdr>
        <w:jc w:val="center"/>
        <w:rPr>
          <w:rFonts w:ascii="Arial" w:eastAsia="Calibri" w:hAnsi="Arial" w:cs="Arial"/>
          <w:sz w:val="24"/>
        </w:rPr>
      </w:pPr>
      <w:r w:rsidRPr="00361437">
        <w:rPr>
          <w:rFonts w:ascii="Arial" w:eastAsia="Calibri" w:hAnsi="Arial" w:cs="Arial"/>
          <w:sz w:val="24"/>
        </w:rPr>
        <w:lastRenderedPageBreak/>
        <w:t>T</w:t>
      </w:r>
      <w:r w:rsidR="006F39AD" w:rsidRPr="00361437">
        <w:rPr>
          <w:rFonts w:ascii="Arial" w:eastAsia="Calibri" w:hAnsi="Arial" w:cs="Arial"/>
          <w:sz w:val="24"/>
        </w:rPr>
        <w:t>ABLE</w:t>
      </w:r>
      <w:r w:rsidRPr="00361437">
        <w:rPr>
          <w:rFonts w:ascii="Arial" w:eastAsia="Calibri" w:hAnsi="Arial" w:cs="Arial"/>
          <w:sz w:val="24"/>
        </w:rPr>
        <w:t xml:space="preserve"> 5</w:t>
      </w:r>
    </w:p>
    <w:p w14:paraId="0B3E66A6" w14:textId="28D5A6F4" w:rsidR="00032E88" w:rsidRPr="00361437" w:rsidRDefault="00032E88" w:rsidP="006F39AD">
      <w:pPr>
        <w:pBdr>
          <w:bottom w:val="single" w:sz="4" w:space="1" w:color="auto"/>
        </w:pBdr>
        <w:jc w:val="center"/>
        <w:rPr>
          <w:rFonts w:ascii="Arial" w:eastAsia="Calibri" w:hAnsi="Arial" w:cs="Arial"/>
          <w:sz w:val="24"/>
        </w:rPr>
      </w:pPr>
      <w:r w:rsidRPr="00361437">
        <w:rPr>
          <w:rFonts w:ascii="Arial" w:eastAsia="Calibri" w:hAnsi="Arial" w:cs="Arial"/>
          <w:sz w:val="24"/>
        </w:rPr>
        <w:t xml:space="preserve">The </w:t>
      </w:r>
      <w:r w:rsidR="006F39AD" w:rsidRPr="00361437">
        <w:rPr>
          <w:rFonts w:ascii="Arial" w:eastAsia="Calibri" w:hAnsi="Arial" w:cs="Arial"/>
          <w:sz w:val="24"/>
        </w:rPr>
        <w:t>E</w:t>
      </w:r>
      <w:r w:rsidRPr="00361437">
        <w:rPr>
          <w:rFonts w:ascii="Arial" w:eastAsia="Calibri" w:hAnsi="Arial" w:cs="Arial"/>
          <w:sz w:val="24"/>
        </w:rPr>
        <w:t xml:space="preserve">ffects of </w:t>
      </w:r>
      <w:r w:rsidR="006F39AD" w:rsidRPr="00361437">
        <w:rPr>
          <w:rFonts w:ascii="Arial" w:eastAsia="Calibri" w:hAnsi="Arial" w:cs="Arial"/>
          <w:sz w:val="24"/>
        </w:rPr>
        <w:t>D</w:t>
      </w:r>
      <w:r w:rsidRPr="00361437">
        <w:rPr>
          <w:rFonts w:ascii="Arial" w:eastAsia="Calibri" w:hAnsi="Arial" w:cs="Arial"/>
          <w:sz w:val="24"/>
        </w:rPr>
        <w:t xml:space="preserve">ebt </w:t>
      </w:r>
      <w:r w:rsidR="006F39AD" w:rsidRPr="00361437">
        <w:rPr>
          <w:rFonts w:ascii="Arial" w:eastAsia="Calibri" w:hAnsi="Arial" w:cs="Arial"/>
          <w:sz w:val="24"/>
        </w:rPr>
        <w:t>H</w:t>
      </w:r>
      <w:r w:rsidRPr="00361437">
        <w:rPr>
          <w:rFonts w:ascii="Arial" w:eastAsia="Calibri" w:hAnsi="Arial" w:cs="Arial"/>
          <w:sz w:val="24"/>
        </w:rPr>
        <w:t xml:space="preserve">oldings on </w:t>
      </w:r>
      <w:r w:rsidR="006F39AD" w:rsidRPr="00361437">
        <w:rPr>
          <w:rFonts w:ascii="Arial" w:eastAsia="Calibri" w:hAnsi="Arial" w:cs="Arial"/>
          <w:sz w:val="24"/>
        </w:rPr>
        <w:t>V</w:t>
      </w:r>
      <w:r w:rsidRPr="00361437">
        <w:rPr>
          <w:rFonts w:ascii="Arial" w:eastAsia="Calibri" w:hAnsi="Arial" w:cs="Arial"/>
          <w:sz w:val="24"/>
        </w:rPr>
        <w:t xml:space="preserve">oting by </w:t>
      </w:r>
      <w:r w:rsidR="006F39AD" w:rsidRPr="00361437">
        <w:rPr>
          <w:rFonts w:ascii="Arial" w:eastAsia="Calibri" w:hAnsi="Arial" w:cs="Arial"/>
          <w:sz w:val="24"/>
        </w:rPr>
        <w:t>D</w:t>
      </w:r>
      <w:r w:rsidRPr="00361437">
        <w:rPr>
          <w:rFonts w:ascii="Arial" w:eastAsia="Calibri" w:hAnsi="Arial" w:cs="Arial"/>
          <w:sz w:val="24"/>
        </w:rPr>
        <w:t xml:space="preserve">ebt </w:t>
      </w:r>
      <w:r w:rsidR="006F39AD" w:rsidRPr="00361437">
        <w:rPr>
          <w:rFonts w:ascii="Arial" w:eastAsia="Calibri" w:hAnsi="Arial" w:cs="Arial"/>
          <w:sz w:val="24"/>
        </w:rPr>
        <w:t>M</w:t>
      </w:r>
      <w:r w:rsidRPr="00361437">
        <w:rPr>
          <w:rFonts w:ascii="Arial" w:eastAsia="Calibri" w:hAnsi="Arial" w:cs="Arial"/>
          <w:sz w:val="24"/>
        </w:rPr>
        <w:t>aturity</w:t>
      </w:r>
    </w:p>
    <w:p w14:paraId="73F495DD" w14:textId="77777777" w:rsidR="00032E88" w:rsidRPr="00361437" w:rsidRDefault="00032E88" w:rsidP="00032E88">
      <w:pPr>
        <w:rPr>
          <w:rFonts w:ascii="Arial" w:eastAsia="Calibri" w:hAnsi="Arial" w:cs="Arial"/>
          <w:sz w:val="20"/>
        </w:rPr>
      </w:pPr>
    </w:p>
    <w:p w14:paraId="09263BE5" w14:textId="25DBFE35" w:rsidR="00032E88" w:rsidRPr="00361437" w:rsidRDefault="00032E88" w:rsidP="00032E88">
      <w:pPr>
        <w:jc w:val="both"/>
        <w:rPr>
          <w:rFonts w:ascii="Arial" w:eastAsia="Calibri" w:hAnsi="Arial" w:cs="Arial"/>
          <w:sz w:val="20"/>
        </w:rPr>
      </w:pPr>
      <w:r w:rsidRPr="00361437">
        <w:rPr>
          <w:rFonts w:ascii="Arial" w:eastAsia="Calibri" w:hAnsi="Arial" w:cs="Arial"/>
          <w:sz w:val="20"/>
        </w:rPr>
        <w:t>This table presents the analysis of fund debt holdings on voting</w:t>
      </w:r>
      <w:r w:rsidR="00BB530E" w:rsidRPr="00361437">
        <w:rPr>
          <w:rFonts w:ascii="Arial" w:eastAsia="Calibri" w:hAnsi="Arial" w:cs="Arial"/>
          <w:sz w:val="20"/>
        </w:rPr>
        <w:t xml:space="preserve"> for debt of varying maturity</w:t>
      </w:r>
      <w:r w:rsidRPr="00361437">
        <w:rPr>
          <w:rFonts w:ascii="Arial" w:eastAsia="Calibri" w:hAnsi="Arial" w:cs="Arial"/>
          <w:sz w:val="20"/>
        </w:rPr>
        <w:t xml:space="preserve">. Panel A shows the summary statistics for the </w:t>
      </w:r>
      <w:r w:rsidR="009F6C4A" w:rsidRPr="00361437">
        <w:rPr>
          <w:rFonts w:ascii="Arial" w:eastAsia="Calibri" w:hAnsi="Arial" w:cs="Arial"/>
          <w:sz w:val="20"/>
        </w:rPr>
        <w:t>FAMILY_DEBT_FRACTION</w:t>
      </w:r>
      <w:r w:rsidRPr="00361437">
        <w:rPr>
          <w:rFonts w:ascii="Arial" w:eastAsia="Calibri" w:hAnsi="Arial" w:cs="Arial"/>
          <w:sz w:val="20"/>
        </w:rPr>
        <w:t xml:space="preserve"> depending on whether the fund’s debt holding is short term (less than </w:t>
      </w:r>
      <w:r w:rsidR="00DE4E35" w:rsidRPr="00361437">
        <w:rPr>
          <w:rFonts w:ascii="Arial" w:eastAsia="Calibri" w:hAnsi="Arial" w:cs="Arial"/>
          <w:sz w:val="20"/>
        </w:rPr>
        <w:t>five</w:t>
      </w:r>
      <w:r w:rsidRPr="00361437">
        <w:rPr>
          <w:rFonts w:ascii="Arial" w:eastAsia="Calibri" w:hAnsi="Arial" w:cs="Arial"/>
          <w:sz w:val="20"/>
        </w:rPr>
        <w:t xml:space="preserve"> years to maturity) or mid or long term (at least </w:t>
      </w:r>
      <w:r w:rsidR="00DE4E35" w:rsidRPr="00361437">
        <w:rPr>
          <w:rFonts w:ascii="Arial" w:eastAsia="Calibri" w:hAnsi="Arial" w:cs="Arial"/>
          <w:sz w:val="20"/>
        </w:rPr>
        <w:t>five</w:t>
      </w:r>
      <w:r w:rsidRPr="00361437">
        <w:rPr>
          <w:rFonts w:ascii="Arial" w:eastAsia="Calibri" w:hAnsi="Arial" w:cs="Arial"/>
          <w:sz w:val="20"/>
        </w:rPr>
        <w:t xml:space="preserve"> years to maturity). Debt fraction at the family level for short term (mid and long term) </w:t>
      </w:r>
      <w:r w:rsidR="00BB530E" w:rsidRPr="00361437">
        <w:rPr>
          <w:rFonts w:ascii="Arial" w:eastAsia="Calibri" w:hAnsi="Arial" w:cs="Arial"/>
          <w:sz w:val="20"/>
        </w:rPr>
        <w:t>debt</w:t>
      </w:r>
      <w:r w:rsidRPr="00361437">
        <w:rPr>
          <w:rFonts w:ascii="Arial" w:eastAsia="Calibri" w:hAnsi="Arial" w:cs="Arial"/>
          <w:sz w:val="20"/>
        </w:rPr>
        <w:t xml:space="preserve"> is the proportion of investment in short term (mid and long term) bonds in total investment in bonds and equity for all funds in the family. Panel B presents the effects of </w:t>
      </w:r>
      <w:r w:rsidR="00212134" w:rsidRPr="00361437">
        <w:rPr>
          <w:rFonts w:ascii="Arial" w:eastAsia="Calibri" w:hAnsi="Arial" w:cs="Arial"/>
          <w:sz w:val="20"/>
        </w:rPr>
        <w:t>debt maturity</w:t>
      </w:r>
      <w:r w:rsidRPr="00361437">
        <w:rPr>
          <w:rFonts w:ascii="Arial" w:eastAsia="Calibri" w:hAnsi="Arial" w:cs="Arial"/>
          <w:sz w:val="20"/>
        </w:rPr>
        <w:t xml:space="preserve"> on voting under financial distress using the regressions in Model 2 of Table 3 Panel A. All other variables are defined in </w:t>
      </w:r>
      <w:r w:rsidR="00D10EEF" w:rsidRPr="00361437">
        <w:rPr>
          <w:rFonts w:ascii="Arial" w:eastAsia="Calibri" w:hAnsi="Arial" w:cs="Arial"/>
          <w:sz w:val="20"/>
        </w:rPr>
        <w:t xml:space="preserve">the </w:t>
      </w:r>
      <w:r w:rsidRPr="00361437">
        <w:rPr>
          <w:rFonts w:ascii="Arial" w:eastAsia="Calibri" w:hAnsi="Arial" w:cs="Arial"/>
          <w:sz w:val="20"/>
        </w:rPr>
        <w:t xml:space="preserve">Appendix. </w:t>
      </w:r>
      <w:r w:rsidRPr="00361437">
        <w:rPr>
          <w:rFonts w:ascii="Arial" w:eastAsia="Calibri" w:hAnsi="Arial" w:cs="Arial"/>
          <w:sz w:val="20"/>
          <w:vertAlign w:val="superscript"/>
        </w:rPr>
        <w:t>*</w:t>
      </w:r>
      <w:r w:rsidRPr="00361437">
        <w:rPr>
          <w:rFonts w:ascii="Arial" w:eastAsia="Calibri" w:hAnsi="Arial" w:cs="Arial"/>
          <w:sz w:val="20"/>
        </w:rPr>
        <w:t xml:space="preserve">, </w:t>
      </w:r>
      <w:r w:rsidRPr="00361437">
        <w:rPr>
          <w:rFonts w:ascii="Arial" w:eastAsia="Calibri" w:hAnsi="Arial" w:cs="Arial"/>
          <w:sz w:val="20"/>
          <w:vertAlign w:val="superscript"/>
        </w:rPr>
        <w:t>**</w:t>
      </w:r>
      <w:r w:rsidRPr="00361437">
        <w:rPr>
          <w:rFonts w:ascii="Arial" w:eastAsia="Calibri" w:hAnsi="Arial" w:cs="Arial"/>
          <w:sz w:val="20"/>
        </w:rPr>
        <w:t xml:space="preserve">, and </w:t>
      </w:r>
      <w:r w:rsidRPr="00361437">
        <w:rPr>
          <w:rFonts w:ascii="Arial" w:eastAsia="Calibri" w:hAnsi="Arial" w:cs="Arial"/>
          <w:sz w:val="20"/>
          <w:vertAlign w:val="superscript"/>
        </w:rPr>
        <w:t>***</w:t>
      </w:r>
      <w:r w:rsidRPr="00361437">
        <w:rPr>
          <w:rFonts w:ascii="Arial" w:eastAsia="Calibri" w:hAnsi="Arial" w:cs="Arial"/>
          <w:sz w:val="20"/>
        </w:rPr>
        <w:t xml:space="preserve"> denote statistical significance at the 10%, 5%, and 1% level, respectively.</w:t>
      </w:r>
    </w:p>
    <w:p w14:paraId="1AD4765E" w14:textId="77777777" w:rsidR="00032E88" w:rsidRPr="00361437" w:rsidRDefault="00032E88" w:rsidP="00032E88">
      <w:pPr>
        <w:rPr>
          <w:rFonts w:ascii="Arial" w:eastAsia="Calibri" w:hAnsi="Arial" w:cs="Arial"/>
          <w:sz w:val="20"/>
        </w:rPr>
      </w:pPr>
    </w:p>
    <w:tbl>
      <w:tblPr>
        <w:tblW w:w="5000" w:type="pct"/>
        <w:tblLook w:val="04A0" w:firstRow="1" w:lastRow="0" w:firstColumn="1" w:lastColumn="0" w:noHBand="0" w:noVBand="1"/>
      </w:tblPr>
      <w:tblGrid>
        <w:gridCol w:w="3871"/>
        <w:gridCol w:w="812"/>
        <w:gridCol w:w="1038"/>
        <w:gridCol w:w="193"/>
        <w:gridCol w:w="812"/>
        <w:gridCol w:w="1038"/>
        <w:gridCol w:w="193"/>
        <w:gridCol w:w="1069"/>
      </w:tblGrid>
      <w:tr w:rsidR="00032E88" w:rsidRPr="00361437" w14:paraId="65848133" w14:textId="77777777" w:rsidTr="006F39AD">
        <w:trPr>
          <w:trHeight w:val="360"/>
        </w:trPr>
        <w:tc>
          <w:tcPr>
            <w:tcW w:w="5000" w:type="pct"/>
            <w:gridSpan w:val="8"/>
            <w:tcBorders>
              <w:left w:val="nil"/>
              <w:bottom w:val="single" w:sz="4" w:space="0" w:color="auto"/>
              <w:right w:val="nil"/>
            </w:tcBorders>
            <w:noWrap/>
            <w:vAlign w:val="center"/>
            <w:hideMark/>
          </w:tcPr>
          <w:p w14:paraId="63CDB423" w14:textId="77777777" w:rsidR="00032E88" w:rsidRPr="00361437" w:rsidRDefault="00032E88" w:rsidP="00032E88">
            <w:pPr>
              <w:spacing w:before="100" w:beforeAutospacing="1" w:after="100" w:afterAutospacing="1" w:line="256" w:lineRule="auto"/>
              <w:contextualSpacing/>
              <w:rPr>
                <w:rFonts w:ascii="Arial" w:eastAsia="Times New Roman" w:hAnsi="Arial" w:cs="Arial"/>
                <w:i/>
                <w:color w:val="000000"/>
                <w:sz w:val="20"/>
                <w:lang w:eastAsia="en-GB"/>
              </w:rPr>
            </w:pPr>
            <w:r w:rsidRPr="00361437">
              <w:rPr>
                <w:rFonts w:ascii="Arial" w:eastAsia="Times New Roman" w:hAnsi="Arial" w:cs="Arial"/>
                <w:i/>
                <w:color w:val="000000"/>
                <w:sz w:val="20"/>
                <w:lang w:eastAsia="en-GB"/>
              </w:rPr>
              <w:t>Panel A: Summary statistics of debt holdings</w:t>
            </w:r>
          </w:p>
        </w:tc>
      </w:tr>
      <w:tr w:rsidR="00032E88" w:rsidRPr="00361437" w14:paraId="3150822E" w14:textId="77777777" w:rsidTr="00032E88">
        <w:trPr>
          <w:trHeight w:val="360"/>
        </w:trPr>
        <w:tc>
          <w:tcPr>
            <w:tcW w:w="2144" w:type="pct"/>
            <w:noWrap/>
            <w:vAlign w:val="center"/>
          </w:tcPr>
          <w:p w14:paraId="275D5D3E" w14:textId="77777777" w:rsidR="00032E88" w:rsidRPr="00361437" w:rsidRDefault="00032E88" w:rsidP="00032E88">
            <w:pPr>
              <w:spacing w:before="100" w:beforeAutospacing="1" w:after="100" w:afterAutospacing="1" w:line="256" w:lineRule="auto"/>
              <w:contextualSpacing/>
              <w:rPr>
                <w:rFonts w:ascii="Arial" w:eastAsia="Times New Roman" w:hAnsi="Arial" w:cs="Arial"/>
                <w:color w:val="000000"/>
                <w:sz w:val="20"/>
                <w:lang w:eastAsia="en-GB"/>
              </w:rPr>
            </w:pPr>
          </w:p>
        </w:tc>
        <w:tc>
          <w:tcPr>
            <w:tcW w:w="1025" w:type="pct"/>
            <w:gridSpan w:val="2"/>
            <w:tcBorders>
              <w:top w:val="single" w:sz="4" w:space="0" w:color="auto"/>
              <w:left w:val="nil"/>
              <w:bottom w:val="single" w:sz="4" w:space="0" w:color="auto"/>
              <w:right w:val="nil"/>
            </w:tcBorders>
            <w:tcMar>
              <w:top w:w="0" w:type="dxa"/>
              <w:left w:w="29" w:type="dxa"/>
              <w:bottom w:w="0" w:type="dxa"/>
              <w:right w:w="29" w:type="dxa"/>
            </w:tcMar>
            <w:vAlign w:val="center"/>
            <w:hideMark/>
          </w:tcPr>
          <w:p w14:paraId="43CED396"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 xml:space="preserve">Mid and long term </w:t>
            </w:r>
          </w:p>
        </w:tc>
        <w:tc>
          <w:tcPr>
            <w:tcW w:w="107" w:type="pct"/>
            <w:tcMar>
              <w:top w:w="0" w:type="dxa"/>
              <w:left w:w="29" w:type="dxa"/>
              <w:bottom w:w="0" w:type="dxa"/>
              <w:right w:w="29" w:type="dxa"/>
            </w:tcMar>
            <w:vAlign w:val="center"/>
          </w:tcPr>
          <w:p w14:paraId="709806F1"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p>
        </w:tc>
        <w:tc>
          <w:tcPr>
            <w:tcW w:w="1025" w:type="pct"/>
            <w:gridSpan w:val="2"/>
            <w:tcBorders>
              <w:top w:val="single" w:sz="4" w:space="0" w:color="auto"/>
              <w:left w:val="nil"/>
              <w:bottom w:val="single" w:sz="4" w:space="0" w:color="auto"/>
              <w:right w:val="nil"/>
            </w:tcBorders>
            <w:noWrap/>
            <w:tcMar>
              <w:top w:w="0" w:type="dxa"/>
              <w:left w:w="29" w:type="dxa"/>
              <w:bottom w:w="0" w:type="dxa"/>
              <w:right w:w="29" w:type="dxa"/>
            </w:tcMar>
            <w:vAlign w:val="center"/>
            <w:hideMark/>
          </w:tcPr>
          <w:p w14:paraId="134F4982"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Short term</w:t>
            </w:r>
          </w:p>
        </w:tc>
        <w:tc>
          <w:tcPr>
            <w:tcW w:w="107" w:type="pct"/>
            <w:tcMar>
              <w:top w:w="0" w:type="dxa"/>
              <w:left w:w="29" w:type="dxa"/>
              <w:bottom w:w="0" w:type="dxa"/>
              <w:right w:w="29" w:type="dxa"/>
            </w:tcMar>
            <w:vAlign w:val="center"/>
          </w:tcPr>
          <w:p w14:paraId="63C3C0BD"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p>
        </w:tc>
        <w:tc>
          <w:tcPr>
            <w:tcW w:w="592" w:type="pct"/>
            <w:tcBorders>
              <w:top w:val="single" w:sz="4" w:space="0" w:color="auto"/>
              <w:left w:val="nil"/>
              <w:bottom w:val="single" w:sz="4" w:space="0" w:color="auto"/>
              <w:right w:val="nil"/>
            </w:tcBorders>
            <w:tcMar>
              <w:top w:w="0" w:type="dxa"/>
              <w:left w:w="29" w:type="dxa"/>
              <w:bottom w:w="0" w:type="dxa"/>
              <w:right w:w="29" w:type="dxa"/>
            </w:tcMar>
            <w:vAlign w:val="center"/>
            <w:hideMark/>
          </w:tcPr>
          <w:p w14:paraId="67C5FB8F"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Difference</w:t>
            </w:r>
          </w:p>
        </w:tc>
      </w:tr>
      <w:tr w:rsidR="00032E88" w:rsidRPr="00361437" w14:paraId="26B5983A" w14:textId="77777777" w:rsidTr="00032E88">
        <w:trPr>
          <w:trHeight w:val="360"/>
        </w:trPr>
        <w:tc>
          <w:tcPr>
            <w:tcW w:w="2144" w:type="pct"/>
            <w:tcBorders>
              <w:top w:val="nil"/>
              <w:left w:val="nil"/>
              <w:bottom w:val="single" w:sz="4" w:space="0" w:color="auto"/>
              <w:right w:val="nil"/>
            </w:tcBorders>
            <w:noWrap/>
            <w:vAlign w:val="center"/>
          </w:tcPr>
          <w:p w14:paraId="789EE165" w14:textId="77777777" w:rsidR="00032E88" w:rsidRPr="00361437" w:rsidRDefault="00032E88" w:rsidP="00032E88">
            <w:pPr>
              <w:spacing w:before="100" w:beforeAutospacing="1" w:after="100" w:afterAutospacing="1" w:line="256" w:lineRule="auto"/>
              <w:contextualSpacing/>
              <w:rPr>
                <w:rFonts w:ascii="Arial" w:eastAsia="Times New Roman" w:hAnsi="Arial" w:cs="Arial"/>
                <w:color w:val="000000"/>
                <w:sz w:val="20"/>
                <w:lang w:eastAsia="en-GB"/>
              </w:rPr>
            </w:pPr>
          </w:p>
        </w:tc>
        <w:tc>
          <w:tcPr>
            <w:tcW w:w="450" w:type="pct"/>
            <w:tcBorders>
              <w:top w:val="nil"/>
              <w:left w:val="nil"/>
              <w:bottom w:val="single" w:sz="4" w:space="0" w:color="auto"/>
              <w:right w:val="nil"/>
            </w:tcBorders>
            <w:tcMar>
              <w:top w:w="0" w:type="dxa"/>
              <w:left w:w="29" w:type="dxa"/>
              <w:bottom w:w="0" w:type="dxa"/>
              <w:right w:w="29" w:type="dxa"/>
            </w:tcMar>
            <w:vAlign w:val="center"/>
            <w:hideMark/>
          </w:tcPr>
          <w:p w14:paraId="0239D2DC"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N</w:t>
            </w:r>
          </w:p>
        </w:tc>
        <w:tc>
          <w:tcPr>
            <w:tcW w:w="575" w:type="pct"/>
            <w:tcBorders>
              <w:top w:val="nil"/>
              <w:left w:val="nil"/>
              <w:bottom w:val="single" w:sz="4" w:space="0" w:color="auto"/>
              <w:right w:val="nil"/>
            </w:tcBorders>
            <w:noWrap/>
            <w:tcMar>
              <w:top w:w="0" w:type="dxa"/>
              <w:left w:w="29" w:type="dxa"/>
              <w:bottom w:w="0" w:type="dxa"/>
              <w:right w:w="29" w:type="dxa"/>
            </w:tcMar>
            <w:vAlign w:val="center"/>
            <w:hideMark/>
          </w:tcPr>
          <w:p w14:paraId="7F5AFC70"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Mean</w:t>
            </w:r>
          </w:p>
          <w:p w14:paraId="60934F92"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[Median]</w:t>
            </w:r>
          </w:p>
        </w:tc>
        <w:tc>
          <w:tcPr>
            <w:tcW w:w="107" w:type="pct"/>
            <w:tcBorders>
              <w:top w:val="nil"/>
              <w:left w:val="nil"/>
              <w:bottom w:val="single" w:sz="4" w:space="0" w:color="auto"/>
              <w:right w:val="nil"/>
            </w:tcBorders>
            <w:tcMar>
              <w:top w:w="0" w:type="dxa"/>
              <w:left w:w="29" w:type="dxa"/>
              <w:bottom w:w="0" w:type="dxa"/>
              <w:right w:w="29" w:type="dxa"/>
            </w:tcMar>
            <w:vAlign w:val="center"/>
          </w:tcPr>
          <w:p w14:paraId="0E6080C3"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p>
        </w:tc>
        <w:tc>
          <w:tcPr>
            <w:tcW w:w="450" w:type="pct"/>
            <w:tcBorders>
              <w:top w:val="nil"/>
              <w:left w:val="nil"/>
              <w:bottom w:val="single" w:sz="4" w:space="0" w:color="auto"/>
              <w:right w:val="nil"/>
            </w:tcBorders>
            <w:noWrap/>
            <w:tcMar>
              <w:top w:w="0" w:type="dxa"/>
              <w:left w:w="29" w:type="dxa"/>
              <w:bottom w:w="0" w:type="dxa"/>
              <w:right w:w="29" w:type="dxa"/>
            </w:tcMar>
            <w:vAlign w:val="center"/>
            <w:hideMark/>
          </w:tcPr>
          <w:p w14:paraId="273881D2"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N</w:t>
            </w:r>
          </w:p>
        </w:tc>
        <w:tc>
          <w:tcPr>
            <w:tcW w:w="575" w:type="pct"/>
            <w:tcBorders>
              <w:top w:val="nil"/>
              <w:left w:val="nil"/>
              <w:bottom w:val="single" w:sz="4" w:space="0" w:color="auto"/>
              <w:right w:val="nil"/>
            </w:tcBorders>
            <w:tcMar>
              <w:top w:w="0" w:type="dxa"/>
              <w:left w:w="29" w:type="dxa"/>
              <w:bottom w:w="0" w:type="dxa"/>
              <w:right w:w="29" w:type="dxa"/>
            </w:tcMar>
            <w:vAlign w:val="center"/>
            <w:hideMark/>
          </w:tcPr>
          <w:p w14:paraId="3DD92BFB"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Mean</w:t>
            </w:r>
          </w:p>
          <w:p w14:paraId="4F791C17"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[Median]</w:t>
            </w:r>
          </w:p>
        </w:tc>
        <w:tc>
          <w:tcPr>
            <w:tcW w:w="107" w:type="pct"/>
            <w:tcBorders>
              <w:top w:val="nil"/>
              <w:left w:val="nil"/>
              <w:bottom w:val="single" w:sz="4" w:space="0" w:color="auto"/>
              <w:right w:val="nil"/>
            </w:tcBorders>
            <w:tcMar>
              <w:top w:w="0" w:type="dxa"/>
              <w:left w:w="29" w:type="dxa"/>
              <w:bottom w:w="0" w:type="dxa"/>
              <w:right w:w="29" w:type="dxa"/>
            </w:tcMar>
            <w:vAlign w:val="center"/>
          </w:tcPr>
          <w:p w14:paraId="74378B60"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p>
        </w:tc>
        <w:tc>
          <w:tcPr>
            <w:tcW w:w="592" w:type="pct"/>
            <w:tcBorders>
              <w:top w:val="nil"/>
              <w:left w:val="nil"/>
              <w:bottom w:val="single" w:sz="4" w:space="0" w:color="auto"/>
              <w:right w:val="nil"/>
            </w:tcBorders>
            <w:tcMar>
              <w:top w:w="0" w:type="dxa"/>
              <w:left w:w="29" w:type="dxa"/>
              <w:bottom w:w="0" w:type="dxa"/>
              <w:right w:w="29" w:type="dxa"/>
            </w:tcMar>
            <w:vAlign w:val="center"/>
            <w:hideMark/>
          </w:tcPr>
          <w:p w14:paraId="11EAC6BB"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t-stat</w:t>
            </w:r>
          </w:p>
          <w:p w14:paraId="76D6BA4A"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[z-stat]</w:t>
            </w:r>
          </w:p>
        </w:tc>
      </w:tr>
      <w:tr w:rsidR="00032E88" w:rsidRPr="00361437" w14:paraId="47C064BA" w14:textId="77777777" w:rsidTr="006F39AD">
        <w:trPr>
          <w:trHeight w:val="300"/>
        </w:trPr>
        <w:tc>
          <w:tcPr>
            <w:tcW w:w="2144" w:type="pct"/>
            <w:noWrap/>
            <w:hideMark/>
          </w:tcPr>
          <w:p w14:paraId="1F9DBFEA" w14:textId="075CF42C" w:rsidR="00032E88" w:rsidRPr="00361437" w:rsidRDefault="009F6C4A" w:rsidP="00032E88">
            <w:pPr>
              <w:spacing w:before="100" w:beforeAutospacing="1" w:after="100" w:afterAutospacing="1" w:line="256" w:lineRule="auto"/>
              <w:ind w:left="360" w:hanging="360"/>
              <w:contextualSpacing/>
              <w:rPr>
                <w:rFonts w:ascii="Arial" w:eastAsia="Times New Roman" w:hAnsi="Arial" w:cs="Arial"/>
                <w:color w:val="000000"/>
                <w:sz w:val="20"/>
                <w:lang w:eastAsia="en-GB"/>
              </w:rPr>
            </w:pPr>
            <w:r w:rsidRPr="00361437">
              <w:rPr>
                <w:rFonts w:ascii="Arial" w:eastAsia="Times New Roman" w:hAnsi="Arial" w:cs="Arial"/>
                <w:color w:val="000000"/>
                <w:sz w:val="18"/>
                <w:lang w:eastAsia="en-GB"/>
              </w:rPr>
              <w:t>FAMILY_DEBT_FRACTION</w:t>
            </w:r>
            <w:r w:rsidR="00032E88" w:rsidRPr="00361437">
              <w:rPr>
                <w:rFonts w:ascii="Arial" w:eastAsia="Times New Roman" w:hAnsi="Arial" w:cs="Arial"/>
                <w:color w:val="000000"/>
                <w:sz w:val="20"/>
                <w:lang w:eastAsia="en-GB"/>
              </w:rPr>
              <w:t xml:space="preserve"> </w:t>
            </w:r>
            <w:r w:rsidR="00032E88" w:rsidRPr="00361437">
              <w:rPr>
                <w:rFonts w:ascii="Arial" w:eastAsia="Times New Roman" w:hAnsi="Arial" w:cs="Arial"/>
                <w:color w:val="000000"/>
                <w:sz w:val="20"/>
                <w:lang w:eastAsia="en-GB"/>
              </w:rPr>
              <w:br/>
            </w:r>
          </w:p>
        </w:tc>
        <w:tc>
          <w:tcPr>
            <w:tcW w:w="450" w:type="pct"/>
            <w:tcMar>
              <w:top w:w="0" w:type="dxa"/>
              <w:left w:w="29" w:type="dxa"/>
              <w:bottom w:w="0" w:type="dxa"/>
              <w:right w:w="29" w:type="dxa"/>
            </w:tcMar>
            <w:hideMark/>
          </w:tcPr>
          <w:p w14:paraId="01D83B7E" w14:textId="6CE95E01" w:rsidR="00032E88" w:rsidRPr="00361437" w:rsidRDefault="00655474"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52,745</w:t>
            </w:r>
          </w:p>
        </w:tc>
        <w:tc>
          <w:tcPr>
            <w:tcW w:w="575" w:type="pct"/>
            <w:noWrap/>
            <w:tcMar>
              <w:top w:w="0" w:type="dxa"/>
              <w:left w:w="29" w:type="dxa"/>
              <w:bottom w:w="0" w:type="dxa"/>
              <w:right w:w="29" w:type="dxa"/>
            </w:tcMar>
            <w:hideMark/>
          </w:tcPr>
          <w:p w14:paraId="5F6F0F30" w14:textId="3173B763"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0.0</w:t>
            </w:r>
            <w:r w:rsidR="003F2599" w:rsidRPr="00361437">
              <w:rPr>
                <w:rFonts w:ascii="Arial" w:eastAsia="Times New Roman" w:hAnsi="Arial" w:cs="Arial"/>
                <w:color w:val="000000"/>
                <w:sz w:val="20"/>
                <w:lang w:eastAsia="en-GB"/>
              </w:rPr>
              <w:t>317</w:t>
            </w:r>
          </w:p>
          <w:p w14:paraId="42A68A0B"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[0.0000]</w:t>
            </w:r>
          </w:p>
        </w:tc>
        <w:tc>
          <w:tcPr>
            <w:tcW w:w="107" w:type="pct"/>
            <w:tcMar>
              <w:top w:w="0" w:type="dxa"/>
              <w:left w:w="29" w:type="dxa"/>
              <w:bottom w:w="0" w:type="dxa"/>
              <w:right w:w="29" w:type="dxa"/>
            </w:tcMar>
          </w:tcPr>
          <w:p w14:paraId="0A0A9E2B"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p>
        </w:tc>
        <w:tc>
          <w:tcPr>
            <w:tcW w:w="450" w:type="pct"/>
            <w:noWrap/>
            <w:tcMar>
              <w:top w:w="0" w:type="dxa"/>
              <w:left w:w="29" w:type="dxa"/>
              <w:bottom w:w="0" w:type="dxa"/>
              <w:right w:w="29" w:type="dxa"/>
            </w:tcMar>
            <w:hideMark/>
          </w:tcPr>
          <w:p w14:paraId="546286C0" w14:textId="52424797" w:rsidR="00032E88" w:rsidRPr="00361437" w:rsidRDefault="00655474"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52,745</w:t>
            </w:r>
          </w:p>
        </w:tc>
        <w:tc>
          <w:tcPr>
            <w:tcW w:w="575" w:type="pct"/>
            <w:tcMar>
              <w:top w:w="0" w:type="dxa"/>
              <w:left w:w="29" w:type="dxa"/>
              <w:bottom w:w="0" w:type="dxa"/>
              <w:right w:w="29" w:type="dxa"/>
            </w:tcMar>
            <w:hideMark/>
          </w:tcPr>
          <w:p w14:paraId="62D85741" w14:textId="2BB41B0B"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0.01</w:t>
            </w:r>
            <w:r w:rsidR="003F2599" w:rsidRPr="00361437">
              <w:rPr>
                <w:rFonts w:ascii="Arial" w:eastAsia="Times New Roman" w:hAnsi="Arial" w:cs="Arial"/>
                <w:color w:val="000000"/>
                <w:sz w:val="20"/>
                <w:lang w:eastAsia="en-GB"/>
              </w:rPr>
              <w:t>21</w:t>
            </w:r>
          </w:p>
          <w:p w14:paraId="20983AD9"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[0.0000]</w:t>
            </w:r>
          </w:p>
        </w:tc>
        <w:tc>
          <w:tcPr>
            <w:tcW w:w="107" w:type="pct"/>
            <w:tcMar>
              <w:top w:w="0" w:type="dxa"/>
              <w:left w:w="29" w:type="dxa"/>
              <w:bottom w:w="0" w:type="dxa"/>
              <w:right w:w="29" w:type="dxa"/>
            </w:tcMar>
          </w:tcPr>
          <w:p w14:paraId="0B164F55"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p>
        </w:tc>
        <w:tc>
          <w:tcPr>
            <w:tcW w:w="592" w:type="pct"/>
            <w:tcMar>
              <w:top w:w="0" w:type="dxa"/>
              <w:left w:w="29" w:type="dxa"/>
              <w:bottom w:w="0" w:type="dxa"/>
              <w:right w:w="29" w:type="dxa"/>
            </w:tcMar>
          </w:tcPr>
          <w:p w14:paraId="71EE21B4" w14:textId="6A8373A5"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vertAlign w:val="superscript"/>
                <w:lang w:eastAsia="en-GB"/>
              </w:rPr>
            </w:pPr>
            <w:r w:rsidRPr="00361437">
              <w:rPr>
                <w:rFonts w:ascii="Arial" w:eastAsia="Times New Roman" w:hAnsi="Arial" w:cs="Arial"/>
                <w:color w:val="000000"/>
                <w:sz w:val="20"/>
                <w:lang w:eastAsia="en-GB"/>
              </w:rPr>
              <w:t>2</w:t>
            </w:r>
            <w:r w:rsidR="003F2599" w:rsidRPr="00361437">
              <w:rPr>
                <w:rFonts w:ascii="Arial" w:eastAsia="Times New Roman" w:hAnsi="Arial" w:cs="Arial"/>
                <w:color w:val="000000"/>
                <w:sz w:val="20"/>
                <w:lang w:eastAsia="en-GB"/>
              </w:rPr>
              <w:t>7.77</w:t>
            </w:r>
            <w:r w:rsidRPr="00361437">
              <w:rPr>
                <w:rFonts w:ascii="Arial" w:eastAsia="Times New Roman" w:hAnsi="Arial" w:cs="Arial"/>
                <w:color w:val="000000"/>
                <w:sz w:val="20"/>
                <w:vertAlign w:val="superscript"/>
                <w:lang w:eastAsia="en-GB"/>
              </w:rPr>
              <w:t>***</w:t>
            </w:r>
          </w:p>
          <w:p w14:paraId="578FEE93"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p>
        </w:tc>
      </w:tr>
      <w:tr w:rsidR="00032E88" w:rsidRPr="00361437" w14:paraId="78539348" w14:textId="77777777" w:rsidTr="006F39AD">
        <w:trPr>
          <w:trHeight w:val="300"/>
        </w:trPr>
        <w:tc>
          <w:tcPr>
            <w:tcW w:w="2144" w:type="pct"/>
            <w:tcBorders>
              <w:bottom w:val="single" w:sz="4" w:space="0" w:color="auto"/>
            </w:tcBorders>
            <w:noWrap/>
            <w:hideMark/>
          </w:tcPr>
          <w:p w14:paraId="3AE51FEB" w14:textId="441CFF9F" w:rsidR="00032E88" w:rsidRPr="00361437" w:rsidRDefault="009F6C4A" w:rsidP="00032E88">
            <w:pPr>
              <w:spacing w:before="100" w:beforeAutospacing="1" w:after="100" w:afterAutospacing="1" w:line="256" w:lineRule="auto"/>
              <w:ind w:left="360" w:hanging="360"/>
              <w:contextualSpacing/>
              <w:rPr>
                <w:rFonts w:ascii="Arial" w:eastAsia="Times New Roman" w:hAnsi="Arial" w:cs="Arial"/>
                <w:color w:val="000000"/>
                <w:sz w:val="20"/>
                <w:lang w:eastAsia="en-GB"/>
              </w:rPr>
            </w:pPr>
            <w:r w:rsidRPr="00361437">
              <w:rPr>
                <w:rFonts w:ascii="Arial" w:eastAsia="Times New Roman" w:hAnsi="Arial" w:cs="Arial"/>
                <w:color w:val="000000"/>
                <w:sz w:val="18"/>
                <w:lang w:eastAsia="en-GB"/>
              </w:rPr>
              <w:t>FAMILY_DEBT_FRACTION</w:t>
            </w:r>
            <w:r w:rsidR="00032E88" w:rsidRPr="00361437">
              <w:rPr>
                <w:rFonts w:ascii="Arial" w:eastAsia="Times New Roman" w:hAnsi="Arial" w:cs="Arial"/>
                <w:color w:val="000000"/>
                <w:sz w:val="20"/>
                <w:lang w:eastAsia="en-GB"/>
              </w:rPr>
              <w:t xml:space="preserve"> conditional</w:t>
            </w:r>
            <w:r w:rsidR="00032E88" w:rsidRPr="00361437">
              <w:rPr>
                <w:rFonts w:ascii="Arial" w:eastAsia="Times New Roman" w:hAnsi="Arial" w:cs="Arial"/>
                <w:color w:val="000000"/>
                <w:sz w:val="20"/>
                <w:lang w:eastAsia="en-GB"/>
              </w:rPr>
              <w:br/>
              <w:t>on family debt holding</w:t>
            </w:r>
          </w:p>
        </w:tc>
        <w:tc>
          <w:tcPr>
            <w:tcW w:w="450" w:type="pct"/>
            <w:tcBorders>
              <w:bottom w:val="single" w:sz="4" w:space="0" w:color="auto"/>
            </w:tcBorders>
            <w:tcMar>
              <w:top w:w="0" w:type="dxa"/>
              <w:left w:w="29" w:type="dxa"/>
              <w:bottom w:w="0" w:type="dxa"/>
              <w:right w:w="29" w:type="dxa"/>
            </w:tcMar>
            <w:hideMark/>
          </w:tcPr>
          <w:p w14:paraId="030646E0" w14:textId="0DB0BA68" w:rsidR="00032E88" w:rsidRPr="00361437" w:rsidRDefault="003F2599"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5</w:t>
            </w:r>
            <w:r w:rsidR="00032E88" w:rsidRPr="00361437">
              <w:rPr>
                <w:rFonts w:ascii="Arial" w:eastAsia="Times New Roman" w:hAnsi="Arial" w:cs="Arial"/>
                <w:color w:val="000000"/>
                <w:sz w:val="20"/>
                <w:lang w:eastAsia="en-GB"/>
              </w:rPr>
              <w:t>,</w:t>
            </w:r>
            <w:r w:rsidRPr="00361437">
              <w:rPr>
                <w:rFonts w:ascii="Arial" w:eastAsia="Times New Roman" w:hAnsi="Arial" w:cs="Arial"/>
                <w:color w:val="000000"/>
                <w:sz w:val="20"/>
                <w:lang w:eastAsia="en-GB"/>
              </w:rPr>
              <w:t>876</w:t>
            </w:r>
          </w:p>
        </w:tc>
        <w:tc>
          <w:tcPr>
            <w:tcW w:w="575" w:type="pct"/>
            <w:tcBorders>
              <w:bottom w:val="single" w:sz="4" w:space="0" w:color="auto"/>
            </w:tcBorders>
            <w:noWrap/>
            <w:tcMar>
              <w:top w:w="0" w:type="dxa"/>
              <w:left w:w="29" w:type="dxa"/>
              <w:bottom w:w="0" w:type="dxa"/>
              <w:right w:w="29" w:type="dxa"/>
            </w:tcMar>
            <w:hideMark/>
          </w:tcPr>
          <w:p w14:paraId="22D9C450" w14:textId="3A451F48"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0.2</w:t>
            </w:r>
            <w:r w:rsidR="003F2599" w:rsidRPr="00361437">
              <w:rPr>
                <w:rFonts w:ascii="Arial" w:eastAsia="Times New Roman" w:hAnsi="Arial" w:cs="Arial"/>
                <w:color w:val="000000"/>
                <w:sz w:val="20"/>
                <w:lang w:eastAsia="en-GB"/>
              </w:rPr>
              <w:t>869</w:t>
            </w:r>
          </w:p>
          <w:p w14:paraId="174CE8BD" w14:textId="230D155E"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[0.13</w:t>
            </w:r>
            <w:r w:rsidR="003F2599" w:rsidRPr="00361437">
              <w:rPr>
                <w:rFonts w:ascii="Arial" w:eastAsia="Times New Roman" w:hAnsi="Arial" w:cs="Arial"/>
                <w:color w:val="000000"/>
                <w:sz w:val="20"/>
                <w:lang w:eastAsia="en-GB"/>
              </w:rPr>
              <w:t>13</w:t>
            </w:r>
            <w:r w:rsidRPr="00361437">
              <w:rPr>
                <w:rFonts w:ascii="Arial" w:eastAsia="Times New Roman" w:hAnsi="Arial" w:cs="Arial"/>
                <w:color w:val="000000"/>
                <w:sz w:val="20"/>
                <w:lang w:eastAsia="en-GB"/>
              </w:rPr>
              <w:t>]</w:t>
            </w:r>
          </w:p>
        </w:tc>
        <w:tc>
          <w:tcPr>
            <w:tcW w:w="107" w:type="pct"/>
            <w:tcBorders>
              <w:bottom w:val="single" w:sz="4" w:space="0" w:color="auto"/>
            </w:tcBorders>
            <w:tcMar>
              <w:top w:w="0" w:type="dxa"/>
              <w:left w:w="29" w:type="dxa"/>
              <w:bottom w:w="0" w:type="dxa"/>
              <w:right w:w="29" w:type="dxa"/>
            </w:tcMar>
          </w:tcPr>
          <w:p w14:paraId="7C896390"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p>
        </w:tc>
        <w:tc>
          <w:tcPr>
            <w:tcW w:w="450" w:type="pct"/>
            <w:tcBorders>
              <w:bottom w:val="single" w:sz="4" w:space="0" w:color="auto"/>
            </w:tcBorders>
            <w:noWrap/>
            <w:tcMar>
              <w:top w:w="0" w:type="dxa"/>
              <w:left w:w="29" w:type="dxa"/>
              <w:bottom w:w="0" w:type="dxa"/>
              <w:right w:w="29" w:type="dxa"/>
            </w:tcMar>
            <w:hideMark/>
          </w:tcPr>
          <w:p w14:paraId="3DBD8166" w14:textId="51C8361D" w:rsidR="00032E88" w:rsidRPr="00361437" w:rsidRDefault="003F2599"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2</w:t>
            </w:r>
            <w:r w:rsidR="00032E88" w:rsidRPr="00361437">
              <w:rPr>
                <w:rFonts w:ascii="Arial" w:eastAsia="Times New Roman" w:hAnsi="Arial" w:cs="Arial"/>
                <w:color w:val="000000"/>
                <w:sz w:val="20"/>
                <w:lang w:eastAsia="en-GB"/>
              </w:rPr>
              <w:t>,</w:t>
            </w:r>
            <w:r w:rsidRPr="00361437">
              <w:rPr>
                <w:rFonts w:ascii="Arial" w:eastAsia="Times New Roman" w:hAnsi="Arial" w:cs="Arial"/>
                <w:color w:val="000000"/>
                <w:sz w:val="20"/>
                <w:lang w:eastAsia="en-GB"/>
              </w:rPr>
              <w:t>824</w:t>
            </w:r>
          </w:p>
        </w:tc>
        <w:tc>
          <w:tcPr>
            <w:tcW w:w="575" w:type="pct"/>
            <w:tcBorders>
              <w:bottom w:val="single" w:sz="4" w:space="0" w:color="auto"/>
            </w:tcBorders>
            <w:tcMar>
              <w:top w:w="0" w:type="dxa"/>
              <w:left w:w="29" w:type="dxa"/>
              <w:bottom w:w="0" w:type="dxa"/>
              <w:right w:w="29" w:type="dxa"/>
            </w:tcMar>
            <w:hideMark/>
          </w:tcPr>
          <w:p w14:paraId="2A1A0A16" w14:textId="0C60E28C"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0.2</w:t>
            </w:r>
            <w:r w:rsidR="003F2599" w:rsidRPr="00361437">
              <w:rPr>
                <w:rFonts w:ascii="Arial" w:eastAsia="Times New Roman" w:hAnsi="Arial" w:cs="Arial"/>
                <w:color w:val="000000"/>
                <w:sz w:val="20"/>
                <w:lang w:eastAsia="en-GB"/>
              </w:rPr>
              <w:t>281</w:t>
            </w:r>
          </w:p>
          <w:p w14:paraId="4401B446" w14:textId="45F7669C"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[0.0</w:t>
            </w:r>
            <w:r w:rsidR="003F2599" w:rsidRPr="00361437">
              <w:rPr>
                <w:rFonts w:ascii="Arial" w:eastAsia="Times New Roman" w:hAnsi="Arial" w:cs="Arial"/>
                <w:color w:val="000000"/>
                <w:sz w:val="20"/>
                <w:lang w:eastAsia="en-GB"/>
              </w:rPr>
              <w:t>788</w:t>
            </w:r>
            <w:r w:rsidRPr="00361437">
              <w:rPr>
                <w:rFonts w:ascii="Arial" w:eastAsia="Times New Roman" w:hAnsi="Arial" w:cs="Arial"/>
                <w:color w:val="000000"/>
                <w:sz w:val="20"/>
                <w:lang w:eastAsia="en-GB"/>
              </w:rPr>
              <w:t>]</w:t>
            </w:r>
          </w:p>
        </w:tc>
        <w:tc>
          <w:tcPr>
            <w:tcW w:w="107" w:type="pct"/>
            <w:tcBorders>
              <w:bottom w:val="single" w:sz="4" w:space="0" w:color="auto"/>
            </w:tcBorders>
            <w:tcMar>
              <w:top w:w="0" w:type="dxa"/>
              <w:left w:w="29" w:type="dxa"/>
              <w:bottom w:w="0" w:type="dxa"/>
              <w:right w:w="29" w:type="dxa"/>
            </w:tcMar>
          </w:tcPr>
          <w:p w14:paraId="106DC9CF"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p>
        </w:tc>
        <w:tc>
          <w:tcPr>
            <w:tcW w:w="592" w:type="pct"/>
            <w:tcBorders>
              <w:bottom w:val="single" w:sz="4" w:space="0" w:color="auto"/>
            </w:tcBorders>
            <w:tcMar>
              <w:top w:w="0" w:type="dxa"/>
              <w:left w:w="29" w:type="dxa"/>
              <w:bottom w:w="0" w:type="dxa"/>
              <w:right w:w="29" w:type="dxa"/>
            </w:tcMar>
            <w:hideMark/>
          </w:tcPr>
          <w:p w14:paraId="5EE3BEA6" w14:textId="5308B230"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vertAlign w:val="superscript"/>
                <w:lang w:eastAsia="en-GB"/>
              </w:rPr>
            </w:pPr>
            <w:r w:rsidRPr="00361437">
              <w:rPr>
                <w:rFonts w:ascii="Arial" w:eastAsia="Times New Roman" w:hAnsi="Arial" w:cs="Arial"/>
                <w:color w:val="000000"/>
                <w:sz w:val="20"/>
                <w:lang w:eastAsia="en-GB"/>
              </w:rPr>
              <w:t>8.</w:t>
            </w:r>
            <w:r w:rsidR="003F2599" w:rsidRPr="00361437">
              <w:rPr>
                <w:rFonts w:ascii="Arial" w:eastAsia="Times New Roman" w:hAnsi="Arial" w:cs="Arial"/>
                <w:color w:val="000000"/>
                <w:sz w:val="20"/>
                <w:lang w:eastAsia="en-GB"/>
              </w:rPr>
              <w:t>49</w:t>
            </w:r>
            <w:r w:rsidRPr="00361437">
              <w:rPr>
                <w:rFonts w:ascii="Arial" w:eastAsia="Times New Roman" w:hAnsi="Arial" w:cs="Arial"/>
                <w:color w:val="000000"/>
                <w:sz w:val="20"/>
                <w:vertAlign w:val="superscript"/>
                <w:lang w:eastAsia="en-GB"/>
              </w:rPr>
              <w:t>***</w:t>
            </w:r>
          </w:p>
          <w:p w14:paraId="6215C5D6" w14:textId="478A8D24"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[11.6</w:t>
            </w:r>
            <w:r w:rsidR="003F2599" w:rsidRPr="00361437">
              <w:rPr>
                <w:rFonts w:ascii="Arial" w:eastAsia="Times New Roman" w:hAnsi="Arial" w:cs="Arial"/>
                <w:color w:val="000000"/>
                <w:sz w:val="20"/>
                <w:lang w:eastAsia="en-GB"/>
              </w:rPr>
              <w:t>8</w:t>
            </w:r>
            <w:r w:rsidRPr="00361437">
              <w:rPr>
                <w:rFonts w:ascii="Arial" w:eastAsia="Times New Roman" w:hAnsi="Arial" w:cs="Arial"/>
                <w:color w:val="000000"/>
                <w:sz w:val="20"/>
                <w:vertAlign w:val="superscript"/>
                <w:lang w:eastAsia="en-GB"/>
              </w:rPr>
              <w:t>***</w:t>
            </w:r>
            <w:r w:rsidRPr="00361437">
              <w:rPr>
                <w:rFonts w:ascii="Arial" w:eastAsia="Times New Roman" w:hAnsi="Arial" w:cs="Arial"/>
                <w:color w:val="000000"/>
                <w:sz w:val="20"/>
                <w:lang w:eastAsia="en-GB"/>
              </w:rPr>
              <w:t>]</w:t>
            </w:r>
          </w:p>
        </w:tc>
      </w:tr>
    </w:tbl>
    <w:p w14:paraId="39462A9E" w14:textId="77777777" w:rsidR="00032E88" w:rsidRPr="00361437" w:rsidRDefault="00032E88" w:rsidP="00032E88">
      <w:pPr>
        <w:rPr>
          <w:rFonts w:ascii="Arial" w:eastAsia="Calibri" w:hAnsi="Arial" w:cs="Arial"/>
          <w:sz w:val="10"/>
        </w:rPr>
      </w:pPr>
    </w:p>
    <w:tbl>
      <w:tblPr>
        <w:tblW w:w="5000" w:type="pct"/>
        <w:tblLook w:val="04A0" w:firstRow="1" w:lastRow="0" w:firstColumn="1" w:lastColumn="0" w:noHBand="0" w:noVBand="1"/>
      </w:tblPr>
      <w:tblGrid>
        <w:gridCol w:w="3572"/>
        <w:gridCol w:w="843"/>
        <w:gridCol w:w="1206"/>
        <w:gridCol w:w="986"/>
        <w:gridCol w:w="226"/>
        <w:gridCol w:w="1206"/>
        <w:gridCol w:w="987"/>
      </w:tblGrid>
      <w:tr w:rsidR="00032E88" w:rsidRPr="00361437" w14:paraId="7B47DFD1" w14:textId="77777777" w:rsidTr="006F39AD">
        <w:trPr>
          <w:trHeight w:val="360"/>
        </w:trPr>
        <w:tc>
          <w:tcPr>
            <w:tcW w:w="5000" w:type="pct"/>
            <w:gridSpan w:val="7"/>
            <w:tcBorders>
              <w:left w:val="nil"/>
              <w:bottom w:val="nil"/>
              <w:right w:val="nil"/>
            </w:tcBorders>
            <w:noWrap/>
            <w:vAlign w:val="center"/>
            <w:hideMark/>
          </w:tcPr>
          <w:p w14:paraId="53DDB3CF" w14:textId="77777777" w:rsidR="00032E88" w:rsidRPr="00361437" w:rsidRDefault="00032E88" w:rsidP="00032E88">
            <w:pPr>
              <w:spacing w:line="256" w:lineRule="auto"/>
              <w:rPr>
                <w:rFonts w:ascii="Arial" w:eastAsia="Times New Roman" w:hAnsi="Arial" w:cs="Arial"/>
                <w:i/>
                <w:sz w:val="20"/>
              </w:rPr>
            </w:pPr>
            <w:r w:rsidRPr="00361437">
              <w:rPr>
                <w:rFonts w:ascii="Arial" w:eastAsia="Times New Roman" w:hAnsi="Arial" w:cs="Arial"/>
                <w:i/>
                <w:sz w:val="20"/>
              </w:rPr>
              <w:t>Panel B: The effects of family debt holdings on voting policy</w:t>
            </w:r>
          </w:p>
        </w:tc>
      </w:tr>
      <w:tr w:rsidR="00032E88" w:rsidRPr="00361437" w14:paraId="266ABE68" w14:textId="77777777" w:rsidTr="00032E88">
        <w:tc>
          <w:tcPr>
            <w:tcW w:w="1979" w:type="pct"/>
            <w:tcBorders>
              <w:top w:val="single" w:sz="4" w:space="0" w:color="auto"/>
              <w:left w:val="nil"/>
              <w:bottom w:val="nil"/>
              <w:right w:val="nil"/>
            </w:tcBorders>
            <w:tcMar>
              <w:top w:w="0" w:type="dxa"/>
              <w:left w:w="115" w:type="dxa"/>
              <w:bottom w:w="0" w:type="dxa"/>
              <w:right w:w="14" w:type="dxa"/>
            </w:tcMar>
            <w:vAlign w:val="center"/>
            <w:hideMark/>
          </w:tcPr>
          <w:p w14:paraId="0F624A0B" w14:textId="77777777" w:rsidR="00032E88" w:rsidRPr="00361437" w:rsidRDefault="00032E88" w:rsidP="00032E88">
            <w:pPr>
              <w:spacing w:line="256" w:lineRule="auto"/>
              <w:rPr>
                <w:rFonts w:ascii="Arial" w:eastAsia="Times New Roman" w:hAnsi="Arial" w:cs="Arial"/>
                <w:sz w:val="20"/>
              </w:rPr>
            </w:pPr>
            <w:r w:rsidRPr="00361437">
              <w:rPr>
                <w:rFonts w:ascii="Arial" w:eastAsia="Times New Roman" w:hAnsi="Arial" w:cs="Arial"/>
                <w:sz w:val="20"/>
              </w:rPr>
              <w:t xml:space="preserve">Coefficient and </w:t>
            </w:r>
            <w:r w:rsidRPr="00361437">
              <w:rPr>
                <w:rFonts w:ascii="Arial" w:eastAsia="Times New Roman" w:hAnsi="Arial" w:cs="Arial"/>
                <w:i/>
                <w:sz w:val="20"/>
              </w:rPr>
              <w:t>p</w:t>
            </w:r>
            <w:r w:rsidRPr="00361437">
              <w:rPr>
                <w:rFonts w:ascii="Arial" w:eastAsia="Times New Roman" w:hAnsi="Arial" w:cs="Arial"/>
                <w:sz w:val="20"/>
              </w:rPr>
              <w:t xml:space="preserve">-value for </w:t>
            </w:r>
          </w:p>
          <w:p w14:paraId="48BF37E0" w14:textId="3480F5B8" w:rsidR="00032E88" w:rsidRPr="00361437" w:rsidRDefault="009F6C4A" w:rsidP="00032E88">
            <w:pPr>
              <w:spacing w:line="256" w:lineRule="auto"/>
              <w:rPr>
                <w:rFonts w:ascii="Arial" w:eastAsia="Times New Roman" w:hAnsi="Arial" w:cs="Arial"/>
                <w:sz w:val="20"/>
              </w:rPr>
            </w:pPr>
            <w:r w:rsidRPr="00361437">
              <w:rPr>
                <w:rFonts w:ascii="Arial" w:eastAsia="Times New Roman" w:hAnsi="Arial" w:cs="Arial"/>
                <w:sz w:val="18"/>
              </w:rPr>
              <w:t>FAMILY_DEBT_FRACTION × DISTRESS_(0,1)</w:t>
            </w:r>
          </w:p>
        </w:tc>
        <w:tc>
          <w:tcPr>
            <w:tcW w:w="467" w:type="pct"/>
            <w:tcBorders>
              <w:top w:val="single" w:sz="4" w:space="0" w:color="auto"/>
              <w:left w:val="nil"/>
              <w:bottom w:val="nil"/>
              <w:right w:val="nil"/>
            </w:tcBorders>
            <w:noWrap/>
            <w:vAlign w:val="center"/>
          </w:tcPr>
          <w:p w14:paraId="6ACF68D6" w14:textId="77777777" w:rsidR="00032E88" w:rsidRPr="00361437" w:rsidRDefault="00032E88" w:rsidP="00032E88">
            <w:pPr>
              <w:spacing w:line="256" w:lineRule="auto"/>
              <w:rPr>
                <w:rFonts w:ascii="Arial" w:eastAsia="Times New Roman" w:hAnsi="Arial" w:cs="Arial"/>
                <w:sz w:val="20"/>
              </w:rPr>
            </w:pPr>
          </w:p>
        </w:tc>
        <w:tc>
          <w:tcPr>
            <w:tcW w:w="1214" w:type="pct"/>
            <w:gridSpan w:val="2"/>
            <w:tcBorders>
              <w:top w:val="single" w:sz="4" w:space="0" w:color="auto"/>
              <w:left w:val="nil"/>
              <w:bottom w:val="single" w:sz="4" w:space="0" w:color="auto"/>
              <w:right w:val="nil"/>
            </w:tcBorders>
            <w:vAlign w:val="center"/>
            <w:hideMark/>
          </w:tcPr>
          <w:p w14:paraId="31F5B921"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color w:val="000000"/>
                <w:sz w:val="20"/>
                <w:lang w:eastAsia="en-GB"/>
              </w:rPr>
              <w:t xml:space="preserve">Mid and long term </w:t>
            </w:r>
          </w:p>
        </w:tc>
        <w:tc>
          <w:tcPr>
            <w:tcW w:w="125" w:type="pct"/>
            <w:tcBorders>
              <w:top w:val="single" w:sz="4" w:space="0" w:color="auto"/>
              <w:left w:val="nil"/>
              <w:bottom w:val="nil"/>
              <w:right w:val="nil"/>
            </w:tcBorders>
            <w:vAlign w:val="center"/>
          </w:tcPr>
          <w:p w14:paraId="3ACBE34E" w14:textId="77777777" w:rsidR="00032E88" w:rsidRPr="00361437" w:rsidRDefault="00032E88" w:rsidP="00032E88">
            <w:pPr>
              <w:spacing w:line="256" w:lineRule="auto"/>
              <w:jc w:val="center"/>
              <w:rPr>
                <w:rFonts w:ascii="Arial" w:eastAsia="Times New Roman" w:hAnsi="Arial" w:cs="Arial"/>
                <w:sz w:val="20"/>
              </w:rPr>
            </w:pPr>
          </w:p>
        </w:tc>
        <w:tc>
          <w:tcPr>
            <w:tcW w:w="1215" w:type="pct"/>
            <w:gridSpan w:val="2"/>
            <w:tcBorders>
              <w:top w:val="single" w:sz="4" w:space="0" w:color="auto"/>
              <w:left w:val="nil"/>
              <w:bottom w:val="single" w:sz="4" w:space="0" w:color="auto"/>
              <w:right w:val="nil"/>
            </w:tcBorders>
            <w:vAlign w:val="center"/>
            <w:hideMark/>
          </w:tcPr>
          <w:p w14:paraId="3ADC09A4"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color w:val="000000"/>
                <w:sz w:val="20"/>
                <w:lang w:eastAsia="en-GB"/>
              </w:rPr>
              <w:t>Short term</w:t>
            </w:r>
          </w:p>
        </w:tc>
      </w:tr>
      <w:tr w:rsidR="00032E88" w:rsidRPr="00361437" w14:paraId="53F4C151" w14:textId="77777777" w:rsidTr="00032E88">
        <w:tc>
          <w:tcPr>
            <w:tcW w:w="1979" w:type="pct"/>
            <w:tcBorders>
              <w:top w:val="nil"/>
              <w:left w:val="nil"/>
              <w:bottom w:val="single" w:sz="4" w:space="0" w:color="auto"/>
              <w:right w:val="nil"/>
            </w:tcBorders>
            <w:vAlign w:val="center"/>
          </w:tcPr>
          <w:p w14:paraId="68176FD9" w14:textId="77777777" w:rsidR="00032E88" w:rsidRPr="00361437" w:rsidRDefault="00032E88" w:rsidP="00032E88">
            <w:pPr>
              <w:spacing w:line="256" w:lineRule="auto"/>
              <w:rPr>
                <w:rFonts w:ascii="Arial" w:eastAsia="Times New Roman" w:hAnsi="Arial" w:cs="Arial"/>
                <w:sz w:val="20"/>
              </w:rPr>
            </w:pPr>
          </w:p>
        </w:tc>
        <w:tc>
          <w:tcPr>
            <w:tcW w:w="467" w:type="pct"/>
            <w:tcBorders>
              <w:top w:val="nil"/>
              <w:left w:val="nil"/>
              <w:bottom w:val="single" w:sz="4" w:space="0" w:color="auto"/>
              <w:right w:val="nil"/>
            </w:tcBorders>
            <w:noWrap/>
            <w:vAlign w:val="center"/>
            <w:hideMark/>
          </w:tcPr>
          <w:p w14:paraId="662AD064"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N</w:t>
            </w:r>
          </w:p>
        </w:tc>
        <w:tc>
          <w:tcPr>
            <w:tcW w:w="668" w:type="pct"/>
            <w:tcBorders>
              <w:top w:val="single" w:sz="4" w:space="0" w:color="auto"/>
              <w:left w:val="nil"/>
              <w:bottom w:val="single" w:sz="4" w:space="0" w:color="auto"/>
              <w:right w:val="nil"/>
            </w:tcBorders>
            <w:vAlign w:val="center"/>
            <w:hideMark/>
          </w:tcPr>
          <w:p w14:paraId="13897023"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546" w:type="pct"/>
            <w:tcBorders>
              <w:top w:val="single" w:sz="4" w:space="0" w:color="auto"/>
              <w:left w:val="nil"/>
              <w:bottom w:val="single" w:sz="4" w:space="0" w:color="auto"/>
              <w:right w:val="nil"/>
            </w:tcBorders>
            <w:vAlign w:val="center"/>
            <w:hideMark/>
          </w:tcPr>
          <w:p w14:paraId="1A9FA018"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c>
          <w:tcPr>
            <w:tcW w:w="125" w:type="pct"/>
            <w:tcBorders>
              <w:top w:val="nil"/>
              <w:left w:val="nil"/>
              <w:bottom w:val="single" w:sz="4" w:space="0" w:color="auto"/>
              <w:right w:val="nil"/>
            </w:tcBorders>
            <w:vAlign w:val="center"/>
          </w:tcPr>
          <w:p w14:paraId="78CD8717" w14:textId="77777777" w:rsidR="00032E88" w:rsidRPr="00361437" w:rsidRDefault="00032E88" w:rsidP="00032E88">
            <w:pPr>
              <w:spacing w:line="256" w:lineRule="auto"/>
              <w:jc w:val="center"/>
              <w:rPr>
                <w:rFonts w:ascii="Arial" w:eastAsia="Times New Roman" w:hAnsi="Arial" w:cs="Arial"/>
                <w:sz w:val="20"/>
              </w:rPr>
            </w:pPr>
          </w:p>
        </w:tc>
        <w:tc>
          <w:tcPr>
            <w:tcW w:w="668" w:type="pct"/>
            <w:tcBorders>
              <w:top w:val="single" w:sz="4" w:space="0" w:color="auto"/>
              <w:left w:val="nil"/>
              <w:bottom w:val="single" w:sz="4" w:space="0" w:color="auto"/>
              <w:right w:val="nil"/>
            </w:tcBorders>
            <w:vAlign w:val="center"/>
            <w:hideMark/>
          </w:tcPr>
          <w:p w14:paraId="7FC47D68"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547" w:type="pct"/>
            <w:tcBorders>
              <w:top w:val="single" w:sz="4" w:space="0" w:color="auto"/>
              <w:left w:val="nil"/>
              <w:bottom w:val="single" w:sz="4" w:space="0" w:color="auto"/>
              <w:right w:val="nil"/>
            </w:tcBorders>
            <w:vAlign w:val="center"/>
            <w:hideMark/>
          </w:tcPr>
          <w:p w14:paraId="300BE8F5"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r>
      <w:tr w:rsidR="00CC0BF5" w:rsidRPr="00361437" w14:paraId="4389CAA8" w14:textId="77777777" w:rsidTr="00032E88">
        <w:tc>
          <w:tcPr>
            <w:tcW w:w="1979" w:type="pct"/>
            <w:vAlign w:val="center"/>
            <w:hideMark/>
          </w:tcPr>
          <w:p w14:paraId="6FA910BF" w14:textId="77777777" w:rsidR="00CC0BF5" w:rsidRPr="00361437" w:rsidRDefault="00CC0BF5" w:rsidP="00CC0BF5">
            <w:pPr>
              <w:spacing w:line="256" w:lineRule="auto"/>
              <w:rPr>
                <w:rFonts w:ascii="Arial" w:eastAsia="Times New Roman" w:hAnsi="Arial" w:cs="Arial"/>
                <w:sz w:val="20"/>
              </w:rPr>
            </w:pPr>
            <w:r w:rsidRPr="00361437">
              <w:rPr>
                <w:rFonts w:ascii="Arial" w:eastAsia="Times New Roman" w:hAnsi="Arial" w:cs="Arial"/>
                <w:sz w:val="20"/>
              </w:rPr>
              <w:t>All proposals</w:t>
            </w:r>
          </w:p>
        </w:tc>
        <w:tc>
          <w:tcPr>
            <w:tcW w:w="467" w:type="pct"/>
            <w:noWrap/>
            <w:hideMark/>
          </w:tcPr>
          <w:p w14:paraId="43F464CD" w14:textId="39A314E6" w:rsidR="00CC0BF5" w:rsidRPr="00361437" w:rsidRDefault="00CC0BF5" w:rsidP="00CC0BF5">
            <w:pPr>
              <w:spacing w:line="256" w:lineRule="auto"/>
              <w:rPr>
                <w:rFonts w:ascii="Arial" w:eastAsia="Times New Roman" w:hAnsi="Arial" w:cs="Arial"/>
                <w:sz w:val="20"/>
              </w:rPr>
            </w:pPr>
            <w:r w:rsidRPr="00361437">
              <w:rPr>
                <w:rFonts w:ascii="Arial" w:eastAsia="Times New Roman" w:hAnsi="Arial" w:cs="Arial"/>
                <w:sz w:val="20"/>
              </w:rPr>
              <w:t>52,745</w:t>
            </w:r>
          </w:p>
        </w:tc>
        <w:tc>
          <w:tcPr>
            <w:tcW w:w="668" w:type="pct"/>
            <w:tcMar>
              <w:top w:w="0" w:type="dxa"/>
              <w:left w:w="14" w:type="dxa"/>
              <w:bottom w:w="0" w:type="dxa"/>
              <w:right w:w="14" w:type="dxa"/>
            </w:tcMar>
            <w:vAlign w:val="center"/>
            <w:hideMark/>
          </w:tcPr>
          <w:p w14:paraId="11CBD83A" w14:textId="2CFB482D" w:rsidR="00CC0BF5" w:rsidRPr="00361437" w:rsidRDefault="00CC0BF5" w:rsidP="00CC0BF5">
            <w:pPr>
              <w:tabs>
                <w:tab w:val="decimal" w:pos="390"/>
              </w:tabs>
              <w:spacing w:line="256" w:lineRule="auto"/>
              <w:rPr>
                <w:rFonts w:ascii="Arial" w:eastAsia="Calibri" w:hAnsi="Arial" w:cs="Arial"/>
                <w:color w:val="000000"/>
                <w:sz w:val="20"/>
              </w:rPr>
            </w:pPr>
            <w:r w:rsidRPr="00361437">
              <w:rPr>
                <w:rFonts w:ascii="Arial" w:eastAsia="Calibri" w:hAnsi="Arial" w:cs="Arial"/>
                <w:color w:val="000000"/>
                <w:sz w:val="20"/>
              </w:rPr>
              <w:t>0.</w:t>
            </w:r>
            <w:r w:rsidR="0053172B" w:rsidRPr="00361437">
              <w:rPr>
                <w:rFonts w:ascii="Arial" w:eastAsia="Calibri" w:hAnsi="Arial" w:cs="Arial"/>
                <w:color w:val="000000"/>
                <w:sz w:val="20"/>
              </w:rPr>
              <w:t>1715</w:t>
            </w:r>
            <w:r w:rsidRPr="00361437">
              <w:rPr>
                <w:rFonts w:ascii="Arial" w:eastAsia="Calibri" w:hAnsi="Arial" w:cs="Arial"/>
                <w:color w:val="000000"/>
                <w:sz w:val="20"/>
                <w:vertAlign w:val="superscript"/>
              </w:rPr>
              <w:t>***</w:t>
            </w:r>
          </w:p>
        </w:tc>
        <w:tc>
          <w:tcPr>
            <w:tcW w:w="546" w:type="pct"/>
            <w:vAlign w:val="center"/>
            <w:hideMark/>
          </w:tcPr>
          <w:p w14:paraId="5432F50C" w14:textId="6749E234" w:rsidR="00CC0BF5" w:rsidRPr="00361437" w:rsidRDefault="00CC0BF5" w:rsidP="00CC0BF5">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0.00</w:t>
            </w:r>
            <w:r w:rsidR="0053172B" w:rsidRPr="00361437">
              <w:rPr>
                <w:rFonts w:ascii="Arial" w:eastAsia="Calibri" w:hAnsi="Arial" w:cs="Arial"/>
                <w:color w:val="000000"/>
                <w:sz w:val="20"/>
              </w:rPr>
              <w:t>0</w:t>
            </w:r>
            <w:r w:rsidRPr="00361437">
              <w:rPr>
                <w:rFonts w:ascii="Arial" w:eastAsia="Calibri" w:hAnsi="Arial" w:cs="Arial"/>
                <w:color w:val="000000"/>
                <w:sz w:val="20"/>
              </w:rPr>
              <w:t>7</w:t>
            </w:r>
          </w:p>
        </w:tc>
        <w:tc>
          <w:tcPr>
            <w:tcW w:w="125" w:type="pct"/>
            <w:vAlign w:val="center"/>
          </w:tcPr>
          <w:p w14:paraId="41EFAE3E" w14:textId="77777777" w:rsidR="00CC0BF5" w:rsidRPr="00361437" w:rsidRDefault="00CC0BF5" w:rsidP="00CC0BF5">
            <w:pPr>
              <w:tabs>
                <w:tab w:val="decimal" w:pos="252"/>
              </w:tabs>
              <w:spacing w:line="256" w:lineRule="auto"/>
              <w:rPr>
                <w:rFonts w:ascii="Arial" w:eastAsia="Calibri" w:hAnsi="Arial" w:cs="Arial"/>
                <w:color w:val="000000"/>
                <w:sz w:val="20"/>
              </w:rPr>
            </w:pPr>
          </w:p>
        </w:tc>
        <w:tc>
          <w:tcPr>
            <w:tcW w:w="668" w:type="pct"/>
            <w:vAlign w:val="center"/>
            <w:hideMark/>
          </w:tcPr>
          <w:p w14:paraId="22FC550B" w14:textId="386A10F7" w:rsidR="00CC0BF5" w:rsidRPr="00361437" w:rsidRDefault="00CC0BF5" w:rsidP="00CC0BF5">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1974C4" w:rsidRPr="00361437">
              <w:rPr>
                <w:rFonts w:ascii="Arial" w:eastAsia="Calibri" w:hAnsi="Arial" w:cs="Arial"/>
                <w:color w:val="000000"/>
                <w:sz w:val="20"/>
              </w:rPr>
              <w:t>211</w:t>
            </w:r>
          </w:p>
        </w:tc>
        <w:tc>
          <w:tcPr>
            <w:tcW w:w="547" w:type="pct"/>
            <w:vAlign w:val="center"/>
            <w:hideMark/>
          </w:tcPr>
          <w:p w14:paraId="45575CA4" w14:textId="109F3239" w:rsidR="00CC0BF5" w:rsidRPr="00361437" w:rsidRDefault="00CC0BF5" w:rsidP="00CC0BF5">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w:t>
            </w:r>
            <w:r w:rsidR="001974C4" w:rsidRPr="00361437">
              <w:rPr>
                <w:rFonts w:ascii="Arial" w:eastAsia="Calibri" w:hAnsi="Arial" w:cs="Arial"/>
                <w:color w:val="000000"/>
                <w:sz w:val="20"/>
              </w:rPr>
              <w:t>6223</w:t>
            </w:r>
          </w:p>
        </w:tc>
      </w:tr>
      <w:tr w:rsidR="00CC0BF5" w:rsidRPr="00361437" w14:paraId="02E4F28D" w14:textId="77777777" w:rsidTr="00032E88">
        <w:tc>
          <w:tcPr>
            <w:tcW w:w="1979" w:type="pct"/>
            <w:vAlign w:val="center"/>
          </w:tcPr>
          <w:p w14:paraId="18306906" w14:textId="77777777" w:rsidR="00CC0BF5" w:rsidRPr="00361437" w:rsidRDefault="00CC0BF5" w:rsidP="00CC0BF5">
            <w:pPr>
              <w:spacing w:line="256" w:lineRule="auto"/>
              <w:rPr>
                <w:rFonts w:ascii="Arial" w:eastAsia="Times New Roman" w:hAnsi="Arial" w:cs="Arial"/>
                <w:sz w:val="20"/>
              </w:rPr>
            </w:pPr>
          </w:p>
        </w:tc>
        <w:tc>
          <w:tcPr>
            <w:tcW w:w="467" w:type="pct"/>
            <w:noWrap/>
          </w:tcPr>
          <w:p w14:paraId="1439C46E" w14:textId="77777777" w:rsidR="00CC0BF5" w:rsidRPr="00361437" w:rsidRDefault="00CC0BF5" w:rsidP="00CC0BF5">
            <w:pPr>
              <w:spacing w:line="256" w:lineRule="auto"/>
              <w:rPr>
                <w:rFonts w:ascii="Arial" w:eastAsia="Times New Roman" w:hAnsi="Arial" w:cs="Arial"/>
                <w:sz w:val="20"/>
              </w:rPr>
            </w:pPr>
          </w:p>
        </w:tc>
        <w:tc>
          <w:tcPr>
            <w:tcW w:w="668" w:type="pct"/>
            <w:tcMar>
              <w:top w:w="0" w:type="dxa"/>
              <w:left w:w="14" w:type="dxa"/>
              <w:bottom w:w="0" w:type="dxa"/>
              <w:right w:w="14" w:type="dxa"/>
            </w:tcMar>
            <w:vAlign w:val="center"/>
          </w:tcPr>
          <w:p w14:paraId="07315AC0" w14:textId="77777777" w:rsidR="00CC0BF5" w:rsidRPr="00361437" w:rsidRDefault="00CC0BF5" w:rsidP="00CC0BF5">
            <w:pPr>
              <w:tabs>
                <w:tab w:val="decimal" w:pos="390"/>
              </w:tabs>
              <w:spacing w:line="256" w:lineRule="auto"/>
              <w:rPr>
                <w:rFonts w:ascii="Arial" w:eastAsia="Calibri" w:hAnsi="Arial" w:cs="Arial"/>
                <w:color w:val="000000"/>
                <w:sz w:val="20"/>
              </w:rPr>
            </w:pPr>
          </w:p>
        </w:tc>
        <w:tc>
          <w:tcPr>
            <w:tcW w:w="546" w:type="pct"/>
            <w:vAlign w:val="center"/>
          </w:tcPr>
          <w:p w14:paraId="0B73205D" w14:textId="77777777" w:rsidR="00CC0BF5" w:rsidRPr="00361437" w:rsidRDefault="00CC0BF5" w:rsidP="00CC0BF5">
            <w:pPr>
              <w:tabs>
                <w:tab w:val="decimal" w:pos="252"/>
              </w:tabs>
              <w:spacing w:line="256" w:lineRule="auto"/>
              <w:rPr>
                <w:rFonts w:ascii="Arial" w:eastAsia="Calibri" w:hAnsi="Arial" w:cs="Arial"/>
                <w:color w:val="000000"/>
                <w:sz w:val="20"/>
              </w:rPr>
            </w:pPr>
          </w:p>
        </w:tc>
        <w:tc>
          <w:tcPr>
            <w:tcW w:w="125" w:type="pct"/>
            <w:vAlign w:val="center"/>
          </w:tcPr>
          <w:p w14:paraId="5AAD547E" w14:textId="77777777" w:rsidR="00CC0BF5" w:rsidRPr="00361437" w:rsidRDefault="00CC0BF5" w:rsidP="00CC0BF5">
            <w:pPr>
              <w:tabs>
                <w:tab w:val="decimal" w:pos="252"/>
              </w:tabs>
              <w:spacing w:line="256" w:lineRule="auto"/>
              <w:rPr>
                <w:rFonts w:ascii="Arial" w:eastAsia="Calibri" w:hAnsi="Arial" w:cs="Arial"/>
                <w:color w:val="000000"/>
                <w:sz w:val="20"/>
              </w:rPr>
            </w:pPr>
          </w:p>
        </w:tc>
        <w:tc>
          <w:tcPr>
            <w:tcW w:w="668" w:type="pct"/>
            <w:vAlign w:val="center"/>
          </w:tcPr>
          <w:p w14:paraId="468F5544" w14:textId="77777777" w:rsidR="00CC0BF5" w:rsidRPr="00361437" w:rsidRDefault="00CC0BF5" w:rsidP="00CC0BF5">
            <w:pPr>
              <w:tabs>
                <w:tab w:val="decimal" w:pos="252"/>
              </w:tabs>
              <w:spacing w:line="256" w:lineRule="auto"/>
              <w:rPr>
                <w:rFonts w:ascii="Arial" w:eastAsia="Calibri" w:hAnsi="Arial" w:cs="Arial"/>
                <w:color w:val="000000"/>
                <w:sz w:val="20"/>
              </w:rPr>
            </w:pPr>
          </w:p>
        </w:tc>
        <w:tc>
          <w:tcPr>
            <w:tcW w:w="547" w:type="pct"/>
            <w:vAlign w:val="center"/>
          </w:tcPr>
          <w:p w14:paraId="03C6F656" w14:textId="77777777" w:rsidR="00CC0BF5" w:rsidRPr="00361437" w:rsidRDefault="00CC0BF5" w:rsidP="00CC0BF5">
            <w:pPr>
              <w:tabs>
                <w:tab w:val="decimal" w:pos="252"/>
              </w:tabs>
              <w:spacing w:line="256" w:lineRule="auto"/>
              <w:rPr>
                <w:rFonts w:ascii="Arial" w:eastAsia="Calibri" w:hAnsi="Arial" w:cs="Arial"/>
                <w:color w:val="000000"/>
                <w:sz w:val="20"/>
              </w:rPr>
            </w:pPr>
          </w:p>
        </w:tc>
      </w:tr>
      <w:tr w:rsidR="00CC0BF5" w:rsidRPr="00361437" w14:paraId="5A982048" w14:textId="77777777" w:rsidTr="00032E88">
        <w:tc>
          <w:tcPr>
            <w:tcW w:w="1979" w:type="pct"/>
            <w:vAlign w:val="center"/>
            <w:hideMark/>
          </w:tcPr>
          <w:p w14:paraId="2439AC45" w14:textId="77777777" w:rsidR="00CC0BF5" w:rsidRPr="00361437" w:rsidRDefault="00CC0BF5" w:rsidP="00CC0BF5">
            <w:pPr>
              <w:spacing w:line="256" w:lineRule="auto"/>
              <w:rPr>
                <w:rFonts w:ascii="Arial" w:eastAsia="Times New Roman" w:hAnsi="Arial" w:cs="Arial"/>
                <w:sz w:val="20"/>
              </w:rPr>
            </w:pPr>
            <w:r w:rsidRPr="00361437">
              <w:rPr>
                <w:rFonts w:ascii="Arial" w:eastAsia="Times New Roman" w:hAnsi="Arial" w:cs="Arial"/>
                <w:sz w:val="20"/>
              </w:rPr>
              <w:t>Creditor = management interests</w:t>
            </w:r>
          </w:p>
        </w:tc>
        <w:tc>
          <w:tcPr>
            <w:tcW w:w="467" w:type="pct"/>
            <w:noWrap/>
            <w:hideMark/>
          </w:tcPr>
          <w:p w14:paraId="53928A84" w14:textId="110D78CD" w:rsidR="00CC0BF5" w:rsidRPr="00361437" w:rsidRDefault="00CC0BF5" w:rsidP="00CC0BF5">
            <w:pPr>
              <w:spacing w:line="256" w:lineRule="auto"/>
              <w:rPr>
                <w:rFonts w:ascii="Arial" w:eastAsia="Times New Roman" w:hAnsi="Arial" w:cs="Arial"/>
                <w:sz w:val="20"/>
              </w:rPr>
            </w:pPr>
            <w:r w:rsidRPr="00361437">
              <w:rPr>
                <w:rFonts w:ascii="Arial" w:eastAsia="Times New Roman" w:hAnsi="Arial" w:cs="Arial"/>
                <w:sz w:val="20"/>
              </w:rPr>
              <w:t>13,384</w:t>
            </w:r>
          </w:p>
        </w:tc>
        <w:tc>
          <w:tcPr>
            <w:tcW w:w="668" w:type="pct"/>
            <w:tcMar>
              <w:top w:w="0" w:type="dxa"/>
              <w:left w:w="14" w:type="dxa"/>
              <w:bottom w:w="0" w:type="dxa"/>
              <w:right w:w="14" w:type="dxa"/>
            </w:tcMar>
            <w:vAlign w:val="center"/>
            <w:hideMark/>
          </w:tcPr>
          <w:p w14:paraId="37D8C451" w14:textId="313AA278" w:rsidR="00CC0BF5" w:rsidRPr="00361437" w:rsidRDefault="00CC0BF5" w:rsidP="00CC0BF5">
            <w:pPr>
              <w:tabs>
                <w:tab w:val="decimal" w:pos="390"/>
              </w:tabs>
              <w:spacing w:line="256" w:lineRule="auto"/>
              <w:rPr>
                <w:rFonts w:ascii="Arial" w:eastAsia="Calibri" w:hAnsi="Arial" w:cs="Arial"/>
                <w:color w:val="000000"/>
                <w:sz w:val="20"/>
              </w:rPr>
            </w:pPr>
            <w:r w:rsidRPr="00361437">
              <w:rPr>
                <w:rFonts w:ascii="Arial" w:eastAsia="Calibri" w:hAnsi="Arial" w:cs="Arial"/>
                <w:color w:val="000000"/>
                <w:sz w:val="20"/>
              </w:rPr>
              <w:t>0.</w:t>
            </w:r>
            <w:r w:rsidR="0053172B" w:rsidRPr="00361437">
              <w:rPr>
                <w:rFonts w:ascii="Arial" w:eastAsia="Calibri" w:hAnsi="Arial" w:cs="Arial"/>
                <w:color w:val="000000"/>
                <w:sz w:val="20"/>
              </w:rPr>
              <w:t>1665</w:t>
            </w:r>
            <w:r w:rsidRPr="00361437">
              <w:rPr>
                <w:rFonts w:ascii="Arial" w:eastAsia="Calibri" w:hAnsi="Arial" w:cs="Arial"/>
                <w:color w:val="000000"/>
                <w:sz w:val="20"/>
                <w:vertAlign w:val="superscript"/>
              </w:rPr>
              <w:t>**</w:t>
            </w:r>
          </w:p>
        </w:tc>
        <w:tc>
          <w:tcPr>
            <w:tcW w:w="546" w:type="pct"/>
            <w:vAlign w:val="center"/>
            <w:hideMark/>
          </w:tcPr>
          <w:p w14:paraId="11F03384" w14:textId="7827FDA5" w:rsidR="00CC0BF5" w:rsidRPr="00361437" w:rsidRDefault="00CC0BF5" w:rsidP="00CC0BF5">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1974C4" w:rsidRPr="00361437">
              <w:rPr>
                <w:rFonts w:ascii="Arial" w:eastAsia="Calibri" w:hAnsi="Arial" w:cs="Arial"/>
                <w:color w:val="000000"/>
                <w:sz w:val="20"/>
              </w:rPr>
              <w:t>122</w:t>
            </w:r>
          </w:p>
        </w:tc>
        <w:tc>
          <w:tcPr>
            <w:tcW w:w="125" w:type="pct"/>
            <w:vAlign w:val="center"/>
          </w:tcPr>
          <w:p w14:paraId="46F50B7F" w14:textId="77777777" w:rsidR="00CC0BF5" w:rsidRPr="00361437" w:rsidRDefault="00CC0BF5" w:rsidP="00CC0BF5">
            <w:pPr>
              <w:tabs>
                <w:tab w:val="decimal" w:pos="252"/>
              </w:tabs>
              <w:spacing w:line="256" w:lineRule="auto"/>
              <w:rPr>
                <w:rFonts w:ascii="Arial" w:eastAsia="Calibri" w:hAnsi="Arial" w:cs="Arial"/>
                <w:color w:val="000000"/>
                <w:sz w:val="20"/>
              </w:rPr>
            </w:pPr>
          </w:p>
        </w:tc>
        <w:tc>
          <w:tcPr>
            <w:tcW w:w="668" w:type="pct"/>
            <w:vAlign w:val="center"/>
            <w:hideMark/>
          </w:tcPr>
          <w:p w14:paraId="41C6D7FC" w14:textId="15104991" w:rsidR="00CC0BF5" w:rsidRPr="00361437" w:rsidRDefault="001974C4" w:rsidP="00CC0BF5">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w:t>
            </w:r>
            <w:r w:rsidR="00CC0BF5" w:rsidRPr="00361437">
              <w:rPr>
                <w:rFonts w:ascii="Arial" w:eastAsia="Calibri" w:hAnsi="Arial" w:cs="Arial"/>
                <w:color w:val="000000"/>
                <w:sz w:val="20"/>
              </w:rPr>
              <w:t>0.0</w:t>
            </w:r>
            <w:r w:rsidRPr="00361437">
              <w:rPr>
                <w:rFonts w:ascii="Arial" w:eastAsia="Calibri" w:hAnsi="Arial" w:cs="Arial"/>
                <w:color w:val="000000"/>
                <w:sz w:val="20"/>
              </w:rPr>
              <w:t>156</w:t>
            </w:r>
          </w:p>
        </w:tc>
        <w:tc>
          <w:tcPr>
            <w:tcW w:w="547" w:type="pct"/>
            <w:vAlign w:val="center"/>
            <w:hideMark/>
          </w:tcPr>
          <w:p w14:paraId="0458B804" w14:textId="2632F96E" w:rsidR="00CC0BF5" w:rsidRPr="00361437" w:rsidRDefault="00CC0BF5" w:rsidP="00CC0BF5">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w:t>
            </w:r>
            <w:r w:rsidR="001974C4" w:rsidRPr="00361437">
              <w:rPr>
                <w:rFonts w:ascii="Arial" w:eastAsia="Calibri" w:hAnsi="Arial" w:cs="Arial"/>
                <w:color w:val="000000"/>
                <w:sz w:val="20"/>
              </w:rPr>
              <w:t>8584</w:t>
            </w:r>
          </w:p>
        </w:tc>
      </w:tr>
      <w:tr w:rsidR="00CC0BF5" w:rsidRPr="00361437" w14:paraId="09240683" w14:textId="77777777" w:rsidTr="00032E88">
        <w:tc>
          <w:tcPr>
            <w:tcW w:w="1979" w:type="pct"/>
            <w:vAlign w:val="center"/>
            <w:hideMark/>
          </w:tcPr>
          <w:p w14:paraId="191B5827" w14:textId="77777777" w:rsidR="00CC0BF5" w:rsidRPr="00361437" w:rsidRDefault="00CC0BF5" w:rsidP="00CC0BF5">
            <w:pPr>
              <w:spacing w:line="256" w:lineRule="auto"/>
              <w:rPr>
                <w:rFonts w:ascii="Arial" w:eastAsia="Times New Roman" w:hAnsi="Arial" w:cs="Arial"/>
                <w:sz w:val="20"/>
              </w:rPr>
            </w:pPr>
            <w:r w:rsidRPr="00361437">
              <w:rPr>
                <w:rFonts w:ascii="Arial" w:eastAsia="Times New Roman" w:hAnsi="Arial" w:cs="Arial"/>
                <w:sz w:val="20"/>
              </w:rPr>
              <w:t>Creditor ≠ management interests</w:t>
            </w:r>
          </w:p>
        </w:tc>
        <w:tc>
          <w:tcPr>
            <w:tcW w:w="467" w:type="pct"/>
            <w:noWrap/>
            <w:hideMark/>
          </w:tcPr>
          <w:p w14:paraId="49119C85" w14:textId="4B713704" w:rsidR="00CC0BF5" w:rsidRPr="00361437" w:rsidRDefault="00CC0BF5" w:rsidP="00CC0BF5">
            <w:pPr>
              <w:spacing w:line="256" w:lineRule="auto"/>
              <w:rPr>
                <w:rFonts w:ascii="Arial" w:eastAsia="Times New Roman" w:hAnsi="Arial" w:cs="Arial"/>
                <w:sz w:val="20"/>
              </w:rPr>
            </w:pPr>
            <w:r w:rsidRPr="00361437">
              <w:rPr>
                <w:rFonts w:ascii="Arial" w:eastAsia="Times New Roman" w:hAnsi="Arial" w:cs="Arial"/>
                <w:sz w:val="20"/>
              </w:rPr>
              <w:t>39,361</w:t>
            </w:r>
          </w:p>
        </w:tc>
        <w:tc>
          <w:tcPr>
            <w:tcW w:w="668" w:type="pct"/>
            <w:tcMar>
              <w:top w:w="0" w:type="dxa"/>
              <w:left w:w="14" w:type="dxa"/>
              <w:bottom w:w="0" w:type="dxa"/>
              <w:right w:w="14" w:type="dxa"/>
            </w:tcMar>
            <w:vAlign w:val="center"/>
            <w:hideMark/>
          </w:tcPr>
          <w:p w14:paraId="43AE77AD" w14:textId="05346CDC" w:rsidR="00CC0BF5" w:rsidRPr="00361437" w:rsidRDefault="00CC0BF5" w:rsidP="00CC0BF5">
            <w:pPr>
              <w:tabs>
                <w:tab w:val="decimal" w:pos="390"/>
              </w:tabs>
              <w:spacing w:line="256" w:lineRule="auto"/>
              <w:rPr>
                <w:rFonts w:ascii="Arial" w:eastAsia="Calibri" w:hAnsi="Arial" w:cs="Arial"/>
                <w:color w:val="000000"/>
                <w:sz w:val="20"/>
              </w:rPr>
            </w:pPr>
            <w:r w:rsidRPr="00361437">
              <w:rPr>
                <w:rFonts w:ascii="Arial" w:eastAsia="Calibri" w:hAnsi="Arial" w:cs="Arial"/>
                <w:color w:val="000000"/>
                <w:sz w:val="20"/>
              </w:rPr>
              <w:t>0.</w:t>
            </w:r>
            <w:r w:rsidR="001974C4" w:rsidRPr="00361437">
              <w:rPr>
                <w:rFonts w:ascii="Arial" w:eastAsia="Calibri" w:hAnsi="Arial" w:cs="Arial"/>
                <w:color w:val="000000"/>
                <w:sz w:val="20"/>
              </w:rPr>
              <w:t>1781</w:t>
            </w:r>
            <w:r w:rsidRPr="00361437">
              <w:rPr>
                <w:rFonts w:ascii="Arial" w:eastAsia="Calibri" w:hAnsi="Arial" w:cs="Arial"/>
                <w:color w:val="000000"/>
                <w:sz w:val="20"/>
                <w:vertAlign w:val="superscript"/>
              </w:rPr>
              <w:t>*</w:t>
            </w:r>
            <w:r w:rsidR="001974C4" w:rsidRPr="00361437">
              <w:rPr>
                <w:rFonts w:ascii="Arial" w:eastAsia="Calibri" w:hAnsi="Arial" w:cs="Arial"/>
                <w:color w:val="000000"/>
                <w:sz w:val="20"/>
                <w:vertAlign w:val="superscript"/>
              </w:rPr>
              <w:t>*</w:t>
            </w:r>
            <w:r w:rsidRPr="00361437">
              <w:rPr>
                <w:rFonts w:ascii="Arial" w:eastAsia="Calibri" w:hAnsi="Arial" w:cs="Arial"/>
                <w:color w:val="000000"/>
                <w:sz w:val="20"/>
                <w:vertAlign w:val="superscript"/>
              </w:rPr>
              <w:t>*</w:t>
            </w:r>
          </w:p>
        </w:tc>
        <w:tc>
          <w:tcPr>
            <w:tcW w:w="546" w:type="pct"/>
            <w:vAlign w:val="center"/>
            <w:hideMark/>
          </w:tcPr>
          <w:p w14:paraId="17320E21" w14:textId="11F49110" w:rsidR="00CC0BF5" w:rsidRPr="00361437" w:rsidRDefault="00CC0BF5" w:rsidP="00CC0BF5">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1974C4" w:rsidRPr="00361437">
              <w:rPr>
                <w:rFonts w:ascii="Arial" w:eastAsia="Calibri" w:hAnsi="Arial" w:cs="Arial"/>
                <w:color w:val="000000"/>
                <w:sz w:val="20"/>
              </w:rPr>
              <w:t>013</w:t>
            </w:r>
          </w:p>
        </w:tc>
        <w:tc>
          <w:tcPr>
            <w:tcW w:w="125" w:type="pct"/>
            <w:vAlign w:val="center"/>
          </w:tcPr>
          <w:p w14:paraId="7654B923" w14:textId="77777777" w:rsidR="00CC0BF5" w:rsidRPr="00361437" w:rsidRDefault="00CC0BF5" w:rsidP="00CC0BF5">
            <w:pPr>
              <w:tabs>
                <w:tab w:val="decimal" w:pos="252"/>
              </w:tabs>
              <w:spacing w:line="256" w:lineRule="auto"/>
              <w:rPr>
                <w:rFonts w:ascii="Arial" w:eastAsia="Calibri" w:hAnsi="Arial" w:cs="Arial"/>
                <w:color w:val="000000"/>
                <w:sz w:val="20"/>
              </w:rPr>
            </w:pPr>
          </w:p>
        </w:tc>
        <w:tc>
          <w:tcPr>
            <w:tcW w:w="668" w:type="pct"/>
            <w:vAlign w:val="center"/>
            <w:hideMark/>
          </w:tcPr>
          <w:p w14:paraId="2B4F79EA" w14:textId="62554634" w:rsidR="00CC0BF5" w:rsidRPr="00361437" w:rsidRDefault="00CC0BF5" w:rsidP="00CC0BF5">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1974C4" w:rsidRPr="00361437">
              <w:rPr>
                <w:rFonts w:ascii="Arial" w:eastAsia="Calibri" w:hAnsi="Arial" w:cs="Arial"/>
                <w:color w:val="000000"/>
                <w:sz w:val="20"/>
              </w:rPr>
              <w:t>501</w:t>
            </w:r>
          </w:p>
        </w:tc>
        <w:tc>
          <w:tcPr>
            <w:tcW w:w="547" w:type="pct"/>
            <w:vAlign w:val="center"/>
            <w:hideMark/>
          </w:tcPr>
          <w:p w14:paraId="2304C5C6" w14:textId="6CB59378" w:rsidR="00CC0BF5" w:rsidRPr="00361437" w:rsidRDefault="00CC0BF5" w:rsidP="00CC0BF5">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w:t>
            </w:r>
            <w:r w:rsidR="001974C4" w:rsidRPr="00361437">
              <w:rPr>
                <w:rFonts w:ascii="Arial" w:eastAsia="Calibri" w:hAnsi="Arial" w:cs="Arial"/>
                <w:color w:val="000000"/>
                <w:sz w:val="20"/>
              </w:rPr>
              <w:t>2773</w:t>
            </w:r>
          </w:p>
        </w:tc>
      </w:tr>
      <w:tr w:rsidR="00CC0BF5" w:rsidRPr="00361437" w14:paraId="3FB18431" w14:textId="77777777" w:rsidTr="00032E88">
        <w:tc>
          <w:tcPr>
            <w:tcW w:w="1979" w:type="pct"/>
            <w:vAlign w:val="center"/>
          </w:tcPr>
          <w:p w14:paraId="461A914D" w14:textId="77777777" w:rsidR="00CC0BF5" w:rsidRPr="00361437" w:rsidRDefault="00CC0BF5" w:rsidP="00CC0BF5">
            <w:pPr>
              <w:spacing w:line="256" w:lineRule="auto"/>
              <w:rPr>
                <w:rFonts w:ascii="Arial" w:eastAsia="Times New Roman" w:hAnsi="Arial" w:cs="Arial"/>
                <w:sz w:val="20"/>
              </w:rPr>
            </w:pPr>
          </w:p>
        </w:tc>
        <w:tc>
          <w:tcPr>
            <w:tcW w:w="467" w:type="pct"/>
            <w:noWrap/>
          </w:tcPr>
          <w:p w14:paraId="04451C48" w14:textId="77777777" w:rsidR="00CC0BF5" w:rsidRPr="00361437" w:rsidRDefault="00CC0BF5" w:rsidP="00CC0BF5">
            <w:pPr>
              <w:spacing w:line="256" w:lineRule="auto"/>
              <w:rPr>
                <w:rFonts w:ascii="Arial" w:eastAsia="Times New Roman" w:hAnsi="Arial" w:cs="Arial"/>
                <w:sz w:val="20"/>
              </w:rPr>
            </w:pPr>
          </w:p>
        </w:tc>
        <w:tc>
          <w:tcPr>
            <w:tcW w:w="668" w:type="pct"/>
            <w:tcMar>
              <w:top w:w="0" w:type="dxa"/>
              <w:left w:w="14" w:type="dxa"/>
              <w:bottom w:w="0" w:type="dxa"/>
              <w:right w:w="14" w:type="dxa"/>
            </w:tcMar>
            <w:vAlign w:val="center"/>
          </w:tcPr>
          <w:p w14:paraId="6A5A9972" w14:textId="77777777" w:rsidR="00CC0BF5" w:rsidRPr="00361437" w:rsidRDefault="00CC0BF5" w:rsidP="00CC0BF5">
            <w:pPr>
              <w:tabs>
                <w:tab w:val="decimal" w:pos="390"/>
              </w:tabs>
              <w:spacing w:line="256" w:lineRule="auto"/>
              <w:rPr>
                <w:rFonts w:ascii="Arial" w:eastAsia="Calibri" w:hAnsi="Arial" w:cs="Arial"/>
                <w:color w:val="000000"/>
                <w:sz w:val="20"/>
              </w:rPr>
            </w:pPr>
          </w:p>
        </w:tc>
        <w:tc>
          <w:tcPr>
            <w:tcW w:w="546" w:type="pct"/>
            <w:vAlign w:val="center"/>
          </w:tcPr>
          <w:p w14:paraId="30BD9976" w14:textId="77777777" w:rsidR="00CC0BF5" w:rsidRPr="00361437" w:rsidRDefault="00CC0BF5" w:rsidP="00CC0BF5">
            <w:pPr>
              <w:tabs>
                <w:tab w:val="decimal" w:pos="252"/>
              </w:tabs>
              <w:spacing w:line="256" w:lineRule="auto"/>
              <w:rPr>
                <w:rFonts w:ascii="Arial" w:eastAsia="Calibri" w:hAnsi="Arial" w:cs="Arial"/>
                <w:color w:val="000000"/>
                <w:sz w:val="20"/>
              </w:rPr>
            </w:pPr>
          </w:p>
        </w:tc>
        <w:tc>
          <w:tcPr>
            <w:tcW w:w="125" w:type="pct"/>
            <w:vAlign w:val="center"/>
          </w:tcPr>
          <w:p w14:paraId="74B4FEAF" w14:textId="77777777" w:rsidR="00CC0BF5" w:rsidRPr="00361437" w:rsidRDefault="00CC0BF5" w:rsidP="00CC0BF5">
            <w:pPr>
              <w:tabs>
                <w:tab w:val="decimal" w:pos="252"/>
              </w:tabs>
              <w:spacing w:line="256" w:lineRule="auto"/>
              <w:rPr>
                <w:rFonts w:ascii="Arial" w:eastAsia="Calibri" w:hAnsi="Arial" w:cs="Arial"/>
                <w:color w:val="000000"/>
                <w:sz w:val="20"/>
              </w:rPr>
            </w:pPr>
          </w:p>
        </w:tc>
        <w:tc>
          <w:tcPr>
            <w:tcW w:w="668" w:type="pct"/>
            <w:vAlign w:val="center"/>
          </w:tcPr>
          <w:p w14:paraId="5E9B6FF7" w14:textId="77777777" w:rsidR="00CC0BF5" w:rsidRPr="00361437" w:rsidRDefault="00CC0BF5" w:rsidP="00CC0BF5">
            <w:pPr>
              <w:tabs>
                <w:tab w:val="decimal" w:pos="252"/>
              </w:tabs>
              <w:spacing w:line="256" w:lineRule="auto"/>
              <w:rPr>
                <w:rFonts w:ascii="Arial" w:eastAsia="Calibri" w:hAnsi="Arial" w:cs="Arial"/>
                <w:color w:val="000000"/>
                <w:sz w:val="20"/>
              </w:rPr>
            </w:pPr>
          </w:p>
        </w:tc>
        <w:tc>
          <w:tcPr>
            <w:tcW w:w="547" w:type="pct"/>
            <w:vAlign w:val="center"/>
          </w:tcPr>
          <w:p w14:paraId="0C234242" w14:textId="77777777" w:rsidR="00CC0BF5" w:rsidRPr="00361437" w:rsidRDefault="00CC0BF5" w:rsidP="00CC0BF5">
            <w:pPr>
              <w:tabs>
                <w:tab w:val="decimal" w:pos="252"/>
              </w:tabs>
              <w:spacing w:line="256" w:lineRule="auto"/>
              <w:rPr>
                <w:rFonts w:ascii="Arial" w:eastAsia="Calibri" w:hAnsi="Arial" w:cs="Arial"/>
                <w:color w:val="000000"/>
                <w:sz w:val="20"/>
              </w:rPr>
            </w:pPr>
          </w:p>
        </w:tc>
      </w:tr>
      <w:tr w:rsidR="00CC0BF5" w:rsidRPr="00361437" w14:paraId="1B2DF368" w14:textId="77777777" w:rsidTr="00032E88">
        <w:tc>
          <w:tcPr>
            <w:tcW w:w="1979" w:type="pct"/>
            <w:vAlign w:val="center"/>
            <w:hideMark/>
          </w:tcPr>
          <w:p w14:paraId="182917B5" w14:textId="77777777" w:rsidR="00CC0BF5" w:rsidRPr="00361437" w:rsidRDefault="00CC0BF5" w:rsidP="00CC0BF5">
            <w:pPr>
              <w:spacing w:line="256" w:lineRule="auto"/>
              <w:rPr>
                <w:rFonts w:ascii="Arial" w:eastAsia="Times New Roman" w:hAnsi="Arial" w:cs="Arial"/>
                <w:sz w:val="20"/>
              </w:rPr>
            </w:pPr>
            <w:r w:rsidRPr="00361437">
              <w:rPr>
                <w:rFonts w:ascii="Arial" w:eastAsia="Times New Roman" w:hAnsi="Arial" w:cs="Arial"/>
                <w:sz w:val="20"/>
              </w:rPr>
              <w:t>Creditor = ISS interests</w:t>
            </w:r>
          </w:p>
        </w:tc>
        <w:tc>
          <w:tcPr>
            <w:tcW w:w="467" w:type="pct"/>
            <w:noWrap/>
            <w:hideMark/>
          </w:tcPr>
          <w:p w14:paraId="7B7F2E4D" w14:textId="474FD325" w:rsidR="00CC0BF5" w:rsidRPr="00361437" w:rsidRDefault="00CC0BF5" w:rsidP="00CC0BF5">
            <w:pPr>
              <w:spacing w:line="256" w:lineRule="auto"/>
              <w:rPr>
                <w:rFonts w:ascii="Arial" w:eastAsia="Times New Roman" w:hAnsi="Arial" w:cs="Arial"/>
                <w:sz w:val="20"/>
              </w:rPr>
            </w:pPr>
            <w:r w:rsidRPr="00361437">
              <w:rPr>
                <w:rFonts w:ascii="Arial" w:eastAsia="Times New Roman" w:hAnsi="Arial" w:cs="Arial"/>
                <w:sz w:val="20"/>
              </w:rPr>
              <w:t>12,659</w:t>
            </w:r>
          </w:p>
        </w:tc>
        <w:tc>
          <w:tcPr>
            <w:tcW w:w="668" w:type="pct"/>
            <w:tcMar>
              <w:top w:w="0" w:type="dxa"/>
              <w:left w:w="14" w:type="dxa"/>
              <w:bottom w:w="0" w:type="dxa"/>
              <w:right w:w="14" w:type="dxa"/>
            </w:tcMar>
            <w:vAlign w:val="center"/>
            <w:hideMark/>
          </w:tcPr>
          <w:p w14:paraId="59203EFA" w14:textId="37CEA86D" w:rsidR="00CC0BF5" w:rsidRPr="00361437" w:rsidRDefault="00CC0BF5" w:rsidP="00CC0BF5">
            <w:pPr>
              <w:tabs>
                <w:tab w:val="decimal" w:pos="390"/>
              </w:tabs>
              <w:spacing w:line="256" w:lineRule="auto"/>
              <w:rPr>
                <w:rFonts w:ascii="Arial" w:eastAsia="Calibri" w:hAnsi="Arial" w:cs="Arial"/>
                <w:color w:val="000000"/>
                <w:sz w:val="20"/>
              </w:rPr>
            </w:pPr>
            <w:r w:rsidRPr="00361437">
              <w:rPr>
                <w:rFonts w:ascii="Arial" w:eastAsia="Calibri" w:hAnsi="Arial" w:cs="Arial"/>
                <w:color w:val="000000"/>
                <w:sz w:val="20"/>
              </w:rPr>
              <w:t>0.1</w:t>
            </w:r>
            <w:r w:rsidR="001974C4" w:rsidRPr="00361437">
              <w:rPr>
                <w:rFonts w:ascii="Arial" w:eastAsia="Calibri" w:hAnsi="Arial" w:cs="Arial"/>
                <w:color w:val="000000"/>
                <w:sz w:val="20"/>
              </w:rPr>
              <w:t>567</w:t>
            </w:r>
            <w:r w:rsidRPr="00361437">
              <w:rPr>
                <w:rFonts w:ascii="Arial" w:eastAsia="Calibri" w:hAnsi="Arial" w:cs="Arial"/>
                <w:color w:val="000000"/>
                <w:sz w:val="20"/>
                <w:vertAlign w:val="superscript"/>
              </w:rPr>
              <w:t>*</w:t>
            </w:r>
            <w:r w:rsidR="001974C4" w:rsidRPr="00361437">
              <w:rPr>
                <w:rFonts w:ascii="Arial" w:eastAsia="Calibri" w:hAnsi="Arial" w:cs="Arial"/>
                <w:color w:val="000000"/>
                <w:sz w:val="20"/>
                <w:vertAlign w:val="superscript"/>
              </w:rPr>
              <w:t>*</w:t>
            </w:r>
            <w:r w:rsidRPr="00361437">
              <w:rPr>
                <w:rFonts w:ascii="Arial" w:eastAsia="Calibri" w:hAnsi="Arial" w:cs="Arial"/>
                <w:color w:val="000000"/>
                <w:sz w:val="20"/>
                <w:vertAlign w:val="superscript"/>
              </w:rPr>
              <w:t>*</w:t>
            </w:r>
          </w:p>
        </w:tc>
        <w:tc>
          <w:tcPr>
            <w:tcW w:w="546" w:type="pct"/>
            <w:vAlign w:val="center"/>
            <w:hideMark/>
          </w:tcPr>
          <w:p w14:paraId="451CD22A" w14:textId="46094174" w:rsidR="00CC0BF5" w:rsidRPr="00361437" w:rsidRDefault="00CC0BF5" w:rsidP="00CC0BF5">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1974C4" w:rsidRPr="00361437">
              <w:rPr>
                <w:rFonts w:ascii="Arial" w:eastAsia="Calibri" w:hAnsi="Arial" w:cs="Arial"/>
                <w:color w:val="000000"/>
                <w:sz w:val="20"/>
              </w:rPr>
              <w:t>000</w:t>
            </w:r>
          </w:p>
        </w:tc>
        <w:tc>
          <w:tcPr>
            <w:tcW w:w="125" w:type="pct"/>
            <w:vAlign w:val="center"/>
          </w:tcPr>
          <w:p w14:paraId="7DB76AD3" w14:textId="77777777" w:rsidR="00CC0BF5" w:rsidRPr="00361437" w:rsidRDefault="00CC0BF5" w:rsidP="00CC0BF5">
            <w:pPr>
              <w:tabs>
                <w:tab w:val="decimal" w:pos="252"/>
              </w:tabs>
              <w:spacing w:line="256" w:lineRule="auto"/>
              <w:rPr>
                <w:rFonts w:ascii="Arial" w:eastAsia="Calibri" w:hAnsi="Arial" w:cs="Arial"/>
                <w:color w:val="000000"/>
                <w:sz w:val="20"/>
              </w:rPr>
            </w:pPr>
          </w:p>
        </w:tc>
        <w:tc>
          <w:tcPr>
            <w:tcW w:w="668" w:type="pct"/>
            <w:vAlign w:val="center"/>
            <w:hideMark/>
          </w:tcPr>
          <w:p w14:paraId="008A0B21" w14:textId="7537E67F" w:rsidR="00CC0BF5" w:rsidRPr="00361437" w:rsidRDefault="00CC0BF5" w:rsidP="00CC0BF5">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1974C4" w:rsidRPr="00361437">
              <w:rPr>
                <w:rFonts w:ascii="Arial" w:eastAsia="Calibri" w:hAnsi="Arial" w:cs="Arial"/>
                <w:color w:val="000000"/>
                <w:sz w:val="20"/>
              </w:rPr>
              <w:t>457</w:t>
            </w:r>
          </w:p>
        </w:tc>
        <w:tc>
          <w:tcPr>
            <w:tcW w:w="547" w:type="pct"/>
            <w:vAlign w:val="center"/>
            <w:hideMark/>
          </w:tcPr>
          <w:p w14:paraId="4AD9A8CF" w14:textId="7FE1D20B" w:rsidR="00CC0BF5" w:rsidRPr="00361437" w:rsidRDefault="00CC0BF5" w:rsidP="00CC0BF5">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w:t>
            </w:r>
            <w:r w:rsidR="001974C4" w:rsidRPr="00361437">
              <w:rPr>
                <w:rFonts w:ascii="Arial" w:eastAsia="Calibri" w:hAnsi="Arial" w:cs="Arial"/>
                <w:color w:val="000000"/>
                <w:sz w:val="20"/>
              </w:rPr>
              <w:t>2845</w:t>
            </w:r>
          </w:p>
        </w:tc>
      </w:tr>
      <w:tr w:rsidR="00CC0BF5" w:rsidRPr="00361437" w14:paraId="5994D776" w14:textId="77777777" w:rsidTr="00032E88">
        <w:tc>
          <w:tcPr>
            <w:tcW w:w="1979" w:type="pct"/>
            <w:tcBorders>
              <w:top w:val="nil"/>
              <w:left w:val="nil"/>
              <w:bottom w:val="single" w:sz="4" w:space="0" w:color="auto"/>
              <w:right w:val="nil"/>
            </w:tcBorders>
            <w:vAlign w:val="center"/>
            <w:hideMark/>
          </w:tcPr>
          <w:p w14:paraId="4CDF926E" w14:textId="77777777" w:rsidR="00CC0BF5" w:rsidRPr="00361437" w:rsidRDefault="00CC0BF5" w:rsidP="00CC0BF5">
            <w:pPr>
              <w:spacing w:line="256" w:lineRule="auto"/>
              <w:rPr>
                <w:rFonts w:ascii="Arial" w:eastAsia="Times New Roman" w:hAnsi="Arial" w:cs="Arial"/>
                <w:sz w:val="20"/>
              </w:rPr>
            </w:pPr>
            <w:r w:rsidRPr="00361437">
              <w:rPr>
                <w:rFonts w:ascii="Arial" w:eastAsia="Times New Roman" w:hAnsi="Arial" w:cs="Arial"/>
                <w:sz w:val="20"/>
              </w:rPr>
              <w:t>Creditor ≠ ISS interests</w:t>
            </w:r>
          </w:p>
        </w:tc>
        <w:tc>
          <w:tcPr>
            <w:tcW w:w="467" w:type="pct"/>
            <w:tcBorders>
              <w:top w:val="nil"/>
              <w:left w:val="nil"/>
              <w:bottom w:val="single" w:sz="4" w:space="0" w:color="auto"/>
              <w:right w:val="nil"/>
            </w:tcBorders>
            <w:noWrap/>
            <w:hideMark/>
          </w:tcPr>
          <w:p w14:paraId="380161E6" w14:textId="041884C4" w:rsidR="00CC0BF5" w:rsidRPr="00361437" w:rsidRDefault="00CC0BF5" w:rsidP="00CC0BF5">
            <w:pPr>
              <w:spacing w:line="256" w:lineRule="auto"/>
              <w:rPr>
                <w:rFonts w:ascii="Arial" w:eastAsia="Times New Roman" w:hAnsi="Arial" w:cs="Arial"/>
                <w:sz w:val="20"/>
              </w:rPr>
            </w:pPr>
            <w:r w:rsidRPr="00361437">
              <w:rPr>
                <w:rFonts w:ascii="Arial" w:eastAsia="Times New Roman" w:hAnsi="Arial" w:cs="Arial"/>
                <w:sz w:val="20"/>
              </w:rPr>
              <w:t>40,086</w:t>
            </w:r>
          </w:p>
        </w:tc>
        <w:tc>
          <w:tcPr>
            <w:tcW w:w="668" w:type="pct"/>
            <w:tcBorders>
              <w:top w:val="nil"/>
              <w:left w:val="nil"/>
              <w:bottom w:val="single" w:sz="4" w:space="0" w:color="auto"/>
              <w:right w:val="nil"/>
            </w:tcBorders>
            <w:tcMar>
              <w:top w:w="0" w:type="dxa"/>
              <w:left w:w="14" w:type="dxa"/>
              <w:bottom w:w="0" w:type="dxa"/>
              <w:right w:w="14" w:type="dxa"/>
            </w:tcMar>
            <w:vAlign w:val="center"/>
            <w:hideMark/>
          </w:tcPr>
          <w:p w14:paraId="28158986" w14:textId="348A754D" w:rsidR="00CC0BF5" w:rsidRPr="00361437" w:rsidRDefault="00CC0BF5" w:rsidP="00CC0BF5">
            <w:pPr>
              <w:tabs>
                <w:tab w:val="decimal" w:pos="390"/>
              </w:tabs>
              <w:spacing w:line="256" w:lineRule="auto"/>
              <w:rPr>
                <w:rFonts w:ascii="Arial" w:eastAsia="Calibri" w:hAnsi="Arial" w:cs="Arial"/>
                <w:color w:val="000000"/>
                <w:sz w:val="20"/>
              </w:rPr>
            </w:pPr>
            <w:r w:rsidRPr="00361437">
              <w:rPr>
                <w:rFonts w:ascii="Arial" w:eastAsia="Calibri" w:hAnsi="Arial" w:cs="Arial"/>
                <w:color w:val="000000"/>
                <w:sz w:val="20"/>
              </w:rPr>
              <w:t>0.1</w:t>
            </w:r>
            <w:r w:rsidR="001974C4" w:rsidRPr="00361437">
              <w:rPr>
                <w:rFonts w:ascii="Arial" w:eastAsia="Calibri" w:hAnsi="Arial" w:cs="Arial"/>
                <w:color w:val="000000"/>
                <w:sz w:val="20"/>
              </w:rPr>
              <w:t>364</w:t>
            </w:r>
            <w:r w:rsidRPr="00361437">
              <w:rPr>
                <w:rFonts w:ascii="Arial" w:eastAsia="Calibri" w:hAnsi="Arial" w:cs="Arial"/>
                <w:color w:val="000000"/>
                <w:sz w:val="20"/>
                <w:vertAlign w:val="superscript"/>
              </w:rPr>
              <w:t>**</w:t>
            </w:r>
          </w:p>
        </w:tc>
        <w:tc>
          <w:tcPr>
            <w:tcW w:w="546" w:type="pct"/>
            <w:tcBorders>
              <w:top w:val="nil"/>
              <w:left w:val="nil"/>
              <w:bottom w:val="single" w:sz="4" w:space="0" w:color="auto"/>
              <w:right w:val="nil"/>
            </w:tcBorders>
            <w:vAlign w:val="center"/>
            <w:hideMark/>
          </w:tcPr>
          <w:p w14:paraId="5D49B2C5" w14:textId="339E2507" w:rsidR="00CC0BF5" w:rsidRPr="00361437" w:rsidRDefault="00CC0BF5" w:rsidP="00CC0BF5">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1974C4" w:rsidRPr="00361437">
              <w:rPr>
                <w:rFonts w:ascii="Arial" w:eastAsia="Calibri" w:hAnsi="Arial" w:cs="Arial"/>
                <w:color w:val="000000"/>
                <w:sz w:val="20"/>
              </w:rPr>
              <w:t>121</w:t>
            </w:r>
          </w:p>
        </w:tc>
        <w:tc>
          <w:tcPr>
            <w:tcW w:w="125" w:type="pct"/>
            <w:tcBorders>
              <w:top w:val="nil"/>
              <w:left w:val="nil"/>
              <w:bottom w:val="single" w:sz="4" w:space="0" w:color="auto"/>
              <w:right w:val="nil"/>
            </w:tcBorders>
            <w:vAlign w:val="center"/>
          </w:tcPr>
          <w:p w14:paraId="6F5C0847" w14:textId="77777777" w:rsidR="00CC0BF5" w:rsidRPr="00361437" w:rsidRDefault="00CC0BF5" w:rsidP="00CC0BF5">
            <w:pPr>
              <w:tabs>
                <w:tab w:val="decimal" w:pos="252"/>
              </w:tabs>
              <w:spacing w:line="256" w:lineRule="auto"/>
              <w:rPr>
                <w:rFonts w:ascii="Arial" w:eastAsia="Calibri" w:hAnsi="Arial" w:cs="Arial"/>
                <w:color w:val="000000"/>
                <w:sz w:val="20"/>
              </w:rPr>
            </w:pPr>
          </w:p>
        </w:tc>
        <w:tc>
          <w:tcPr>
            <w:tcW w:w="668" w:type="pct"/>
            <w:tcBorders>
              <w:top w:val="nil"/>
              <w:left w:val="nil"/>
              <w:bottom w:val="single" w:sz="4" w:space="0" w:color="auto"/>
              <w:right w:val="nil"/>
            </w:tcBorders>
            <w:vAlign w:val="center"/>
            <w:hideMark/>
          </w:tcPr>
          <w:p w14:paraId="38B68E65" w14:textId="2C426306" w:rsidR="00CC0BF5" w:rsidRPr="00361437" w:rsidRDefault="00CC0BF5" w:rsidP="00CC0BF5">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1974C4" w:rsidRPr="00361437">
              <w:rPr>
                <w:rFonts w:ascii="Arial" w:eastAsia="Calibri" w:hAnsi="Arial" w:cs="Arial"/>
                <w:color w:val="000000"/>
                <w:sz w:val="20"/>
              </w:rPr>
              <w:t>383</w:t>
            </w:r>
          </w:p>
        </w:tc>
        <w:tc>
          <w:tcPr>
            <w:tcW w:w="547" w:type="pct"/>
            <w:tcBorders>
              <w:top w:val="nil"/>
              <w:left w:val="nil"/>
              <w:bottom w:val="single" w:sz="4" w:space="0" w:color="auto"/>
              <w:right w:val="nil"/>
            </w:tcBorders>
            <w:vAlign w:val="center"/>
            <w:hideMark/>
          </w:tcPr>
          <w:p w14:paraId="4E81833F" w14:textId="5DD818A2" w:rsidR="00CC0BF5" w:rsidRPr="00361437" w:rsidRDefault="00CC0BF5" w:rsidP="00CC0BF5">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0.5</w:t>
            </w:r>
            <w:r w:rsidR="001974C4" w:rsidRPr="00361437">
              <w:rPr>
                <w:rFonts w:ascii="Arial" w:eastAsia="Calibri" w:hAnsi="Arial" w:cs="Arial"/>
                <w:color w:val="000000"/>
                <w:sz w:val="20"/>
              </w:rPr>
              <w:t>472</w:t>
            </w:r>
          </w:p>
        </w:tc>
      </w:tr>
    </w:tbl>
    <w:p w14:paraId="3E1A9FF6" w14:textId="77777777" w:rsidR="00032E88" w:rsidRPr="00361437" w:rsidRDefault="00032E88" w:rsidP="00032E88">
      <w:pPr>
        <w:rPr>
          <w:rFonts w:ascii="Arial" w:eastAsia="Calibri" w:hAnsi="Arial" w:cs="Arial"/>
          <w:sz w:val="10"/>
        </w:rPr>
      </w:pPr>
    </w:p>
    <w:p w14:paraId="1E776EE5" w14:textId="77777777" w:rsidR="00032E88" w:rsidRPr="00361437" w:rsidRDefault="00032E88" w:rsidP="00032E88">
      <w:pPr>
        <w:rPr>
          <w:rFonts w:ascii="Arial" w:eastAsia="Calibri" w:hAnsi="Arial" w:cs="Arial"/>
          <w:b/>
          <w:sz w:val="20"/>
        </w:rPr>
      </w:pPr>
    </w:p>
    <w:p w14:paraId="66E60874" w14:textId="77777777" w:rsidR="00032E88" w:rsidRPr="00361437" w:rsidRDefault="00032E88" w:rsidP="00032E88">
      <w:pPr>
        <w:spacing w:after="160" w:line="256" w:lineRule="auto"/>
        <w:rPr>
          <w:rFonts w:ascii="Arial" w:eastAsia="Calibri" w:hAnsi="Arial" w:cs="Arial"/>
          <w:b/>
          <w:sz w:val="20"/>
        </w:rPr>
      </w:pPr>
      <w:r w:rsidRPr="00361437">
        <w:rPr>
          <w:rFonts w:ascii="Arial" w:eastAsia="Calibri" w:hAnsi="Arial" w:cs="Arial"/>
          <w:b/>
          <w:sz w:val="20"/>
        </w:rPr>
        <w:br w:type="page"/>
      </w:r>
    </w:p>
    <w:p w14:paraId="21DF2C00" w14:textId="77777777" w:rsidR="00032E88" w:rsidRPr="00361437" w:rsidRDefault="00032E88" w:rsidP="00032E88">
      <w:pPr>
        <w:rPr>
          <w:rFonts w:ascii="Arial" w:eastAsia="Calibri" w:hAnsi="Arial" w:cs="Arial"/>
          <w:b/>
          <w:sz w:val="20"/>
        </w:rPr>
        <w:sectPr w:rsidR="00032E88" w:rsidRPr="00361437" w:rsidSect="000E77D9">
          <w:pgSz w:w="11906" w:h="16838"/>
          <w:pgMar w:top="1440" w:right="1440" w:bottom="1440" w:left="1440" w:header="708" w:footer="0" w:gutter="0"/>
          <w:cols w:space="720"/>
        </w:sectPr>
      </w:pPr>
    </w:p>
    <w:p w14:paraId="5EC752E4" w14:textId="77777777" w:rsidR="006F39AD" w:rsidRPr="00361437" w:rsidRDefault="00032E88" w:rsidP="006F39AD">
      <w:pPr>
        <w:pBdr>
          <w:top w:val="single" w:sz="4" w:space="1" w:color="auto"/>
        </w:pBdr>
        <w:jc w:val="center"/>
        <w:rPr>
          <w:rFonts w:ascii="Arial" w:eastAsia="Calibri" w:hAnsi="Arial" w:cs="Arial"/>
          <w:sz w:val="24"/>
        </w:rPr>
      </w:pPr>
      <w:r w:rsidRPr="00361437">
        <w:rPr>
          <w:rFonts w:ascii="Arial" w:eastAsia="Calibri" w:hAnsi="Arial" w:cs="Arial"/>
          <w:sz w:val="24"/>
        </w:rPr>
        <w:lastRenderedPageBreak/>
        <w:t>T</w:t>
      </w:r>
      <w:r w:rsidR="006F39AD" w:rsidRPr="00361437">
        <w:rPr>
          <w:rFonts w:ascii="Arial" w:eastAsia="Calibri" w:hAnsi="Arial" w:cs="Arial"/>
          <w:sz w:val="24"/>
        </w:rPr>
        <w:t>ABLE</w:t>
      </w:r>
      <w:r w:rsidRPr="00361437">
        <w:rPr>
          <w:rFonts w:ascii="Arial" w:eastAsia="Calibri" w:hAnsi="Arial" w:cs="Arial"/>
          <w:sz w:val="24"/>
        </w:rPr>
        <w:t xml:space="preserve"> 6</w:t>
      </w:r>
    </w:p>
    <w:p w14:paraId="09A7B805" w14:textId="414C9F78" w:rsidR="00032E88" w:rsidRPr="00361437" w:rsidRDefault="00032E88" w:rsidP="006F39AD">
      <w:pPr>
        <w:pBdr>
          <w:bottom w:val="single" w:sz="4" w:space="1" w:color="auto"/>
        </w:pBdr>
        <w:jc w:val="center"/>
        <w:rPr>
          <w:rFonts w:ascii="Arial" w:eastAsia="Calibri" w:hAnsi="Arial" w:cs="Arial"/>
          <w:sz w:val="24"/>
        </w:rPr>
      </w:pPr>
      <w:r w:rsidRPr="00361437">
        <w:rPr>
          <w:rFonts w:ascii="Arial" w:eastAsia="Calibri" w:hAnsi="Arial" w:cs="Arial"/>
          <w:sz w:val="24"/>
        </w:rPr>
        <w:t xml:space="preserve">The </w:t>
      </w:r>
      <w:r w:rsidR="006F39AD" w:rsidRPr="00361437">
        <w:rPr>
          <w:rFonts w:ascii="Arial" w:eastAsia="Calibri" w:hAnsi="Arial" w:cs="Arial"/>
          <w:sz w:val="24"/>
        </w:rPr>
        <w:t>E</w:t>
      </w:r>
      <w:r w:rsidRPr="00361437">
        <w:rPr>
          <w:rFonts w:ascii="Arial" w:eastAsia="Calibri" w:hAnsi="Arial" w:cs="Arial"/>
          <w:sz w:val="24"/>
        </w:rPr>
        <w:t xml:space="preserve">ffects of </w:t>
      </w:r>
      <w:r w:rsidR="006F39AD" w:rsidRPr="00361437">
        <w:rPr>
          <w:rFonts w:ascii="Arial" w:eastAsia="Calibri" w:hAnsi="Arial" w:cs="Arial"/>
          <w:sz w:val="24"/>
        </w:rPr>
        <w:t>D</w:t>
      </w:r>
      <w:r w:rsidRPr="00361437">
        <w:rPr>
          <w:rFonts w:ascii="Arial" w:eastAsia="Calibri" w:hAnsi="Arial" w:cs="Arial"/>
          <w:sz w:val="24"/>
        </w:rPr>
        <w:t xml:space="preserve">ebt </w:t>
      </w:r>
      <w:r w:rsidR="006F39AD" w:rsidRPr="00361437">
        <w:rPr>
          <w:rFonts w:ascii="Arial" w:eastAsia="Calibri" w:hAnsi="Arial" w:cs="Arial"/>
          <w:sz w:val="24"/>
        </w:rPr>
        <w:t>H</w:t>
      </w:r>
      <w:r w:rsidRPr="00361437">
        <w:rPr>
          <w:rFonts w:ascii="Arial" w:eastAsia="Calibri" w:hAnsi="Arial" w:cs="Arial"/>
          <w:sz w:val="24"/>
        </w:rPr>
        <w:t xml:space="preserve">oldings on </w:t>
      </w:r>
      <w:r w:rsidR="006F39AD" w:rsidRPr="00361437">
        <w:rPr>
          <w:rFonts w:ascii="Arial" w:eastAsia="Calibri" w:hAnsi="Arial" w:cs="Arial"/>
          <w:sz w:val="24"/>
        </w:rPr>
        <w:t>V</w:t>
      </w:r>
      <w:r w:rsidRPr="00361437">
        <w:rPr>
          <w:rFonts w:ascii="Arial" w:eastAsia="Calibri" w:hAnsi="Arial" w:cs="Arial"/>
          <w:sz w:val="24"/>
        </w:rPr>
        <w:t xml:space="preserve">oting </w:t>
      </w:r>
      <w:r w:rsidR="006F39AD" w:rsidRPr="00361437">
        <w:rPr>
          <w:rFonts w:ascii="Arial" w:eastAsia="Calibri" w:hAnsi="Arial" w:cs="Arial"/>
          <w:sz w:val="24"/>
        </w:rPr>
        <w:t>U</w:t>
      </w:r>
      <w:r w:rsidRPr="00361437">
        <w:rPr>
          <w:rFonts w:ascii="Arial" w:eastAsia="Calibri" w:hAnsi="Arial" w:cs="Arial"/>
          <w:sz w:val="24"/>
        </w:rPr>
        <w:t xml:space="preserve">sing </w:t>
      </w:r>
      <w:r w:rsidR="00845236" w:rsidRPr="00361437">
        <w:rPr>
          <w:rFonts w:ascii="Arial" w:eastAsia="Calibri" w:hAnsi="Arial" w:cs="Arial"/>
          <w:sz w:val="24"/>
        </w:rPr>
        <w:t xml:space="preserve">an </w:t>
      </w:r>
      <w:r w:rsidR="006F39AD" w:rsidRPr="00361437">
        <w:rPr>
          <w:rFonts w:ascii="Arial" w:eastAsia="Calibri" w:hAnsi="Arial" w:cs="Arial"/>
          <w:sz w:val="24"/>
        </w:rPr>
        <w:t>Instrumental Variables A</w:t>
      </w:r>
      <w:r w:rsidRPr="00361437">
        <w:rPr>
          <w:rFonts w:ascii="Arial" w:eastAsia="Calibri" w:hAnsi="Arial" w:cs="Arial"/>
          <w:sz w:val="24"/>
        </w:rPr>
        <w:t>pproach</w:t>
      </w:r>
    </w:p>
    <w:p w14:paraId="024B5E41" w14:textId="77777777" w:rsidR="00032E88" w:rsidRPr="00361437" w:rsidRDefault="00032E88" w:rsidP="00032E88">
      <w:pPr>
        <w:rPr>
          <w:rFonts w:ascii="Arial" w:eastAsia="Calibri" w:hAnsi="Arial" w:cs="Arial"/>
          <w:sz w:val="20"/>
        </w:rPr>
      </w:pPr>
    </w:p>
    <w:p w14:paraId="206B8D33" w14:textId="43CE4D0B" w:rsidR="00032E88" w:rsidRPr="00361437" w:rsidRDefault="00032E88" w:rsidP="00032E88">
      <w:pPr>
        <w:jc w:val="both"/>
        <w:rPr>
          <w:rFonts w:ascii="Arial" w:eastAsia="Calibri" w:hAnsi="Arial" w:cs="Arial"/>
          <w:sz w:val="20"/>
        </w:rPr>
      </w:pPr>
      <w:r w:rsidRPr="00361437">
        <w:rPr>
          <w:rFonts w:ascii="Arial" w:eastAsia="Calibri" w:hAnsi="Arial" w:cs="Arial"/>
          <w:sz w:val="20"/>
        </w:rPr>
        <w:t xml:space="preserve">We report </w:t>
      </w:r>
      <w:r w:rsidR="003C26E1" w:rsidRPr="00361437">
        <w:rPr>
          <w:rFonts w:ascii="Arial" w:eastAsia="Calibri" w:hAnsi="Arial" w:cs="Arial"/>
          <w:sz w:val="20"/>
        </w:rPr>
        <w:t xml:space="preserve">the results of a </w:t>
      </w:r>
      <w:r w:rsidRPr="00361437">
        <w:rPr>
          <w:rFonts w:ascii="Arial" w:eastAsia="Calibri" w:hAnsi="Arial" w:cs="Arial"/>
          <w:sz w:val="20"/>
        </w:rPr>
        <w:t>two</w:t>
      </w:r>
      <w:r w:rsidR="00212134" w:rsidRPr="00361437">
        <w:rPr>
          <w:rFonts w:ascii="Arial" w:eastAsia="Calibri" w:hAnsi="Arial" w:cs="Arial"/>
          <w:sz w:val="20"/>
        </w:rPr>
        <w:t>-</w:t>
      </w:r>
      <w:r w:rsidRPr="00361437">
        <w:rPr>
          <w:rFonts w:ascii="Arial" w:eastAsia="Calibri" w:hAnsi="Arial" w:cs="Arial"/>
          <w:sz w:val="20"/>
        </w:rPr>
        <w:t>stage regression</w:t>
      </w:r>
      <w:r w:rsidR="008E006B" w:rsidRPr="00361437">
        <w:rPr>
          <w:rFonts w:ascii="Arial" w:eastAsia="Calibri" w:hAnsi="Arial" w:cs="Arial"/>
          <w:sz w:val="20"/>
        </w:rPr>
        <w:t>: the first stage models</w:t>
      </w:r>
      <w:r w:rsidRPr="00361437">
        <w:rPr>
          <w:rFonts w:ascii="Arial" w:eastAsia="Calibri" w:hAnsi="Arial" w:cs="Arial"/>
          <w:sz w:val="20"/>
        </w:rPr>
        <w:t xml:space="preserve"> the determinants of the fund </w:t>
      </w:r>
      <w:r w:rsidR="006072A7" w:rsidRPr="00361437">
        <w:rPr>
          <w:rFonts w:ascii="Arial" w:eastAsia="Calibri" w:hAnsi="Arial" w:cs="Arial"/>
          <w:sz w:val="20"/>
        </w:rPr>
        <w:t>family debt fraction</w:t>
      </w:r>
      <w:r w:rsidR="008E006B" w:rsidRPr="00361437">
        <w:rPr>
          <w:rFonts w:ascii="Arial" w:eastAsia="Calibri" w:hAnsi="Arial" w:cs="Arial"/>
          <w:sz w:val="20"/>
        </w:rPr>
        <w:t xml:space="preserve">; the second stage models the </w:t>
      </w:r>
      <w:r w:rsidRPr="00361437">
        <w:rPr>
          <w:rFonts w:ascii="Arial" w:eastAsia="Calibri" w:hAnsi="Arial" w:cs="Arial"/>
          <w:sz w:val="20"/>
        </w:rPr>
        <w:t xml:space="preserve">voting outcomes. In models 1 and 2, we estimate the first stage OLS effect of the creation of new debt funds on debt fraction and its interaction with distress following Woodridge (2002). In model 3, we present the second stage using the </w:t>
      </w:r>
      <w:r w:rsidR="006072A7" w:rsidRPr="00361437">
        <w:rPr>
          <w:rFonts w:ascii="Arial" w:eastAsia="Calibri" w:hAnsi="Arial" w:cs="Arial"/>
          <w:sz w:val="20"/>
        </w:rPr>
        <w:t>fund family debt fraction</w:t>
      </w:r>
      <w:r w:rsidRPr="00361437">
        <w:rPr>
          <w:rFonts w:ascii="Arial" w:eastAsia="Calibri" w:hAnsi="Arial" w:cs="Arial"/>
          <w:sz w:val="20"/>
        </w:rPr>
        <w:t xml:space="preserve"> and its interaction instrumented from the first stage in Models 1 and 2. The second stage dependent variable is </w:t>
      </w:r>
      <w:r w:rsidR="006072A7" w:rsidRPr="00361437">
        <w:rPr>
          <w:rFonts w:ascii="Arial" w:eastAsia="Calibri" w:hAnsi="Arial" w:cs="Arial"/>
          <w:iCs/>
          <w:sz w:val="20"/>
        </w:rPr>
        <w:t>VOTE_WITH_CREDITORS_(0,1)</w:t>
      </w:r>
      <w:r w:rsidRPr="00361437">
        <w:rPr>
          <w:rFonts w:ascii="Arial" w:eastAsia="Calibri" w:hAnsi="Arial" w:cs="Arial"/>
          <w:sz w:val="20"/>
        </w:rPr>
        <w:t xml:space="preserve">, which equals one if a given fund family casts more than 50% of the votes of its funds in favor of creditors for the given proposal concerned and zero otherwise. Models 1 and 2 control for (industry × year) fixed effects. Model 3 controls for fund family fixed effects and (proposal type × year) fixed effects. </w:t>
      </w:r>
      <w:r w:rsidR="006072A7" w:rsidRPr="00361437">
        <w:rPr>
          <w:rFonts w:ascii="Arial" w:eastAsia="Calibri" w:hAnsi="Arial" w:cs="Arial"/>
          <w:sz w:val="20"/>
        </w:rPr>
        <w:t>NEW_DEBT_FUND_(0,1)</w:t>
      </w:r>
      <w:r w:rsidRPr="00361437">
        <w:rPr>
          <w:rFonts w:ascii="Arial" w:eastAsia="Calibri" w:hAnsi="Arial" w:cs="Arial"/>
          <w:sz w:val="20"/>
        </w:rPr>
        <w:t xml:space="preserve"> equals one if a given fund family with an ownership stake in the firm opens a new debt fund in the year concerned. All other variables are defined in</w:t>
      </w:r>
      <w:r w:rsidR="00D10EEF" w:rsidRPr="00361437">
        <w:rPr>
          <w:rFonts w:ascii="Arial" w:eastAsia="Calibri" w:hAnsi="Arial" w:cs="Arial"/>
          <w:sz w:val="20"/>
        </w:rPr>
        <w:t xml:space="preserve"> the</w:t>
      </w:r>
      <w:r w:rsidRPr="00361437">
        <w:rPr>
          <w:rFonts w:ascii="Arial" w:eastAsia="Calibri" w:hAnsi="Arial" w:cs="Arial"/>
          <w:sz w:val="20"/>
        </w:rPr>
        <w:t xml:space="preserve"> Appendix. Standard errors are </w:t>
      </w:r>
      <w:r w:rsidR="001316B6" w:rsidRPr="00361437">
        <w:rPr>
          <w:rFonts w:ascii="Arial" w:eastAsia="Calibri" w:hAnsi="Arial" w:cs="Arial"/>
          <w:sz w:val="20"/>
        </w:rPr>
        <w:t>clustered</w:t>
      </w:r>
      <w:r w:rsidRPr="00361437">
        <w:rPr>
          <w:rFonts w:ascii="Arial" w:eastAsia="Calibri" w:hAnsi="Arial" w:cs="Arial"/>
          <w:sz w:val="20"/>
        </w:rPr>
        <w:t xml:space="preserve"> by fund family.  </w:t>
      </w:r>
      <w:r w:rsidRPr="00361437">
        <w:rPr>
          <w:rFonts w:ascii="Arial" w:eastAsia="Calibri" w:hAnsi="Arial" w:cs="Arial"/>
          <w:sz w:val="20"/>
          <w:vertAlign w:val="superscript"/>
        </w:rPr>
        <w:t>*</w:t>
      </w:r>
      <w:r w:rsidRPr="00361437">
        <w:rPr>
          <w:rFonts w:ascii="Arial" w:eastAsia="Calibri" w:hAnsi="Arial" w:cs="Arial"/>
          <w:sz w:val="20"/>
        </w:rPr>
        <w:t xml:space="preserve">, </w:t>
      </w:r>
      <w:r w:rsidRPr="00361437">
        <w:rPr>
          <w:rFonts w:ascii="Arial" w:eastAsia="Calibri" w:hAnsi="Arial" w:cs="Arial"/>
          <w:sz w:val="20"/>
          <w:vertAlign w:val="superscript"/>
        </w:rPr>
        <w:t>**</w:t>
      </w:r>
      <w:r w:rsidRPr="00361437">
        <w:rPr>
          <w:rFonts w:ascii="Arial" w:eastAsia="Calibri" w:hAnsi="Arial" w:cs="Arial"/>
          <w:sz w:val="20"/>
        </w:rPr>
        <w:t xml:space="preserve">, and </w:t>
      </w:r>
      <w:r w:rsidRPr="00361437">
        <w:rPr>
          <w:rFonts w:ascii="Arial" w:eastAsia="Calibri" w:hAnsi="Arial" w:cs="Arial"/>
          <w:sz w:val="20"/>
          <w:vertAlign w:val="superscript"/>
        </w:rPr>
        <w:t>***</w:t>
      </w:r>
      <w:r w:rsidRPr="00361437">
        <w:rPr>
          <w:rFonts w:ascii="Arial" w:eastAsia="Calibri" w:hAnsi="Arial" w:cs="Arial"/>
          <w:sz w:val="20"/>
        </w:rPr>
        <w:t xml:space="preserve"> denote statistical significance at the 10%, 5%, and 1% level, respectively.</w:t>
      </w:r>
    </w:p>
    <w:p w14:paraId="20279F22" w14:textId="77777777" w:rsidR="00374DAF" w:rsidRPr="00361437" w:rsidRDefault="00374DAF" w:rsidP="00032E88">
      <w:pPr>
        <w:jc w:val="both"/>
        <w:rPr>
          <w:rFonts w:ascii="Arial" w:eastAsia="Calibri" w:hAnsi="Arial" w:cs="Arial"/>
          <w:sz w:val="20"/>
        </w:rPr>
      </w:pPr>
    </w:p>
    <w:p w14:paraId="5914B019" w14:textId="77777777" w:rsidR="00032E88" w:rsidRPr="00361437" w:rsidRDefault="00032E88" w:rsidP="00032E88">
      <w:pPr>
        <w:rPr>
          <w:rFonts w:ascii="Arial" w:eastAsia="Calibri" w:hAnsi="Arial" w:cs="Arial"/>
          <w:sz w:val="6"/>
        </w:rPr>
      </w:pPr>
    </w:p>
    <w:p w14:paraId="09B4A65F" w14:textId="77777777" w:rsidR="00032E88" w:rsidRPr="00361437" w:rsidRDefault="00032E88" w:rsidP="00032E88">
      <w:pPr>
        <w:rPr>
          <w:rFonts w:ascii="Arial" w:eastAsia="Calibri" w:hAnsi="Arial" w:cs="Arial"/>
          <w:sz w:val="6"/>
        </w:rPr>
      </w:pPr>
    </w:p>
    <w:tbl>
      <w:tblPr>
        <w:tblW w:w="5000" w:type="pct"/>
        <w:tblLook w:val="04A0" w:firstRow="1" w:lastRow="0" w:firstColumn="1" w:lastColumn="0" w:noHBand="0" w:noVBand="1"/>
      </w:tblPr>
      <w:tblGrid>
        <w:gridCol w:w="4676"/>
        <w:gridCol w:w="1340"/>
        <w:gridCol w:w="1348"/>
        <w:gridCol w:w="436"/>
        <w:gridCol w:w="1341"/>
        <w:gridCol w:w="1355"/>
        <w:gridCol w:w="551"/>
        <w:gridCol w:w="1455"/>
        <w:gridCol w:w="1456"/>
      </w:tblGrid>
      <w:tr w:rsidR="00032E88" w:rsidRPr="00361437" w14:paraId="6BFD9180" w14:textId="77777777" w:rsidTr="001F6778">
        <w:tc>
          <w:tcPr>
            <w:tcW w:w="1676" w:type="pct"/>
            <w:tcBorders>
              <w:top w:val="single" w:sz="4" w:space="0" w:color="auto"/>
              <w:left w:val="nil"/>
              <w:bottom w:val="nil"/>
              <w:right w:val="nil"/>
            </w:tcBorders>
            <w:noWrap/>
            <w:tcMar>
              <w:top w:w="0" w:type="dxa"/>
              <w:left w:w="115" w:type="dxa"/>
              <w:bottom w:w="0" w:type="dxa"/>
              <w:right w:w="115" w:type="dxa"/>
            </w:tcMar>
          </w:tcPr>
          <w:p w14:paraId="725F4494" w14:textId="77777777" w:rsidR="00032E88" w:rsidRPr="00361437" w:rsidRDefault="00032E88" w:rsidP="00032E88">
            <w:pPr>
              <w:spacing w:line="256" w:lineRule="auto"/>
              <w:rPr>
                <w:rFonts w:ascii="Arial" w:eastAsia="Times New Roman" w:hAnsi="Arial" w:cs="Arial"/>
                <w:sz w:val="20"/>
              </w:rPr>
            </w:pPr>
          </w:p>
        </w:tc>
        <w:tc>
          <w:tcPr>
            <w:tcW w:w="2089" w:type="pct"/>
            <w:gridSpan w:val="5"/>
            <w:tcBorders>
              <w:top w:val="single" w:sz="4" w:space="0" w:color="auto"/>
              <w:left w:val="nil"/>
              <w:bottom w:val="single" w:sz="4" w:space="0" w:color="auto"/>
              <w:right w:val="nil"/>
            </w:tcBorders>
            <w:tcMar>
              <w:top w:w="0" w:type="dxa"/>
              <w:left w:w="115" w:type="dxa"/>
              <w:bottom w:w="0" w:type="dxa"/>
              <w:right w:w="115" w:type="dxa"/>
            </w:tcMar>
            <w:vAlign w:val="center"/>
            <w:hideMark/>
          </w:tcPr>
          <w:p w14:paraId="4BD6D933"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First stage</w:t>
            </w:r>
          </w:p>
        </w:tc>
        <w:tc>
          <w:tcPr>
            <w:tcW w:w="198" w:type="pct"/>
            <w:tcBorders>
              <w:top w:val="single" w:sz="4" w:space="0" w:color="auto"/>
              <w:left w:val="nil"/>
              <w:bottom w:val="nil"/>
              <w:right w:val="nil"/>
            </w:tcBorders>
            <w:tcMar>
              <w:top w:w="0" w:type="dxa"/>
              <w:left w:w="115" w:type="dxa"/>
              <w:bottom w:w="0" w:type="dxa"/>
              <w:right w:w="115" w:type="dxa"/>
            </w:tcMar>
            <w:vAlign w:val="center"/>
          </w:tcPr>
          <w:p w14:paraId="0C57680D" w14:textId="77777777" w:rsidR="00032E88" w:rsidRPr="00361437" w:rsidRDefault="00032E88" w:rsidP="00032E88">
            <w:pPr>
              <w:spacing w:line="256" w:lineRule="auto"/>
              <w:rPr>
                <w:rFonts w:ascii="Arial" w:eastAsia="Times New Roman" w:hAnsi="Arial" w:cs="Arial"/>
                <w:sz w:val="20"/>
              </w:rPr>
            </w:pPr>
          </w:p>
        </w:tc>
        <w:tc>
          <w:tcPr>
            <w:tcW w:w="1037" w:type="pct"/>
            <w:gridSpan w:val="2"/>
            <w:tcBorders>
              <w:top w:val="single" w:sz="4" w:space="0" w:color="auto"/>
              <w:left w:val="nil"/>
              <w:bottom w:val="single" w:sz="4" w:space="0" w:color="auto"/>
              <w:right w:val="nil"/>
            </w:tcBorders>
            <w:tcMar>
              <w:top w:w="0" w:type="dxa"/>
              <w:left w:w="115" w:type="dxa"/>
              <w:bottom w:w="0" w:type="dxa"/>
              <w:right w:w="115" w:type="dxa"/>
            </w:tcMar>
            <w:vAlign w:val="center"/>
            <w:hideMark/>
          </w:tcPr>
          <w:p w14:paraId="103F6B21"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Second stage</w:t>
            </w:r>
          </w:p>
        </w:tc>
      </w:tr>
      <w:tr w:rsidR="00032E88" w:rsidRPr="00361437" w14:paraId="1758AC53" w14:textId="77777777" w:rsidTr="001F6778">
        <w:tc>
          <w:tcPr>
            <w:tcW w:w="1676" w:type="pct"/>
            <w:noWrap/>
            <w:tcMar>
              <w:top w:w="0" w:type="dxa"/>
              <w:left w:w="115" w:type="dxa"/>
              <w:bottom w:w="0" w:type="dxa"/>
              <w:right w:w="115" w:type="dxa"/>
            </w:tcMar>
          </w:tcPr>
          <w:p w14:paraId="79C3C465" w14:textId="77777777" w:rsidR="00032E88" w:rsidRPr="00361437" w:rsidRDefault="00032E88" w:rsidP="00032E88">
            <w:pPr>
              <w:spacing w:line="256" w:lineRule="auto"/>
              <w:rPr>
                <w:rFonts w:ascii="Arial" w:eastAsia="Times New Roman" w:hAnsi="Arial" w:cs="Arial"/>
                <w:sz w:val="20"/>
              </w:rPr>
            </w:pPr>
          </w:p>
        </w:tc>
        <w:tc>
          <w:tcPr>
            <w:tcW w:w="965" w:type="pct"/>
            <w:gridSpan w:val="2"/>
            <w:tcBorders>
              <w:top w:val="single" w:sz="4" w:space="0" w:color="auto"/>
              <w:left w:val="nil"/>
              <w:bottom w:val="single" w:sz="4" w:space="0" w:color="auto"/>
              <w:right w:val="nil"/>
            </w:tcBorders>
            <w:tcMar>
              <w:top w:w="0" w:type="dxa"/>
              <w:left w:w="115" w:type="dxa"/>
              <w:bottom w:w="0" w:type="dxa"/>
              <w:right w:w="115" w:type="dxa"/>
            </w:tcMar>
            <w:hideMark/>
          </w:tcPr>
          <w:p w14:paraId="66526248"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Model 1</w:t>
            </w:r>
          </w:p>
          <w:p w14:paraId="3D9D77CA" w14:textId="2CE778CD" w:rsidR="00374DAF" w:rsidRPr="00361437" w:rsidRDefault="006072A7" w:rsidP="00374DAF">
            <w:pPr>
              <w:spacing w:line="256" w:lineRule="auto"/>
              <w:jc w:val="center"/>
              <w:rPr>
                <w:rFonts w:ascii="Arial" w:eastAsia="Times New Roman" w:hAnsi="Arial" w:cs="Arial"/>
                <w:sz w:val="18"/>
              </w:rPr>
            </w:pPr>
            <w:r w:rsidRPr="00361437">
              <w:rPr>
                <w:rFonts w:ascii="Arial" w:eastAsia="Times New Roman" w:hAnsi="Arial" w:cs="Arial"/>
                <w:sz w:val="18"/>
              </w:rPr>
              <w:t>FAMILY_DEBT_FRACTION</w:t>
            </w:r>
          </w:p>
          <w:p w14:paraId="3E4E96ED" w14:textId="5D53E516" w:rsidR="00374DAF" w:rsidRPr="00361437" w:rsidRDefault="00374DAF" w:rsidP="00374DAF">
            <w:pPr>
              <w:spacing w:line="256" w:lineRule="auto"/>
              <w:jc w:val="center"/>
              <w:rPr>
                <w:rFonts w:ascii="Arial" w:eastAsia="Times New Roman" w:hAnsi="Arial" w:cs="Arial"/>
                <w:sz w:val="20"/>
              </w:rPr>
            </w:pPr>
          </w:p>
        </w:tc>
        <w:tc>
          <w:tcPr>
            <w:tcW w:w="157" w:type="pct"/>
            <w:tcBorders>
              <w:top w:val="single" w:sz="4" w:space="0" w:color="auto"/>
              <w:left w:val="nil"/>
              <w:bottom w:val="nil"/>
              <w:right w:val="nil"/>
            </w:tcBorders>
            <w:tcMar>
              <w:top w:w="0" w:type="dxa"/>
              <w:left w:w="115" w:type="dxa"/>
              <w:bottom w:w="0" w:type="dxa"/>
              <w:right w:w="115" w:type="dxa"/>
            </w:tcMar>
          </w:tcPr>
          <w:p w14:paraId="6800DEC8" w14:textId="77777777" w:rsidR="00032E88" w:rsidRPr="00361437" w:rsidRDefault="00032E88" w:rsidP="00032E88">
            <w:pPr>
              <w:spacing w:line="256" w:lineRule="auto"/>
              <w:jc w:val="center"/>
              <w:rPr>
                <w:rFonts w:ascii="Arial" w:eastAsia="Times New Roman" w:hAnsi="Arial" w:cs="Arial"/>
                <w:sz w:val="20"/>
              </w:rPr>
            </w:pPr>
          </w:p>
        </w:tc>
        <w:tc>
          <w:tcPr>
            <w:tcW w:w="967" w:type="pct"/>
            <w:gridSpan w:val="2"/>
            <w:tcBorders>
              <w:top w:val="single" w:sz="4" w:space="0" w:color="auto"/>
              <w:left w:val="nil"/>
              <w:bottom w:val="single" w:sz="4" w:space="0" w:color="auto"/>
              <w:right w:val="nil"/>
            </w:tcBorders>
            <w:tcMar>
              <w:top w:w="0" w:type="dxa"/>
              <w:left w:w="115" w:type="dxa"/>
              <w:bottom w:w="0" w:type="dxa"/>
              <w:right w:w="115" w:type="dxa"/>
            </w:tcMar>
            <w:hideMark/>
          </w:tcPr>
          <w:p w14:paraId="046F9E6A"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Model 2</w:t>
            </w:r>
          </w:p>
          <w:p w14:paraId="763E3843" w14:textId="131B9AA0" w:rsidR="00032E88" w:rsidRPr="00361437" w:rsidRDefault="006072A7" w:rsidP="006072A7">
            <w:pPr>
              <w:spacing w:line="256" w:lineRule="auto"/>
              <w:jc w:val="center"/>
              <w:rPr>
                <w:rFonts w:ascii="Arial" w:eastAsia="Times New Roman" w:hAnsi="Arial" w:cs="Arial"/>
                <w:sz w:val="20"/>
              </w:rPr>
            </w:pPr>
            <w:r w:rsidRPr="00361437">
              <w:rPr>
                <w:rFonts w:ascii="Arial" w:eastAsia="Times New Roman" w:hAnsi="Arial" w:cs="Arial"/>
                <w:sz w:val="18"/>
                <w:szCs w:val="18"/>
              </w:rPr>
              <w:t xml:space="preserve">FAMILY_DEBT_FRACTION </w:t>
            </w:r>
            <w:r w:rsidRPr="00361437">
              <w:rPr>
                <w:rFonts w:ascii="Arial" w:eastAsia="Calibri" w:hAnsi="Arial" w:cs="Arial"/>
                <w:b/>
                <w:color w:val="000000"/>
                <w:sz w:val="18"/>
                <w:szCs w:val="18"/>
              </w:rPr>
              <w:t>×</w:t>
            </w:r>
            <w:r w:rsidRPr="00361437">
              <w:rPr>
                <w:rFonts w:ascii="Arial" w:eastAsia="Times New Roman" w:hAnsi="Arial" w:cs="Arial"/>
                <w:sz w:val="18"/>
                <w:szCs w:val="18"/>
              </w:rPr>
              <w:t xml:space="preserve"> DISTRESS_(0,1)</w:t>
            </w:r>
          </w:p>
        </w:tc>
        <w:tc>
          <w:tcPr>
            <w:tcW w:w="198" w:type="pct"/>
            <w:tcMar>
              <w:top w:w="0" w:type="dxa"/>
              <w:left w:w="115" w:type="dxa"/>
              <w:bottom w:w="0" w:type="dxa"/>
              <w:right w:w="115" w:type="dxa"/>
            </w:tcMar>
          </w:tcPr>
          <w:p w14:paraId="4C0154AE" w14:textId="77777777" w:rsidR="00032E88" w:rsidRPr="00361437" w:rsidRDefault="00032E88" w:rsidP="00032E88">
            <w:pPr>
              <w:spacing w:line="256" w:lineRule="auto"/>
              <w:rPr>
                <w:rFonts w:ascii="Arial" w:eastAsia="Times New Roman" w:hAnsi="Arial" w:cs="Arial"/>
                <w:sz w:val="20"/>
              </w:rPr>
            </w:pPr>
          </w:p>
        </w:tc>
        <w:tc>
          <w:tcPr>
            <w:tcW w:w="1037" w:type="pct"/>
            <w:gridSpan w:val="2"/>
            <w:tcBorders>
              <w:top w:val="single" w:sz="4" w:space="0" w:color="auto"/>
              <w:left w:val="nil"/>
              <w:bottom w:val="single" w:sz="4" w:space="0" w:color="auto"/>
              <w:right w:val="nil"/>
            </w:tcBorders>
            <w:tcMar>
              <w:top w:w="0" w:type="dxa"/>
              <w:left w:w="115" w:type="dxa"/>
              <w:bottom w:w="0" w:type="dxa"/>
              <w:right w:w="115" w:type="dxa"/>
            </w:tcMar>
            <w:hideMark/>
          </w:tcPr>
          <w:p w14:paraId="6A1A783E"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Model 3</w:t>
            </w:r>
          </w:p>
          <w:p w14:paraId="71E7B3D8" w14:textId="5D095427" w:rsidR="00032E88" w:rsidRPr="00361437" w:rsidRDefault="006072A7" w:rsidP="00374DAF">
            <w:pPr>
              <w:spacing w:line="256" w:lineRule="auto"/>
              <w:jc w:val="center"/>
              <w:rPr>
                <w:rFonts w:ascii="Arial" w:eastAsia="Times New Roman" w:hAnsi="Arial" w:cs="Arial"/>
                <w:sz w:val="18"/>
              </w:rPr>
            </w:pPr>
            <w:r w:rsidRPr="00361437">
              <w:rPr>
                <w:rFonts w:ascii="Arial" w:eastAsia="Times New Roman" w:hAnsi="Arial" w:cs="Arial"/>
                <w:iCs/>
                <w:sz w:val="18"/>
              </w:rPr>
              <w:t>VOTE_WITH_CR</w:t>
            </w:r>
            <w:r w:rsidRPr="00361437">
              <w:rPr>
                <w:rFonts w:ascii="Arial" w:eastAsia="Times New Roman" w:hAnsi="Arial" w:cs="Arial"/>
                <w:sz w:val="18"/>
              </w:rPr>
              <w:t>EDITORS_(0,1)</w:t>
            </w:r>
          </w:p>
          <w:p w14:paraId="1E289E96" w14:textId="5549239A" w:rsidR="00374DAF" w:rsidRPr="00361437" w:rsidRDefault="00374DAF" w:rsidP="00374DAF">
            <w:pPr>
              <w:spacing w:line="256" w:lineRule="auto"/>
              <w:rPr>
                <w:rFonts w:ascii="Arial" w:eastAsia="Times New Roman" w:hAnsi="Arial" w:cs="Arial"/>
                <w:sz w:val="20"/>
              </w:rPr>
            </w:pPr>
          </w:p>
        </w:tc>
      </w:tr>
      <w:tr w:rsidR="001F6778" w:rsidRPr="00361437" w14:paraId="75C98A1F" w14:textId="77777777" w:rsidTr="001F6778">
        <w:tc>
          <w:tcPr>
            <w:tcW w:w="1676" w:type="pct"/>
            <w:tcBorders>
              <w:top w:val="nil"/>
              <w:left w:val="nil"/>
              <w:bottom w:val="single" w:sz="4" w:space="0" w:color="auto"/>
              <w:right w:val="nil"/>
            </w:tcBorders>
            <w:noWrap/>
            <w:tcMar>
              <w:top w:w="0" w:type="dxa"/>
              <w:left w:w="115" w:type="dxa"/>
              <w:bottom w:w="0" w:type="dxa"/>
              <w:right w:w="115" w:type="dxa"/>
            </w:tcMar>
          </w:tcPr>
          <w:p w14:paraId="3FD798BC" w14:textId="77777777" w:rsidR="0019714B" w:rsidRPr="00361437" w:rsidRDefault="0019714B" w:rsidP="0019714B">
            <w:pPr>
              <w:spacing w:line="256" w:lineRule="auto"/>
              <w:rPr>
                <w:rFonts w:ascii="Arial" w:eastAsia="Times New Roman" w:hAnsi="Arial" w:cs="Arial"/>
                <w:sz w:val="20"/>
              </w:rPr>
            </w:pPr>
          </w:p>
        </w:tc>
        <w:tc>
          <w:tcPr>
            <w:tcW w:w="481" w:type="pct"/>
            <w:tcBorders>
              <w:top w:val="single" w:sz="4" w:space="0" w:color="auto"/>
              <w:left w:val="nil"/>
              <w:bottom w:val="single" w:sz="4" w:space="0" w:color="auto"/>
              <w:right w:val="nil"/>
            </w:tcBorders>
            <w:tcMar>
              <w:top w:w="0" w:type="dxa"/>
              <w:left w:w="115" w:type="dxa"/>
              <w:bottom w:w="0" w:type="dxa"/>
              <w:right w:w="115" w:type="dxa"/>
            </w:tcMar>
            <w:hideMark/>
          </w:tcPr>
          <w:p w14:paraId="4D0B410F" w14:textId="722EE3EA"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484" w:type="pct"/>
            <w:tcBorders>
              <w:top w:val="single" w:sz="4" w:space="0" w:color="auto"/>
              <w:left w:val="nil"/>
              <w:bottom w:val="single" w:sz="4" w:space="0" w:color="auto"/>
              <w:right w:val="nil"/>
            </w:tcBorders>
            <w:tcMar>
              <w:top w:w="0" w:type="dxa"/>
              <w:left w:w="115" w:type="dxa"/>
              <w:bottom w:w="0" w:type="dxa"/>
              <w:right w:w="115" w:type="dxa"/>
            </w:tcMar>
            <w:hideMark/>
          </w:tcPr>
          <w:p w14:paraId="43CBB158" w14:textId="77777777"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c>
          <w:tcPr>
            <w:tcW w:w="157" w:type="pct"/>
            <w:tcBorders>
              <w:top w:val="nil"/>
              <w:left w:val="nil"/>
              <w:bottom w:val="single" w:sz="4" w:space="0" w:color="auto"/>
              <w:right w:val="nil"/>
            </w:tcBorders>
            <w:tcMar>
              <w:top w:w="0" w:type="dxa"/>
              <w:left w:w="115" w:type="dxa"/>
              <w:bottom w:w="0" w:type="dxa"/>
              <w:right w:w="115" w:type="dxa"/>
            </w:tcMar>
            <w:vAlign w:val="center"/>
          </w:tcPr>
          <w:p w14:paraId="785F4F16" w14:textId="77777777" w:rsidR="0019714B" w:rsidRPr="00361437" w:rsidRDefault="0019714B" w:rsidP="0019714B">
            <w:pPr>
              <w:spacing w:line="256" w:lineRule="auto"/>
              <w:jc w:val="center"/>
              <w:rPr>
                <w:rFonts w:ascii="Arial" w:eastAsia="Times New Roman" w:hAnsi="Arial" w:cs="Arial"/>
                <w:sz w:val="20"/>
              </w:rPr>
            </w:pPr>
          </w:p>
        </w:tc>
        <w:tc>
          <w:tcPr>
            <w:tcW w:w="481" w:type="pct"/>
            <w:tcBorders>
              <w:top w:val="single" w:sz="4" w:space="0" w:color="auto"/>
              <w:left w:val="nil"/>
              <w:bottom w:val="single" w:sz="4" w:space="0" w:color="auto"/>
              <w:right w:val="nil"/>
            </w:tcBorders>
            <w:tcMar>
              <w:top w:w="0" w:type="dxa"/>
              <w:left w:w="115" w:type="dxa"/>
              <w:bottom w:w="0" w:type="dxa"/>
              <w:right w:w="115" w:type="dxa"/>
            </w:tcMar>
            <w:hideMark/>
          </w:tcPr>
          <w:p w14:paraId="7B6A0230" w14:textId="5065C18A"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486" w:type="pct"/>
            <w:tcBorders>
              <w:top w:val="single" w:sz="4" w:space="0" w:color="auto"/>
              <w:left w:val="nil"/>
              <w:bottom w:val="single" w:sz="4" w:space="0" w:color="auto"/>
              <w:right w:val="nil"/>
            </w:tcBorders>
            <w:tcMar>
              <w:top w:w="0" w:type="dxa"/>
              <w:left w:w="115" w:type="dxa"/>
              <w:bottom w:w="0" w:type="dxa"/>
              <w:right w:w="115" w:type="dxa"/>
            </w:tcMar>
            <w:hideMark/>
          </w:tcPr>
          <w:p w14:paraId="2CE2EDBD" w14:textId="32552D64"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c>
          <w:tcPr>
            <w:tcW w:w="198" w:type="pct"/>
            <w:tcBorders>
              <w:top w:val="nil"/>
              <w:left w:val="nil"/>
              <w:bottom w:val="single" w:sz="4" w:space="0" w:color="auto"/>
              <w:right w:val="nil"/>
            </w:tcBorders>
            <w:tcMar>
              <w:top w:w="0" w:type="dxa"/>
              <w:left w:w="115" w:type="dxa"/>
              <w:bottom w:w="0" w:type="dxa"/>
              <w:right w:w="115" w:type="dxa"/>
            </w:tcMar>
          </w:tcPr>
          <w:p w14:paraId="18C740B5" w14:textId="77777777" w:rsidR="0019714B" w:rsidRPr="00361437" w:rsidRDefault="0019714B" w:rsidP="0019714B">
            <w:pPr>
              <w:spacing w:line="256" w:lineRule="auto"/>
              <w:jc w:val="center"/>
              <w:rPr>
                <w:rFonts w:ascii="Arial" w:eastAsia="Times New Roman" w:hAnsi="Arial" w:cs="Arial"/>
                <w:sz w:val="20"/>
              </w:rPr>
            </w:pPr>
          </w:p>
        </w:tc>
        <w:tc>
          <w:tcPr>
            <w:tcW w:w="518" w:type="pct"/>
            <w:tcBorders>
              <w:top w:val="nil"/>
              <w:left w:val="nil"/>
              <w:bottom w:val="single" w:sz="4" w:space="0" w:color="auto"/>
              <w:right w:val="nil"/>
            </w:tcBorders>
            <w:tcMar>
              <w:top w:w="0" w:type="dxa"/>
              <w:left w:w="115" w:type="dxa"/>
              <w:bottom w:w="0" w:type="dxa"/>
              <w:right w:w="115" w:type="dxa"/>
            </w:tcMar>
            <w:hideMark/>
          </w:tcPr>
          <w:p w14:paraId="2F0A1973" w14:textId="5487C122"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519" w:type="pct"/>
            <w:tcBorders>
              <w:top w:val="nil"/>
              <w:left w:val="nil"/>
              <w:bottom w:val="single" w:sz="4" w:space="0" w:color="auto"/>
              <w:right w:val="nil"/>
            </w:tcBorders>
            <w:tcMar>
              <w:top w:w="0" w:type="dxa"/>
              <w:left w:w="115" w:type="dxa"/>
              <w:bottom w:w="0" w:type="dxa"/>
              <w:right w:w="115" w:type="dxa"/>
            </w:tcMar>
            <w:hideMark/>
          </w:tcPr>
          <w:p w14:paraId="317F255F" w14:textId="308D4880"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r>
      <w:tr w:rsidR="001F6778" w:rsidRPr="00361437" w14:paraId="6E01DFA5" w14:textId="77777777" w:rsidTr="001F6778">
        <w:tc>
          <w:tcPr>
            <w:tcW w:w="1676" w:type="pct"/>
            <w:noWrap/>
            <w:tcMar>
              <w:top w:w="0" w:type="dxa"/>
              <w:left w:w="115" w:type="dxa"/>
              <w:bottom w:w="0" w:type="dxa"/>
              <w:right w:w="115" w:type="dxa"/>
            </w:tcMar>
            <w:vAlign w:val="center"/>
            <w:hideMark/>
          </w:tcPr>
          <w:p w14:paraId="4FC4B495" w14:textId="42769075" w:rsidR="00EC1640" w:rsidRPr="00361437" w:rsidRDefault="006072A7" w:rsidP="00EC1640">
            <w:pPr>
              <w:spacing w:line="256" w:lineRule="auto"/>
              <w:ind w:left="180" w:hanging="180"/>
              <w:contextualSpacing/>
              <w:rPr>
                <w:rFonts w:ascii="Arial" w:eastAsia="Times New Roman" w:hAnsi="Arial" w:cs="Arial"/>
                <w:bCs/>
                <w:sz w:val="18"/>
              </w:rPr>
            </w:pPr>
            <w:r w:rsidRPr="00361437">
              <w:rPr>
                <w:rFonts w:ascii="Arial" w:eastAsia="Times New Roman" w:hAnsi="Arial" w:cs="Arial"/>
                <w:bCs/>
                <w:color w:val="000000"/>
                <w:sz w:val="18"/>
              </w:rPr>
              <w:t>NEW_DEBT_FUND_(0,1)</w:t>
            </w:r>
          </w:p>
        </w:tc>
        <w:tc>
          <w:tcPr>
            <w:tcW w:w="481" w:type="pct"/>
            <w:tcMar>
              <w:top w:w="0" w:type="dxa"/>
              <w:left w:w="115" w:type="dxa"/>
              <w:bottom w:w="0" w:type="dxa"/>
              <w:right w:w="115" w:type="dxa"/>
            </w:tcMar>
            <w:vAlign w:val="center"/>
            <w:hideMark/>
          </w:tcPr>
          <w:p w14:paraId="48509291" w14:textId="33DC72CA" w:rsidR="00EC1640" w:rsidRPr="00361437" w:rsidRDefault="00EC1640" w:rsidP="00374DAF">
            <w:pPr>
              <w:tabs>
                <w:tab w:val="decimal" w:pos="390"/>
              </w:tabs>
              <w:spacing w:line="256" w:lineRule="auto"/>
              <w:rPr>
                <w:rFonts w:ascii="Arial" w:eastAsia="Calibri" w:hAnsi="Arial" w:cs="Arial"/>
                <w:bCs/>
                <w:color w:val="000000"/>
                <w:sz w:val="20"/>
              </w:rPr>
            </w:pPr>
            <w:r w:rsidRPr="00361437">
              <w:rPr>
                <w:rFonts w:ascii="Arial" w:hAnsi="Arial" w:cs="Arial"/>
                <w:color w:val="000000"/>
                <w:sz w:val="20"/>
              </w:rPr>
              <w:t>0.0171</w:t>
            </w:r>
            <w:r w:rsidRPr="00361437">
              <w:rPr>
                <w:rFonts w:ascii="Arial" w:hAnsi="Arial" w:cs="Arial"/>
                <w:color w:val="000000"/>
                <w:sz w:val="20"/>
                <w:vertAlign w:val="superscript"/>
              </w:rPr>
              <w:t>***</w:t>
            </w:r>
          </w:p>
        </w:tc>
        <w:tc>
          <w:tcPr>
            <w:tcW w:w="484" w:type="pct"/>
            <w:tcMar>
              <w:top w:w="0" w:type="dxa"/>
              <w:left w:w="115" w:type="dxa"/>
              <w:bottom w:w="0" w:type="dxa"/>
              <w:right w:w="115" w:type="dxa"/>
            </w:tcMar>
            <w:vAlign w:val="center"/>
            <w:hideMark/>
          </w:tcPr>
          <w:p w14:paraId="5613A7BB" w14:textId="68883A37" w:rsidR="00EC1640" w:rsidRPr="00361437" w:rsidRDefault="00EC1640" w:rsidP="00374DAF">
            <w:pPr>
              <w:tabs>
                <w:tab w:val="decimal" w:pos="390"/>
              </w:tabs>
              <w:spacing w:line="256" w:lineRule="auto"/>
              <w:rPr>
                <w:rFonts w:ascii="Arial" w:eastAsia="Calibri" w:hAnsi="Arial" w:cs="Arial"/>
                <w:bCs/>
                <w:color w:val="000000"/>
                <w:sz w:val="20"/>
              </w:rPr>
            </w:pPr>
            <w:r w:rsidRPr="00361437">
              <w:rPr>
                <w:rFonts w:ascii="Arial" w:hAnsi="Arial" w:cs="Arial"/>
                <w:color w:val="000000"/>
                <w:sz w:val="20"/>
              </w:rPr>
              <w:t>0.0003</w:t>
            </w:r>
          </w:p>
        </w:tc>
        <w:tc>
          <w:tcPr>
            <w:tcW w:w="157" w:type="pct"/>
            <w:tcMar>
              <w:top w:w="0" w:type="dxa"/>
              <w:left w:w="115" w:type="dxa"/>
              <w:bottom w:w="0" w:type="dxa"/>
              <w:right w:w="115" w:type="dxa"/>
            </w:tcMar>
            <w:vAlign w:val="center"/>
          </w:tcPr>
          <w:p w14:paraId="4B168FB8"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1" w:type="pct"/>
            <w:tcMar>
              <w:top w:w="0" w:type="dxa"/>
              <w:left w:w="115" w:type="dxa"/>
              <w:bottom w:w="0" w:type="dxa"/>
              <w:right w:w="115" w:type="dxa"/>
            </w:tcMar>
            <w:vAlign w:val="center"/>
            <w:hideMark/>
          </w:tcPr>
          <w:p w14:paraId="3B945711" w14:textId="03991A54"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0.0000</w:t>
            </w:r>
          </w:p>
        </w:tc>
        <w:tc>
          <w:tcPr>
            <w:tcW w:w="486" w:type="pct"/>
            <w:tcMar>
              <w:top w:w="0" w:type="dxa"/>
              <w:left w:w="115" w:type="dxa"/>
              <w:bottom w:w="0" w:type="dxa"/>
              <w:right w:w="115" w:type="dxa"/>
            </w:tcMar>
            <w:vAlign w:val="center"/>
            <w:hideMark/>
          </w:tcPr>
          <w:p w14:paraId="44DCFD1E" w14:textId="77299F39"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0.9200</w:t>
            </w:r>
          </w:p>
        </w:tc>
        <w:tc>
          <w:tcPr>
            <w:tcW w:w="198" w:type="pct"/>
            <w:tcMar>
              <w:top w:w="0" w:type="dxa"/>
              <w:left w:w="115" w:type="dxa"/>
              <w:bottom w:w="0" w:type="dxa"/>
              <w:right w:w="115" w:type="dxa"/>
            </w:tcMar>
            <w:vAlign w:val="center"/>
          </w:tcPr>
          <w:p w14:paraId="6CE74ED9"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518" w:type="pct"/>
            <w:tcMar>
              <w:top w:w="0" w:type="dxa"/>
              <w:left w:w="115" w:type="dxa"/>
              <w:bottom w:w="0" w:type="dxa"/>
              <w:right w:w="115" w:type="dxa"/>
            </w:tcMar>
            <w:vAlign w:val="center"/>
          </w:tcPr>
          <w:p w14:paraId="00C8CAB4"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519" w:type="pct"/>
            <w:tcMar>
              <w:top w:w="0" w:type="dxa"/>
              <w:left w:w="115" w:type="dxa"/>
              <w:bottom w:w="0" w:type="dxa"/>
              <w:right w:w="115" w:type="dxa"/>
            </w:tcMar>
            <w:vAlign w:val="center"/>
          </w:tcPr>
          <w:p w14:paraId="32151636" w14:textId="77777777" w:rsidR="00EC1640" w:rsidRPr="00361437" w:rsidRDefault="00EC1640" w:rsidP="00374DAF">
            <w:pPr>
              <w:tabs>
                <w:tab w:val="decimal" w:pos="390"/>
              </w:tabs>
              <w:spacing w:line="256" w:lineRule="auto"/>
              <w:rPr>
                <w:rFonts w:ascii="Arial" w:eastAsia="Calibri" w:hAnsi="Arial" w:cs="Arial"/>
                <w:color w:val="000000"/>
                <w:sz w:val="20"/>
              </w:rPr>
            </w:pPr>
          </w:p>
        </w:tc>
      </w:tr>
      <w:tr w:rsidR="001F6778" w:rsidRPr="00361437" w14:paraId="37B6A834" w14:textId="77777777" w:rsidTr="001F6778">
        <w:tc>
          <w:tcPr>
            <w:tcW w:w="1676" w:type="pct"/>
            <w:noWrap/>
            <w:tcMar>
              <w:top w:w="0" w:type="dxa"/>
              <w:left w:w="115" w:type="dxa"/>
              <w:bottom w:w="0" w:type="dxa"/>
              <w:right w:w="115" w:type="dxa"/>
            </w:tcMar>
            <w:vAlign w:val="center"/>
            <w:hideMark/>
          </w:tcPr>
          <w:p w14:paraId="58EDB3F7" w14:textId="30D420A5" w:rsidR="00EC1640" w:rsidRPr="00361437" w:rsidRDefault="006072A7" w:rsidP="00EC1640">
            <w:pPr>
              <w:spacing w:line="256" w:lineRule="auto"/>
              <w:ind w:left="180" w:hanging="180"/>
              <w:contextualSpacing/>
              <w:rPr>
                <w:rFonts w:ascii="Arial" w:eastAsia="Times New Roman" w:hAnsi="Arial" w:cs="Arial"/>
                <w:bCs/>
                <w:color w:val="000000"/>
                <w:sz w:val="18"/>
              </w:rPr>
            </w:pPr>
            <w:r w:rsidRPr="00361437">
              <w:rPr>
                <w:rFonts w:ascii="Arial" w:eastAsia="Times New Roman" w:hAnsi="Arial" w:cs="Arial"/>
                <w:bCs/>
                <w:color w:val="000000"/>
                <w:sz w:val="18"/>
              </w:rPr>
              <w:t xml:space="preserve">NEW_DEBT_FUND_(0,1) </w:t>
            </w:r>
            <w:r w:rsidRPr="00361437">
              <w:rPr>
                <w:rFonts w:ascii="Arial" w:eastAsia="Calibri" w:hAnsi="Arial" w:cs="Arial"/>
                <w:bCs/>
                <w:color w:val="000000"/>
                <w:sz w:val="18"/>
              </w:rPr>
              <w:t xml:space="preserve">× </w:t>
            </w:r>
            <w:r w:rsidRPr="00361437">
              <w:rPr>
                <w:rFonts w:ascii="Arial" w:eastAsia="Times New Roman" w:hAnsi="Arial" w:cs="Arial"/>
                <w:bCs/>
                <w:color w:val="000000"/>
                <w:sz w:val="18"/>
              </w:rPr>
              <w:t>DISTRESS_(0,1)</w:t>
            </w:r>
          </w:p>
        </w:tc>
        <w:tc>
          <w:tcPr>
            <w:tcW w:w="481" w:type="pct"/>
            <w:tcMar>
              <w:top w:w="0" w:type="dxa"/>
              <w:left w:w="115" w:type="dxa"/>
              <w:bottom w:w="0" w:type="dxa"/>
              <w:right w:w="115" w:type="dxa"/>
            </w:tcMar>
            <w:vAlign w:val="center"/>
            <w:hideMark/>
          </w:tcPr>
          <w:p w14:paraId="321DE612" w14:textId="111F437E"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0.0830</w:t>
            </w:r>
          </w:p>
        </w:tc>
        <w:tc>
          <w:tcPr>
            <w:tcW w:w="484" w:type="pct"/>
            <w:tcMar>
              <w:top w:w="0" w:type="dxa"/>
              <w:left w:w="115" w:type="dxa"/>
              <w:bottom w:w="0" w:type="dxa"/>
              <w:right w:w="115" w:type="dxa"/>
            </w:tcMar>
            <w:vAlign w:val="center"/>
            <w:hideMark/>
          </w:tcPr>
          <w:p w14:paraId="40100420" w14:textId="2B1A291E"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0.3564</w:t>
            </w:r>
          </w:p>
        </w:tc>
        <w:tc>
          <w:tcPr>
            <w:tcW w:w="157" w:type="pct"/>
            <w:tcMar>
              <w:top w:w="0" w:type="dxa"/>
              <w:left w:w="115" w:type="dxa"/>
              <w:bottom w:w="0" w:type="dxa"/>
              <w:right w:w="115" w:type="dxa"/>
            </w:tcMar>
            <w:vAlign w:val="center"/>
          </w:tcPr>
          <w:p w14:paraId="417B1352"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1" w:type="pct"/>
            <w:tcMar>
              <w:top w:w="0" w:type="dxa"/>
              <w:left w:w="115" w:type="dxa"/>
              <w:bottom w:w="0" w:type="dxa"/>
              <w:right w:w="115" w:type="dxa"/>
            </w:tcMar>
            <w:vAlign w:val="center"/>
            <w:hideMark/>
          </w:tcPr>
          <w:p w14:paraId="29A10682" w14:textId="395CA1FC" w:rsidR="00EC1640" w:rsidRPr="00361437" w:rsidRDefault="00EC1640" w:rsidP="00374DAF">
            <w:pPr>
              <w:tabs>
                <w:tab w:val="decimal" w:pos="390"/>
              </w:tabs>
              <w:spacing w:line="256" w:lineRule="auto"/>
              <w:rPr>
                <w:rFonts w:ascii="Arial" w:eastAsia="Calibri" w:hAnsi="Arial" w:cs="Arial"/>
                <w:bCs/>
                <w:color w:val="000000"/>
                <w:sz w:val="20"/>
              </w:rPr>
            </w:pPr>
            <w:r w:rsidRPr="00361437">
              <w:rPr>
                <w:rFonts w:ascii="Arial" w:hAnsi="Arial" w:cs="Arial"/>
                <w:color w:val="000000"/>
                <w:sz w:val="20"/>
              </w:rPr>
              <w:t>0.0971</w:t>
            </w:r>
            <w:r w:rsidRPr="00361437">
              <w:rPr>
                <w:rFonts w:ascii="Arial" w:hAnsi="Arial" w:cs="Arial"/>
                <w:color w:val="000000"/>
                <w:sz w:val="20"/>
                <w:vertAlign w:val="superscript"/>
              </w:rPr>
              <w:t>**</w:t>
            </w:r>
          </w:p>
        </w:tc>
        <w:tc>
          <w:tcPr>
            <w:tcW w:w="486" w:type="pct"/>
            <w:tcMar>
              <w:top w:w="0" w:type="dxa"/>
              <w:left w:w="115" w:type="dxa"/>
              <w:bottom w:w="0" w:type="dxa"/>
              <w:right w:w="115" w:type="dxa"/>
            </w:tcMar>
            <w:vAlign w:val="center"/>
            <w:hideMark/>
          </w:tcPr>
          <w:p w14:paraId="21837B46" w14:textId="0F602D58" w:rsidR="00EC1640" w:rsidRPr="00361437" w:rsidRDefault="00EC1640" w:rsidP="00374DAF">
            <w:pPr>
              <w:tabs>
                <w:tab w:val="decimal" w:pos="390"/>
              </w:tabs>
              <w:spacing w:line="256" w:lineRule="auto"/>
              <w:rPr>
                <w:rFonts w:ascii="Arial" w:eastAsia="Calibri" w:hAnsi="Arial" w:cs="Arial"/>
                <w:bCs/>
                <w:color w:val="000000"/>
                <w:sz w:val="20"/>
              </w:rPr>
            </w:pPr>
            <w:r w:rsidRPr="00361437">
              <w:rPr>
                <w:rFonts w:ascii="Arial" w:hAnsi="Arial" w:cs="Arial"/>
                <w:color w:val="000000"/>
                <w:sz w:val="20"/>
              </w:rPr>
              <w:t>0.0301</w:t>
            </w:r>
          </w:p>
        </w:tc>
        <w:tc>
          <w:tcPr>
            <w:tcW w:w="198" w:type="pct"/>
            <w:tcMar>
              <w:top w:w="0" w:type="dxa"/>
              <w:left w:w="115" w:type="dxa"/>
              <w:bottom w:w="0" w:type="dxa"/>
              <w:right w:w="115" w:type="dxa"/>
            </w:tcMar>
            <w:vAlign w:val="center"/>
          </w:tcPr>
          <w:p w14:paraId="4C1D024C"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518" w:type="pct"/>
            <w:tcMar>
              <w:top w:w="0" w:type="dxa"/>
              <w:left w:w="115" w:type="dxa"/>
              <w:bottom w:w="0" w:type="dxa"/>
              <w:right w:w="115" w:type="dxa"/>
            </w:tcMar>
            <w:vAlign w:val="center"/>
          </w:tcPr>
          <w:p w14:paraId="0FEDFD99"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519" w:type="pct"/>
            <w:tcMar>
              <w:top w:w="0" w:type="dxa"/>
              <w:left w:w="115" w:type="dxa"/>
              <w:bottom w:w="0" w:type="dxa"/>
              <w:right w:w="115" w:type="dxa"/>
            </w:tcMar>
            <w:vAlign w:val="center"/>
          </w:tcPr>
          <w:p w14:paraId="38267DD8" w14:textId="77777777" w:rsidR="00EC1640" w:rsidRPr="00361437" w:rsidRDefault="00EC1640" w:rsidP="00374DAF">
            <w:pPr>
              <w:tabs>
                <w:tab w:val="decimal" w:pos="390"/>
              </w:tabs>
              <w:spacing w:line="256" w:lineRule="auto"/>
              <w:rPr>
                <w:rFonts w:ascii="Arial" w:eastAsia="Calibri" w:hAnsi="Arial" w:cs="Arial"/>
                <w:color w:val="000000"/>
                <w:sz w:val="20"/>
              </w:rPr>
            </w:pPr>
          </w:p>
        </w:tc>
      </w:tr>
      <w:tr w:rsidR="001F6778" w:rsidRPr="00361437" w14:paraId="64D687AD" w14:textId="77777777" w:rsidTr="001F6778">
        <w:tc>
          <w:tcPr>
            <w:tcW w:w="1676" w:type="pct"/>
            <w:noWrap/>
            <w:tcMar>
              <w:top w:w="0" w:type="dxa"/>
              <w:left w:w="115" w:type="dxa"/>
              <w:bottom w:w="0" w:type="dxa"/>
              <w:right w:w="115" w:type="dxa"/>
            </w:tcMar>
            <w:hideMark/>
          </w:tcPr>
          <w:p w14:paraId="755F9978" w14:textId="06626DFD" w:rsidR="00EC1640" w:rsidRPr="00361437" w:rsidRDefault="006072A7" w:rsidP="00EC1640">
            <w:pPr>
              <w:spacing w:line="256" w:lineRule="auto"/>
              <w:ind w:left="180" w:hanging="180"/>
              <w:contextualSpacing/>
              <w:rPr>
                <w:rFonts w:ascii="Arial" w:eastAsia="Times New Roman" w:hAnsi="Arial" w:cs="Arial"/>
                <w:bCs/>
                <w:sz w:val="18"/>
              </w:rPr>
            </w:pPr>
            <w:r w:rsidRPr="00361437">
              <w:rPr>
                <w:rFonts w:ascii="Arial" w:eastAsia="Times New Roman" w:hAnsi="Arial" w:cs="Arial"/>
                <w:bCs/>
                <w:sz w:val="18"/>
              </w:rPr>
              <w:t>[FAMILY_DEBT_FRACTION]’</w:t>
            </w:r>
          </w:p>
        </w:tc>
        <w:tc>
          <w:tcPr>
            <w:tcW w:w="481" w:type="pct"/>
            <w:tcMar>
              <w:top w:w="0" w:type="dxa"/>
              <w:left w:w="115" w:type="dxa"/>
              <w:bottom w:w="0" w:type="dxa"/>
              <w:right w:w="115" w:type="dxa"/>
            </w:tcMar>
            <w:vAlign w:val="center"/>
          </w:tcPr>
          <w:p w14:paraId="6F8F94D7"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4" w:type="pct"/>
            <w:tcMar>
              <w:top w:w="0" w:type="dxa"/>
              <w:left w:w="115" w:type="dxa"/>
              <w:bottom w:w="0" w:type="dxa"/>
              <w:right w:w="115" w:type="dxa"/>
            </w:tcMar>
            <w:vAlign w:val="center"/>
          </w:tcPr>
          <w:p w14:paraId="724DECDF"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157" w:type="pct"/>
            <w:tcMar>
              <w:top w:w="0" w:type="dxa"/>
              <w:left w:w="115" w:type="dxa"/>
              <w:bottom w:w="0" w:type="dxa"/>
              <w:right w:w="115" w:type="dxa"/>
            </w:tcMar>
            <w:vAlign w:val="center"/>
          </w:tcPr>
          <w:p w14:paraId="32850F17"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1" w:type="pct"/>
            <w:tcMar>
              <w:top w:w="0" w:type="dxa"/>
              <w:left w:w="115" w:type="dxa"/>
              <w:bottom w:w="0" w:type="dxa"/>
              <w:right w:w="115" w:type="dxa"/>
            </w:tcMar>
            <w:vAlign w:val="center"/>
          </w:tcPr>
          <w:p w14:paraId="35A0A45F"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6" w:type="pct"/>
            <w:tcMar>
              <w:top w:w="0" w:type="dxa"/>
              <w:left w:w="115" w:type="dxa"/>
              <w:bottom w:w="0" w:type="dxa"/>
              <w:right w:w="115" w:type="dxa"/>
            </w:tcMar>
            <w:vAlign w:val="center"/>
          </w:tcPr>
          <w:p w14:paraId="6ECEA122"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198" w:type="pct"/>
            <w:tcMar>
              <w:top w:w="0" w:type="dxa"/>
              <w:left w:w="115" w:type="dxa"/>
              <w:bottom w:w="0" w:type="dxa"/>
              <w:right w:w="115" w:type="dxa"/>
            </w:tcMar>
            <w:vAlign w:val="center"/>
          </w:tcPr>
          <w:p w14:paraId="08088047"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518" w:type="pct"/>
            <w:tcMar>
              <w:top w:w="0" w:type="dxa"/>
              <w:left w:w="115" w:type="dxa"/>
              <w:bottom w:w="0" w:type="dxa"/>
              <w:right w:w="115" w:type="dxa"/>
            </w:tcMar>
            <w:vAlign w:val="center"/>
            <w:hideMark/>
          </w:tcPr>
          <w:p w14:paraId="492DDF10" w14:textId="7557CC07"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-0.0515</w:t>
            </w:r>
          </w:p>
        </w:tc>
        <w:tc>
          <w:tcPr>
            <w:tcW w:w="519" w:type="pct"/>
            <w:tcMar>
              <w:top w:w="0" w:type="dxa"/>
              <w:left w:w="115" w:type="dxa"/>
              <w:bottom w:w="0" w:type="dxa"/>
              <w:right w:w="115" w:type="dxa"/>
            </w:tcMar>
            <w:vAlign w:val="center"/>
            <w:hideMark/>
          </w:tcPr>
          <w:p w14:paraId="7FD33649" w14:textId="29FC1724"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0.3604</w:t>
            </w:r>
          </w:p>
        </w:tc>
      </w:tr>
      <w:tr w:rsidR="001F6778" w:rsidRPr="00361437" w14:paraId="307C4F9D" w14:textId="77777777" w:rsidTr="001F6778">
        <w:tc>
          <w:tcPr>
            <w:tcW w:w="1676" w:type="pct"/>
            <w:noWrap/>
            <w:tcMar>
              <w:top w:w="0" w:type="dxa"/>
              <w:left w:w="115" w:type="dxa"/>
              <w:bottom w:w="0" w:type="dxa"/>
              <w:right w:w="115" w:type="dxa"/>
            </w:tcMar>
            <w:hideMark/>
          </w:tcPr>
          <w:p w14:paraId="151FED1D" w14:textId="4F3CFB62" w:rsidR="00EC1640" w:rsidRPr="00361437" w:rsidRDefault="006072A7" w:rsidP="00EC1640">
            <w:pPr>
              <w:spacing w:line="256" w:lineRule="auto"/>
              <w:ind w:left="180" w:hanging="180"/>
              <w:contextualSpacing/>
              <w:rPr>
                <w:rFonts w:ascii="Arial" w:eastAsia="Times New Roman" w:hAnsi="Arial" w:cs="Arial"/>
                <w:bCs/>
                <w:color w:val="000000"/>
                <w:sz w:val="18"/>
              </w:rPr>
            </w:pPr>
            <w:r w:rsidRPr="00361437">
              <w:rPr>
                <w:rFonts w:ascii="Arial" w:eastAsia="Times New Roman" w:hAnsi="Arial" w:cs="Arial"/>
                <w:bCs/>
                <w:color w:val="000000"/>
                <w:sz w:val="18"/>
              </w:rPr>
              <w:t>[FAMILY_DEBT_FRACTION × DISTRESS_(0,1)]’</w:t>
            </w:r>
          </w:p>
        </w:tc>
        <w:tc>
          <w:tcPr>
            <w:tcW w:w="481" w:type="pct"/>
            <w:tcMar>
              <w:top w:w="0" w:type="dxa"/>
              <w:left w:w="115" w:type="dxa"/>
              <w:bottom w:w="0" w:type="dxa"/>
              <w:right w:w="115" w:type="dxa"/>
            </w:tcMar>
            <w:vAlign w:val="center"/>
          </w:tcPr>
          <w:p w14:paraId="04D82F48"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4" w:type="pct"/>
            <w:tcMar>
              <w:top w:w="0" w:type="dxa"/>
              <w:left w:w="115" w:type="dxa"/>
              <w:bottom w:w="0" w:type="dxa"/>
              <w:right w:w="115" w:type="dxa"/>
            </w:tcMar>
            <w:vAlign w:val="center"/>
          </w:tcPr>
          <w:p w14:paraId="749A840B"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157" w:type="pct"/>
            <w:tcMar>
              <w:top w:w="0" w:type="dxa"/>
              <w:left w:w="115" w:type="dxa"/>
              <w:bottom w:w="0" w:type="dxa"/>
              <w:right w:w="115" w:type="dxa"/>
            </w:tcMar>
            <w:vAlign w:val="center"/>
          </w:tcPr>
          <w:p w14:paraId="66C87E40"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1" w:type="pct"/>
            <w:tcMar>
              <w:top w:w="0" w:type="dxa"/>
              <w:left w:w="115" w:type="dxa"/>
              <w:bottom w:w="0" w:type="dxa"/>
              <w:right w:w="115" w:type="dxa"/>
            </w:tcMar>
            <w:vAlign w:val="center"/>
          </w:tcPr>
          <w:p w14:paraId="34A03897"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6" w:type="pct"/>
            <w:tcMar>
              <w:top w:w="0" w:type="dxa"/>
              <w:left w:w="115" w:type="dxa"/>
              <w:bottom w:w="0" w:type="dxa"/>
              <w:right w:w="115" w:type="dxa"/>
            </w:tcMar>
            <w:vAlign w:val="center"/>
          </w:tcPr>
          <w:p w14:paraId="01A7BC72"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198" w:type="pct"/>
            <w:tcMar>
              <w:top w:w="0" w:type="dxa"/>
              <w:left w:w="115" w:type="dxa"/>
              <w:bottom w:w="0" w:type="dxa"/>
              <w:right w:w="115" w:type="dxa"/>
            </w:tcMar>
            <w:vAlign w:val="center"/>
          </w:tcPr>
          <w:p w14:paraId="1AF50EC0"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518" w:type="pct"/>
            <w:tcMar>
              <w:top w:w="0" w:type="dxa"/>
              <w:left w:w="115" w:type="dxa"/>
              <w:bottom w:w="0" w:type="dxa"/>
              <w:right w:w="115" w:type="dxa"/>
            </w:tcMar>
            <w:vAlign w:val="center"/>
            <w:hideMark/>
          </w:tcPr>
          <w:p w14:paraId="46438B1B" w14:textId="51EC2C5B" w:rsidR="00EC1640" w:rsidRPr="00361437" w:rsidRDefault="00EC1640" w:rsidP="00374DAF">
            <w:pPr>
              <w:tabs>
                <w:tab w:val="decimal" w:pos="390"/>
              </w:tabs>
              <w:spacing w:line="256" w:lineRule="auto"/>
              <w:rPr>
                <w:rFonts w:ascii="Arial" w:eastAsia="Calibri" w:hAnsi="Arial" w:cs="Arial"/>
                <w:bCs/>
                <w:color w:val="000000"/>
                <w:sz w:val="20"/>
              </w:rPr>
            </w:pPr>
            <w:r w:rsidRPr="00361437">
              <w:rPr>
                <w:rFonts w:ascii="Arial" w:hAnsi="Arial" w:cs="Arial"/>
                <w:color w:val="000000"/>
                <w:sz w:val="20"/>
              </w:rPr>
              <w:t>0.2088</w:t>
            </w:r>
            <w:r w:rsidR="001316B6" w:rsidRPr="00361437">
              <w:rPr>
                <w:rFonts w:ascii="Arial" w:hAnsi="Arial" w:cs="Arial"/>
                <w:color w:val="000000"/>
                <w:sz w:val="20"/>
                <w:vertAlign w:val="superscript"/>
              </w:rPr>
              <w:t>**</w:t>
            </w:r>
          </w:p>
        </w:tc>
        <w:tc>
          <w:tcPr>
            <w:tcW w:w="519" w:type="pct"/>
            <w:tcMar>
              <w:top w:w="0" w:type="dxa"/>
              <w:left w:w="115" w:type="dxa"/>
              <w:bottom w:w="0" w:type="dxa"/>
              <w:right w:w="115" w:type="dxa"/>
            </w:tcMar>
            <w:vAlign w:val="center"/>
            <w:hideMark/>
          </w:tcPr>
          <w:p w14:paraId="283C685C" w14:textId="14D326E8" w:rsidR="00EC1640" w:rsidRPr="00361437" w:rsidRDefault="00EC1640" w:rsidP="00374DAF">
            <w:pPr>
              <w:tabs>
                <w:tab w:val="decimal" w:pos="390"/>
              </w:tabs>
              <w:spacing w:line="256" w:lineRule="auto"/>
              <w:rPr>
                <w:rFonts w:ascii="Arial" w:eastAsia="Calibri" w:hAnsi="Arial" w:cs="Arial"/>
                <w:bCs/>
                <w:color w:val="000000"/>
                <w:sz w:val="20"/>
              </w:rPr>
            </w:pPr>
            <w:r w:rsidRPr="00361437">
              <w:rPr>
                <w:rFonts w:ascii="Arial" w:hAnsi="Arial" w:cs="Arial"/>
                <w:color w:val="000000"/>
                <w:sz w:val="20"/>
              </w:rPr>
              <w:t>0.0239</w:t>
            </w:r>
          </w:p>
        </w:tc>
      </w:tr>
      <w:tr w:rsidR="001F6778" w:rsidRPr="00361437" w14:paraId="6D40970C" w14:textId="77777777" w:rsidTr="001F6778">
        <w:tc>
          <w:tcPr>
            <w:tcW w:w="1676" w:type="pct"/>
            <w:noWrap/>
            <w:tcMar>
              <w:top w:w="0" w:type="dxa"/>
              <w:left w:w="115" w:type="dxa"/>
              <w:bottom w:w="0" w:type="dxa"/>
              <w:right w:w="115" w:type="dxa"/>
            </w:tcMar>
            <w:vAlign w:val="center"/>
            <w:hideMark/>
          </w:tcPr>
          <w:p w14:paraId="2C070ABC" w14:textId="1385A254" w:rsidR="00EC1640" w:rsidRPr="00361437" w:rsidRDefault="006072A7" w:rsidP="00EC1640">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ISS_WITH_CREDITORS_(0,1)</w:t>
            </w:r>
          </w:p>
        </w:tc>
        <w:tc>
          <w:tcPr>
            <w:tcW w:w="481" w:type="pct"/>
            <w:tcMar>
              <w:top w:w="0" w:type="dxa"/>
              <w:left w:w="115" w:type="dxa"/>
              <w:bottom w:w="0" w:type="dxa"/>
              <w:right w:w="115" w:type="dxa"/>
            </w:tcMar>
            <w:vAlign w:val="center"/>
            <w:hideMark/>
          </w:tcPr>
          <w:p w14:paraId="253399D4" w14:textId="1FBD9713"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0.0011</w:t>
            </w:r>
          </w:p>
        </w:tc>
        <w:tc>
          <w:tcPr>
            <w:tcW w:w="484" w:type="pct"/>
            <w:tcMar>
              <w:top w:w="0" w:type="dxa"/>
              <w:left w:w="115" w:type="dxa"/>
              <w:bottom w:w="0" w:type="dxa"/>
              <w:right w:w="115" w:type="dxa"/>
            </w:tcMar>
            <w:vAlign w:val="center"/>
            <w:hideMark/>
          </w:tcPr>
          <w:p w14:paraId="47A11116" w14:textId="4D4435E0"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0.7596</w:t>
            </w:r>
          </w:p>
        </w:tc>
        <w:tc>
          <w:tcPr>
            <w:tcW w:w="157" w:type="pct"/>
            <w:tcMar>
              <w:top w:w="0" w:type="dxa"/>
              <w:left w:w="115" w:type="dxa"/>
              <w:bottom w:w="0" w:type="dxa"/>
              <w:right w:w="115" w:type="dxa"/>
            </w:tcMar>
            <w:vAlign w:val="center"/>
          </w:tcPr>
          <w:p w14:paraId="0919663E"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1" w:type="pct"/>
            <w:tcMar>
              <w:top w:w="0" w:type="dxa"/>
              <w:left w:w="115" w:type="dxa"/>
              <w:bottom w:w="0" w:type="dxa"/>
              <w:right w:w="115" w:type="dxa"/>
            </w:tcMar>
            <w:vAlign w:val="center"/>
            <w:hideMark/>
          </w:tcPr>
          <w:p w14:paraId="2E74058F" w14:textId="6D99E1A3"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0.0000</w:t>
            </w:r>
          </w:p>
        </w:tc>
        <w:tc>
          <w:tcPr>
            <w:tcW w:w="486" w:type="pct"/>
            <w:tcMar>
              <w:top w:w="0" w:type="dxa"/>
              <w:left w:w="115" w:type="dxa"/>
              <w:bottom w:w="0" w:type="dxa"/>
              <w:right w:w="115" w:type="dxa"/>
            </w:tcMar>
            <w:vAlign w:val="center"/>
            <w:hideMark/>
          </w:tcPr>
          <w:p w14:paraId="3405F8CB" w14:textId="09824E48"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0.9830</w:t>
            </w:r>
          </w:p>
        </w:tc>
        <w:tc>
          <w:tcPr>
            <w:tcW w:w="198" w:type="pct"/>
            <w:tcMar>
              <w:top w:w="0" w:type="dxa"/>
              <w:left w:w="115" w:type="dxa"/>
              <w:bottom w:w="0" w:type="dxa"/>
              <w:right w:w="115" w:type="dxa"/>
            </w:tcMar>
            <w:vAlign w:val="center"/>
          </w:tcPr>
          <w:p w14:paraId="64266646"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518" w:type="pct"/>
            <w:tcMar>
              <w:top w:w="0" w:type="dxa"/>
              <w:left w:w="115" w:type="dxa"/>
              <w:bottom w:w="0" w:type="dxa"/>
              <w:right w:w="115" w:type="dxa"/>
            </w:tcMar>
            <w:vAlign w:val="center"/>
            <w:hideMark/>
          </w:tcPr>
          <w:p w14:paraId="302E862A" w14:textId="69BB78F6"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0.7884</w:t>
            </w:r>
            <w:r w:rsidR="001316B6" w:rsidRPr="00361437">
              <w:rPr>
                <w:rFonts w:ascii="Arial" w:hAnsi="Arial" w:cs="Arial"/>
                <w:color w:val="000000"/>
                <w:sz w:val="20"/>
                <w:vertAlign w:val="superscript"/>
              </w:rPr>
              <w:t>***</w:t>
            </w:r>
          </w:p>
        </w:tc>
        <w:tc>
          <w:tcPr>
            <w:tcW w:w="519" w:type="pct"/>
            <w:tcMar>
              <w:top w:w="0" w:type="dxa"/>
              <w:left w:w="115" w:type="dxa"/>
              <w:bottom w:w="0" w:type="dxa"/>
              <w:right w:w="115" w:type="dxa"/>
            </w:tcMar>
            <w:vAlign w:val="center"/>
            <w:hideMark/>
          </w:tcPr>
          <w:p w14:paraId="03DDC0F8" w14:textId="122A495D"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0.0000</w:t>
            </w:r>
          </w:p>
        </w:tc>
      </w:tr>
      <w:tr w:rsidR="001F6778" w:rsidRPr="00361437" w14:paraId="344F27FC" w14:textId="77777777" w:rsidTr="001F6778">
        <w:tc>
          <w:tcPr>
            <w:tcW w:w="1676" w:type="pct"/>
            <w:noWrap/>
            <w:tcMar>
              <w:top w:w="0" w:type="dxa"/>
              <w:left w:w="115" w:type="dxa"/>
              <w:bottom w:w="0" w:type="dxa"/>
              <w:right w:w="115" w:type="dxa"/>
            </w:tcMar>
            <w:hideMark/>
          </w:tcPr>
          <w:p w14:paraId="61EFA6F6" w14:textId="351D1B1E" w:rsidR="00EC1640" w:rsidRPr="00361437" w:rsidRDefault="00374DAF" w:rsidP="00EC1640">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ln</w:t>
            </w:r>
            <w:r w:rsidR="006072A7" w:rsidRPr="00361437">
              <w:rPr>
                <w:rFonts w:ascii="Arial" w:eastAsia="Times New Roman" w:hAnsi="Arial" w:cs="Arial"/>
                <w:sz w:val="18"/>
              </w:rPr>
              <w:t>(MARKET_CAP)</w:t>
            </w:r>
          </w:p>
        </w:tc>
        <w:tc>
          <w:tcPr>
            <w:tcW w:w="481" w:type="pct"/>
            <w:tcMar>
              <w:top w:w="0" w:type="dxa"/>
              <w:left w:w="115" w:type="dxa"/>
              <w:bottom w:w="0" w:type="dxa"/>
              <w:right w:w="115" w:type="dxa"/>
            </w:tcMar>
            <w:vAlign w:val="center"/>
            <w:hideMark/>
          </w:tcPr>
          <w:p w14:paraId="41E51218" w14:textId="472364BD"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0.0123</w:t>
            </w:r>
            <w:r w:rsidRPr="00361437">
              <w:rPr>
                <w:rFonts w:ascii="Arial" w:hAnsi="Arial" w:cs="Arial"/>
                <w:color w:val="000000"/>
                <w:sz w:val="20"/>
                <w:vertAlign w:val="superscript"/>
              </w:rPr>
              <w:t>***</w:t>
            </w:r>
          </w:p>
        </w:tc>
        <w:tc>
          <w:tcPr>
            <w:tcW w:w="484" w:type="pct"/>
            <w:tcMar>
              <w:top w:w="0" w:type="dxa"/>
              <w:left w:w="115" w:type="dxa"/>
              <w:bottom w:w="0" w:type="dxa"/>
              <w:right w:w="115" w:type="dxa"/>
            </w:tcMar>
            <w:vAlign w:val="center"/>
            <w:hideMark/>
          </w:tcPr>
          <w:p w14:paraId="0BF3FDAF" w14:textId="2A92A209"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0.0000</w:t>
            </w:r>
          </w:p>
        </w:tc>
        <w:tc>
          <w:tcPr>
            <w:tcW w:w="157" w:type="pct"/>
            <w:tcMar>
              <w:top w:w="0" w:type="dxa"/>
              <w:left w:w="115" w:type="dxa"/>
              <w:bottom w:w="0" w:type="dxa"/>
              <w:right w:w="115" w:type="dxa"/>
            </w:tcMar>
            <w:vAlign w:val="center"/>
          </w:tcPr>
          <w:p w14:paraId="2A57E9AF"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1" w:type="pct"/>
            <w:tcMar>
              <w:top w:w="0" w:type="dxa"/>
              <w:left w:w="115" w:type="dxa"/>
              <w:bottom w:w="0" w:type="dxa"/>
              <w:right w:w="115" w:type="dxa"/>
            </w:tcMar>
            <w:vAlign w:val="center"/>
            <w:hideMark/>
          </w:tcPr>
          <w:p w14:paraId="09ACA084" w14:textId="1405E532"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0.0004</w:t>
            </w:r>
          </w:p>
        </w:tc>
        <w:tc>
          <w:tcPr>
            <w:tcW w:w="486" w:type="pct"/>
            <w:tcMar>
              <w:top w:w="0" w:type="dxa"/>
              <w:left w:w="115" w:type="dxa"/>
              <w:bottom w:w="0" w:type="dxa"/>
              <w:right w:w="115" w:type="dxa"/>
            </w:tcMar>
            <w:vAlign w:val="center"/>
            <w:hideMark/>
          </w:tcPr>
          <w:p w14:paraId="3E96956F" w14:textId="61589DE2"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0.4741</w:t>
            </w:r>
          </w:p>
        </w:tc>
        <w:tc>
          <w:tcPr>
            <w:tcW w:w="198" w:type="pct"/>
            <w:tcMar>
              <w:top w:w="0" w:type="dxa"/>
              <w:left w:w="115" w:type="dxa"/>
              <w:bottom w:w="0" w:type="dxa"/>
              <w:right w:w="115" w:type="dxa"/>
            </w:tcMar>
            <w:vAlign w:val="center"/>
          </w:tcPr>
          <w:p w14:paraId="31EFA6FB"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518" w:type="pct"/>
            <w:tcMar>
              <w:top w:w="0" w:type="dxa"/>
              <w:left w:w="115" w:type="dxa"/>
              <w:bottom w:w="0" w:type="dxa"/>
              <w:right w:w="115" w:type="dxa"/>
            </w:tcMar>
            <w:vAlign w:val="center"/>
            <w:hideMark/>
          </w:tcPr>
          <w:p w14:paraId="51E5B4FD" w14:textId="69621D1D"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0.0030</w:t>
            </w:r>
          </w:p>
        </w:tc>
        <w:tc>
          <w:tcPr>
            <w:tcW w:w="519" w:type="pct"/>
            <w:tcMar>
              <w:top w:w="0" w:type="dxa"/>
              <w:left w:w="115" w:type="dxa"/>
              <w:bottom w:w="0" w:type="dxa"/>
              <w:right w:w="115" w:type="dxa"/>
            </w:tcMar>
            <w:vAlign w:val="center"/>
            <w:hideMark/>
          </w:tcPr>
          <w:p w14:paraId="745D2486" w14:textId="53AD24B2"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0.1049</w:t>
            </w:r>
          </w:p>
        </w:tc>
      </w:tr>
      <w:tr w:rsidR="001F6778" w:rsidRPr="00361437" w14:paraId="04D39FD4" w14:textId="77777777" w:rsidTr="001F6778">
        <w:tc>
          <w:tcPr>
            <w:tcW w:w="1676" w:type="pct"/>
            <w:noWrap/>
            <w:tcMar>
              <w:top w:w="0" w:type="dxa"/>
              <w:left w:w="115" w:type="dxa"/>
              <w:bottom w:w="0" w:type="dxa"/>
              <w:right w:w="115" w:type="dxa"/>
            </w:tcMar>
            <w:hideMark/>
          </w:tcPr>
          <w:p w14:paraId="5BBDB966" w14:textId="0AB542F3" w:rsidR="00EC1640" w:rsidRPr="00361437" w:rsidRDefault="006072A7" w:rsidP="00EC1640">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MARKET_TO_BOOK</w:t>
            </w:r>
          </w:p>
        </w:tc>
        <w:tc>
          <w:tcPr>
            <w:tcW w:w="481" w:type="pct"/>
            <w:tcMar>
              <w:top w:w="0" w:type="dxa"/>
              <w:left w:w="115" w:type="dxa"/>
              <w:bottom w:w="0" w:type="dxa"/>
              <w:right w:w="115" w:type="dxa"/>
            </w:tcMar>
            <w:vAlign w:val="center"/>
            <w:hideMark/>
          </w:tcPr>
          <w:p w14:paraId="187E6981" w14:textId="37A32705"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-0.0015</w:t>
            </w:r>
          </w:p>
        </w:tc>
        <w:tc>
          <w:tcPr>
            <w:tcW w:w="484" w:type="pct"/>
            <w:tcMar>
              <w:top w:w="0" w:type="dxa"/>
              <w:left w:w="115" w:type="dxa"/>
              <w:bottom w:w="0" w:type="dxa"/>
              <w:right w:w="115" w:type="dxa"/>
            </w:tcMar>
            <w:vAlign w:val="center"/>
            <w:hideMark/>
          </w:tcPr>
          <w:p w14:paraId="44A23F79" w14:textId="2FCDF169"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0.3936</w:t>
            </w:r>
          </w:p>
        </w:tc>
        <w:tc>
          <w:tcPr>
            <w:tcW w:w="157" w:type="pct"/>
            <w:tcMar>
              <w:top w:w="0" w:type="dxa"/>
              <w:left w:w="115" w:type="dxa"/>
              <w:bottom w:w="0" w:type="dxa"/>
              <w:right w:w="115" w:type="dxa"/>
            </w:tcMar>
            <w:vAlign w:val="center"/>
          </w:tcPr>
          <w:p w14:paraId="1F69D4FC"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1" w:type="pct"/>
            <w:tcMar>
              <w:top w:w="0" w:type="dxa"/>
              <w:left w:w="115" w:type="dxa"/>
              <w:bottom w:w="0" w:type="dxa"/>
              <w:right w:w="115" w:type="dxa"/>
            </w:tcMar>
            <w:vAlign w:val="center"/>
            <w:hideMark/>
          </w:tcPr>
          <w:p w14:paraId="3A1C7AB9" w14:textId="14D374E9"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0.0004</w:t>
            </w:r>
          </w:p>
        </w:tc>
        <w:tc>
          <w:tcPr>
            <w:tcW w:w="486" w:type="pct"/>
            <w:tcMar>
              <w:top w:w="0" w:type="dxa"/>
              <w:left w:w="115" w:type="dxa"/>
              <w:bottom w:w="0" w:type="dxa"/>
              <w:right w:w="115" w:type="dxa"/>
            </w:tcMar>
            <w:vAlign w:val="center"/>
            <w:hideMark/>
          </w:tcPr>
          <w:p w14:paraId="719CE75E" w14:textId="1398019A"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0.3807</w:t>
            </w:r>
          </w:p>
        </w:tc>
        <w:tc>
          <w:tcPr>
            <w:tcW w:w="198" w:type="pct"/>
            <w:tcMar>
              <w:top w:w="0" w:type="dxa"/>
              <w:left w:w="115" w:type="dxa"/>
              <w:bottom w:w="0" w:type="dxa"/>
              <w:right w:w="115" w:type="dxa"/>
            </w:tcMar>
            <w:vAlign w:val="center"/>
          </w:tcPr>
          <w:p w14:paraId="2B64EB06"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518" w:type="pct"/>
            <w:tcMar>
              <w:top w:w="0" w:type="dxa"/>
              <w:left w:w="115" w:type="dxa"/>
              <w:bottom w:w="0" w:type="dxa"/>
              <w:right w:w="115" w:type="dxa"/>
            </w:tcMar>
            <w:vAlign w:val="center"/>
            <w:hideMark/>
          </w:tcPr>
          <w:p w14:paraId="599911FB" w14:textId="2498E86C"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-0.0016</w:t>
            </w:r>
          </w:p>
        </w:tc>
        <w:tc>
          <w:tcPr>
            <w:tcW w:w="519" w:type="pct"/>
            <w:tcMar>
              <w:top w:w="0" w:type="dxa"/>
              <w:left w:w="115" w:type="dxa"/>
              <w:bottom w:w="0" w:type="dxa"/>
              <w:right w:w="115" w:type="dxa"/>
            </w:tcMar>
            <w:vAlign w:val="center"/>
            <w:hideMark/>
          </w:tcPr>
          <w:p w14:paraId="6053AAFD" w14:textId="75BC1775"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0.3985</w:t>
            </w:r>
          </w:p>
        </w:tc>
      </w:tr>
      <w:tr w:rsidR="001F6778" w:rsidRPr="00361437" w14:paraId="132764BA" w14:textId="77777777" w:rsidTr="001F6778">
        <w:tc>
          <w:tcPr>
            <w:tcW w:w="1676" w:type="pct"/>
            <w:noWrap/>
            <w:tcMar>
              <w:top w:w="0" w:type="dxa"/>
              <w:left w:w="115" w:type="dxa"/>
              <w:bottom w:w="0" w:type="dxa"/>
              <w:right w:w="115" w:type="dxa"/>
            </w:tcMar>
            <w:hideMark/>
          </w:tcPr>
          <w:p w14:paraId="45A73B6B" w14:textId="3CCD6AA2" w:rsidR="00EC1640" w:rsidRPr="00361437" w:rsidRDefault="006072A7" w:rsidP="00EC1640">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LEVERAGE</w:t>
            </w:r>
          </w:p>
        </w:tc>
        <w:tc>
          <w:tcPr>
            <w:tcW w:w="481" w:type="pct"/>
            <w:tcMar>
              <w:top w:w="0" w:type="dxa"/>
              <w:left w:w="115" w:type="dxa"/>
              <w:bottom w:w="0" w:type="dxa"/>
              <w:right w:w="115" w:type="dxa"/>
            </w:tcMar>
            <w:vAlign w:val="center"/>
            <w:hideMark/>
          </w:tcPr>
          <w:p w14:paraId="3B9F4293" w14:textId="2381D70A"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0.1358</w:t>
            </w:r>
            <w:r w:rsidRPr="00361437">
              <w:rPr>
                <w:rFonts w:ascii="Arial" w:hAnsi="Arial" w:cs="Arial"/>
                <w:color w:val="000000"/>
                <w:sz w:val="20"/>
                <w:vertAlign w:val="superscript"/>
              </w:rPr>
              <w:t>***</w:t>
            </w:r>
          </w:p>
        </w:tc>
        <w:tc>
          <w:tcPr>
            <w:tcW w:w="484" w:type="pct"/>
            <w:tcMar>
              <w:top w:w="0" w:type="dxa"/>
              <w:left w:w="115" w:type="dxa"/>
              <w:bottom w:w="0" w:type="dxa"/>
              <w:right w:w="115" w:type="dxa"/>
            </w:tcMar>
            <w:vAlign w:val="center"/>
            <w:hideMark/>
          </w:tcPr>
          <w:p w14:paraId="67C9DEE9" w14:textId="583145DA"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0.0000</w:t>
            </w:r>
          </w:p>
        </w:tc>
        <w:tc>
          <w:tcPr>
            <w:tcW w:w="157" w:type="pct"/>
            <w:tcMar>
              <w:top w:w="0" w:type="dxa"/>
              <w:left w:w="115" w:type="dxa"/>
              <w:bottom w:w="0" w:type="dxa"/>
              <w:right w:w="115" w:type="dxa"/>
            </w:tcMar>
            <w:vAlign w:val="center"/>
          </w:tcPr>
          <w:p w14:paraId="467984DC"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1" w:type="pct"/>
            <w:tcMar>
              <w:top w:w="0" w:type="dxa"/>
              <w:left w:w="115" w:type="dxa"/>
              <w:bottom w:w="0" w:type="dxa"/>
              <w:right w:w="115" w:type="dxa"/>
            </w:tcMar>
            <w:vAlign w:val="center"/>
            <w:hideMark/>
          </w:tcPr>
          <w:p w14:paraId="3EEABB32" w14:textId="58798BF9"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0.0065</w:t>
            </w:r>
          </w:p>
        </w:tc>
        <w:tc>
          <w:tcPr>
            <w:tcW w:w="486" w:type="pct"/>
            <w:tcMar>
              <w:top w:w="0" w:type="dxa"/>
              <w:left w:w="115" w:type="dxa"/>
              <w:bottom w:w="0" w:type="dxa"/>
              <w:right w:w="115" w:type="dxa"/>
            </w:tcMar>
            <w:vAlign w:val="center"/>
            <w:hideMark/>
          </w:tcPr>
          <w:p w14:paraId="4E1C4DBF" w14:textId="56331EF0"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0.4471</w:t>
            </w:r>
          </w:p>
        </w:tc>
        <w:tc>
          <w:tcPr>
            <w:tcW w:w="198" w:type="pct"/>
            <w:tcMar>
              <w:top w:w="0" w:type="dxa"/>
              <w:left w:w="115" w:type="dxa"/>
              <w:bottom w:w="0" w:type="dxa"/>
              <w:right w:w="115" w:type="dxa"/>
            </w:tcMar>
            <w:vAlign w:val="center"/>
          </w:tcPr>
          <w:p w14:paraId="2EDF7766"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518" w:type="pct"/>
            <w:tcMar>
              <w:top w:w="0" w:type="dxa"/>
              <w:left w:w="115" w:type="dxa"/>
              <w:bottom w:w="0" w:type="dxa"/>
              <w:right w:w="115" w:type="dxa"/>
            </w:tcMar>
            <w:vAlign w:val="center"/>
            <w:hideMark/>
          </w:tcPr>
          <w:p w14:paraId="4DF443D1" w14:textId="1D10973E"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0.0314</w:t>
            </w:r>
            <w:r w:rsidRPr="00361437">
              <w:rPr>
                <w:rFonts w:ascii="Arial" w:hAnsi="Arial" w:cs="Arial"/>
                <w:color w:val="000000"/>
                <w:sz w:val="20"/>
                <w:vertAlign w:val="superscript"/>
              </w:rPr>
              <w:t>*</w:t>
            </w:r>
          </w:p>
        </w:tc>
        <w:tc>
          <w:tcPr>
            <w:tcW w:w="519" w:type="pct"/>
            <w:tcMar>
              <w:top w:w="0" w:type="dxa"/>
              <w:left w:w="115" w:type="dxa"/>
              <w:bottom w:w="0" w:type="dxa"/>
              <w:right w:w="115" w:type="dxa"/>
            </w:tcMar>
            <w:vAlign w:val="center"/>
            <w:hideMark/>
          </w:tcPr>
          <w:p w14:paraId="2EDA98DF" w14:textId="5AF22EB9"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0.0726</w:t>
            </w:r>
          </w:p>
        </w:tc>
      </w:tr>
      <w:tr w:rsidR="001F6778" w:rsidRPr="00361437" w14:paraId="5C327A46" w14:textId="77777777" w:rsidTr="001F6778">
        <w:tc>
          <w:tcPr>
            <w:tcW w:w="1676" w:type="pct"/>
            <w:noWrap/>
            <w:tcMar>
              <w:top w:w="0" w:type="dxa"/>
              <w:left w:w="115" w:type="dxa"/>
              <w:bottom w:w="0" w:type="dxa"/>
              <w:right w:w="115" w:type="dxa"/>
            </w:tcMar>
            <w:hideMark/>
          </w:tcPr>
          <w:p w14:paraId="694FF282" w14:textId="73DA3E63" w:rsidR="00EC1640" w:rsidRPr="00361437" w:rsidRDefault="006072A7" w:rsidP="00EC1640">
            <w:pPr>
              <w:spacing w:line="256" w:lineRule="auto"/>
              <w:ind w:left="180" w:hanging="180"/>
              <w:contextualSpacing/>
              <w:rPr>
                <w:rFonts w:ascii="Arial" w:eastAsia="Times New Roman" w:hAnsi="Arial" w:cs="Arial"/>
                <w:sz w:val="18"/>
              </w:rPr>
            </w:pPr>
            <w:r w:rsidRPr="00361437">
              <w:rPr>
                <w:rFonts w:ascii="Arial" w:eastAsia="Calibri" w:hAnsi="Arial" w:cs="Arial"/>
                <w:sz w:val="18"/>
              </w:rPr>
              <w:t>ROA</w:t>
            </w:r>
          </w:p>
        </w:tc>
        <w:tc>
          <w:tcPr>
            <w:tcW w:w="481" w:type="pct"/>
            <w:tcMar>
              <w:top w:w="0" w:type="dxa"/>
              <w:left w:w="115" w:type="dxa"/>
              <w:bottom w:w="0" w:type="dxa"/>
              <w:right w:w="115" w:type="dxa"/>
            </w:tcMar>
            <w:vAlign w:val="center"/>
            <w:hideMark/>
          </w:tcPr>
          <w:p w14:paraId="3B17553F" w14:textId="49D24A86"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-0.0509</w:t>
            </w:r>
            <w:r w:rsidRPr="00361437">
              <w:rPr>
                <w:rFonts w:ascii="Arial" w:hAnsi="Arial" w:cs="Arial"/>
                <w:color w:val="000000"/>
                <w:sz w:val="20"/>
                <w:vertAlign w:val="superscript"/>
              </w:rPr>
              <w:t>**</w:t>
            </w:r>
          </w:p>
        </w:tc>
        <w:tc>
          <w:tcPr>
            <w:tcW w:w="484" w:type="pct"/>
            <w:tcMar>
              <w:top w:w="0" w:type="dxa"/>
              <w:left w:w="115" w:type="dxa"/>
              <w:bottom w:w="0" w:type="dxa"/>
              <w:right w:w="115" w:type="dxa"/>
            </w:tcMar>
            <w:vAlign w:val="center"/>
            <w:hideMark/>
          </w:tcPr>
          <w:p w14:paraId="092E1A92" w14:textId="7BB1EAF4"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0.0178</w:t>
            </w:r>
          </w:p>
        </w:tc>
        <w:tc>
          <w:tcPr>
            <w:tcW w:w="157" w:type="pct"/>
            <w:tcMar>
              <w:top w:w="0" w:type="dxa"/>
              <w:left w:w="115" w:type="dxa"/>
              <w:bottom w:w="0" w:type="dxa"/>
              <w:right w:w="115" w:type="dxa"/>
            </w:tcMar>
            <w:vAlign w:val="center"/>
          </w:tcPr>
          <w:p w14:paraId="48BE0DDC"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1" w:type="pct"/>
            <w:tcMar>
              <w:top w:w="0" w:type="dxa"/>
              <w:left w:w="115" w:type="dxa"/>
              <w:bottom w:w="0" w:type="dxa"/>
              <w:right w:w="115" w:type="dxa"/>
            </w:tcMar>
            <w:vAlign w:val="center"/>
            <w:hideMark/>
          </w:tcPr>
          <w:p w14:paraId="3E267AF4" w14:textId="62DF3E39"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-0.0015</w:t>
            </w:r>
          </w:p>
        </w:tc>
        <w:tc>
          <w:tcPr>
            <w:tcW w:w="486" w:type="pct"/>
            <w:tcMar>
              <w:top w:w="0" w:type="dxa"/>
              <w:left w:w="115" w:type="dxa"/>
              <w:bottom w:w="0" w:type="dxa"/>
              <w:right w:w="115" w:type="dxa"/>
            </w:tcMar>
            <w:vAlign w:val="center"/>
            <w:hideMark/>
          </w:tcPr>
          <w:p w14:paraId="6547A7CC" w14:textId="5293511E"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0.5504</w:t>
            </w:r>
          </w:p>
        </w:tc>
        <w:tc>
          <w:tcPr>
            <w:tcW w:w="198" w:type="pct"/>
            <w:tcMar>
              <w:top w:w="0" w:type="dxa"/>
              <w:left w:w="115" w:type="dxa"/>
              <w:bottom w:w="0" w:type="dxa"/>
              <w:right w:w="115" w:type="dxa"/>
            </w:tcMar>
            <w:vAlign w:val="center"/>
          </w:tcPr>
          <w:p w14:paraId="08FD300E"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518" w:type="pct"/>
            <w:tcMar>
              <w:top w:w="0" w:type="dxa"/>
              <w:left w:w="115" w:type="dxa"/>
              <w:bottom w:w="0" w:type="dxa"/>
              <w:right w:w="115" w:type="dxa"/>
            </w:tcMar>
            <w:vAlign w:val="center"/>
            <w:hideMark/>
          </w:tcPr>
          <w:p w14:paraId="74292E9F" w14:textId="0BC6EC48"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0.0174</w:t>
            </w:r>
          </w:p>
        </w:tc>
        <w:tc>
          <w:tcPr>
            <w:tcW w:w="519" w:type="pct"/>
            <w:tcMar>
              <w:top w:w="0" w:type="dxa"/>
              <w:left w:w="115" w:type="dxa"/>
              <w:bottom w:w="0" w:type="dxa"/>
              <w:right w:w="115" w:type="dxa"/>
            </w:tcMar>
            <w:vAlign w:val="center"/>
            <w:hideMark/>
          </w:tcPr>
          <w:p w14:paraId="6AEE8A09" w14:textId="2158AE7D"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0.4235</w:t>
            </w:r>
          </w:p>
        </w:tc>
      </w:tr>
      <w:tr w:rsidR="001F6778" w:rsidRPr="00361437" w14:paraId="1EA2A740" w14:textId="77777777" w:rsidTr="001F6778">
        <w:tc>
          <w:tcPr>
            <w:tcW w:w="1676" w:type="pct"/>
            <w:noWrap/>
            <w:tcMar>
              <w:top w:w="0" w:type="dxa"/>
              <w:left w:w="115" w:type="dxa"/>
              <w:bottom w:w="0" w:type="dxa"/>
              <w:right w:w="115" w:type="dxa"/>
            </w:tcMar>
            <w:hideMark/>
          </w:tcPr>
          <w:p w14:paraId="1789A4C7" w14:textId="6A0F9DAA" w:rsidR="00EC1640" w:rsidRPr="00361437" w:rsidRDefault="006072A7" w:rsidP="00EC1640">
            <w:pPr>
              <w:spacing w:line="256" w:lineRule="auto"/>
              <w:ind w:left="180" w:hanging="180"/>
              <w:contextualSpacing/>
              <w:rPr>
                <w:rFonts w:ascii="Arial" w:eastAsia="Times New Roman" w:hAnsi="Arial" w:cs="Arial"/>
                <w:sz w:val="18"/>
              </w:rPr>
            </w:pPr>
            <w:r w:rsidRPr="00361437">
              <w:rPr>
                <w:rFonts w:ascii="Arial" w:eastAsia="Calibri" w:hAnsi="Arial" w:cs="Arial"/>
                <w:sz w:val="18"/>
              </w:rPr>
              <w:t>FIRM_AGE</w:t>
            </w:r>
          </w:p>
        </w:tc>
        <w:tc>
          <w:tcPr>
            <w:tcW w:w="481" w:type="pct"/>
            <w:tcMar>
              <w:top w:w="0" w:type="dxa"/>
              <w:left w:w="115" w:type="dxa"/>
              <w:bottom w:w="0" w:type="dxa"/>
              <w:right w:w="115" w:type="dxa"/>
            </w:tcMar>
            <w:vAlign w:val="center"/>
            <w:hideMark/>
          </w:tcPr>
          <w:p w14:paraId="16831580" w14:textId="18BB653C"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-0.0060</w:t>
            </w:r>
            <w:r w:rsidRPr="00361437">
              <w:rPr>
                <w:rFonts w:ascii="Arial" w:hAnsi="Arial" w:cs="Arial"/>
                <w:color w:val="000000"/>
                <w:sz w:val="20"/>
                <w:vertAlign w:val="superscript"/>
              </w:rPr>
              <w:t>***</w:t>
            </w:r>
          </w:p>
        </w:tc>
        <w:tc>
          <w:tcPr>
            <w:tcW w:w="484" w:type="pct"/>
            <w:tcMar>
              <w:top w:w="0" w:type="dxa"/>
              <w:left w:w="115" w:type="dxa"/>
              <w:bottom w:w="0" w:type="dxa"/>
              <w:right w:w="115" w:type="dxa"/>
            </w:tcMar>
            <w:vAlign w:val="center"/>
            <w:hideMark/>
          </w:tcPr>
          <w:p w14:paraId="3DDC939C" w14:textId="7A860186"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0.0045</w:t>
            </w:r>
          </w:p>
        </w:tc>
        <w:tc>
          <w:tcPr>
            <w:tcW w:w="157" w:type="pct"/>
            <w:tcMar>
              <w:top w:w="0" w:type="dxa"/>
              <w:left w:w="115" w:type="dxa"/>
              <w:bottom w:w="0" w:type="dxa"/>
              <w:right w:w="115" w:type="dxa"/>
            </w:tcMar>
            <w:vAlign w:val="center"/>
          </w:tcPr>
          <w:p w14:paraId="5217A5C8"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1" w:type="pct"/>
            <w:tcMar>
              <w:top w:w="0" w:type="dxa"/>
              <w:left w:w="115" w:type="dxa"/>
              <w:bottom w:w="0" w:type="dxa"/>
              <w:right w:w="115" w:type="dxa"/>
            </w:tcMar>
            <w:vAlign w:val="center"/>
            <w:hideMark/>
          </w:tcPr>
          <w:p w14:paraId="703FC8E3" w14:textId="3658DF37"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0.0005</w:t>
            </w:r>
            <w:r w:rsidRPr="00361437">
              <w:rPr>
                <w:rFonts w:ascii="Arial" w:hAnsi="Arial" w:cs="Arial"/>
                <w:color w:val="000000"/>
                <w:sz w:val="20"/>
                <w:vertAlign w:val="superscript"/>
              </w:rPr>
              <w:t>*</w:t>
            </w:r>
          </w:p>
        </w:tc>
        <w:tc>
          <w:tcPr>
            <w:tcW w:w="486" w:type="pct"/>
            <w:tcMar>
              <w:top w:w="0" w:type="dxa"/>
              <w:left w:w="115" w:type="dxa"/>
              <w:bottom w:w="0" w:type="dxa"/>
              <w:right w:w="115" w:type="dxa"/>
            </w:tcMar>
            <w:vAlign w:val="center"/>
            <w:hideMark/>
          </w:tcPr>
          <w:p w14:paraId="5A0AA77F" w14:textId="2FC06E50"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0.0919</w:t>
            </w:r>
          </w:p>
        </w:tc>
        <w:tc>
          <w:tcPr>
            <w:tcW w:w="198" w:type="pct"/>
            <w:tcMar>
              <w:top w:w="0" w:type="dxa"/>
              <w:left w:w="115" w:type="dxa"/>
              <w:bottom w:w="0" w:type="dxa"/>
              <w:right w:w="115" w:type="dxa"/>
            </w:tcMar>
            <w:vAlign w:val="center"/>
          </w:tcPr>
          <w:p w14:paraId="65C896DD"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518" w:type="pct"/>
            <w:tcMar>
              <w:top w:w="0" w:type="dxa"/>
              <w:left w:w="115" w:type="dxa"/>
              <w:bottom w:w="0" w:type="dxa"/>
              <w:right w:w="115" w:type="dxa"/>
            </w:tcMar>
            <w:vAlign w:val="center"/>
            <w:hideMark/>
          </w:tcPr>
          <w:p w14:paraId="5B50936B" w14:textId="442E8CA0"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-0.0028</w:t>
            </w:r>
          </w:p>
        </w:tc>
        <w:tc>
          <w:tcPr>
            <w:tcW w:w="519" w:type="pct"/>
            <w:tcMar>
              <w:top w:w="0" w:type="dxa"/>
              <w:left w:w="115" w:type="dxa"/>
              <w:bottom w:w="0" w:type="dxa"/>
              <w:right w:w="115" w:type="dxa"/>
            </w:tcMar>
            <w:vAlign w:val="center"/>
            <w:hideMark/>
          </w:tcPr>
          <w:p w14:paraId="3D3468BB" w14:textId="47EC327D"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0.1976</w:t>
            </w:r>
          </w:p>
        </w:tc>
      </w:tr>
      <w:tr w:rsidR="001F6778" w:rsidRPr="00361437" w14:paraId="1C8B1551" w14:textId="77777777" w:rsidTr="001F6778">
        <w:tc>
          <w:tcPr>
            <w:tcW w:w="1676" w:type="pct"/>
            <w:noWrap/>
            <w:tcMar>
              <w:top w:w="0" w:type="dxa"/>
              <w:left w:w="115" w:type="dxa"/>
              <w:bottom w:w="0" w:type="dxa"/>
              <w:right w:w="115" w:type="dxa"/>
            </w:tcMar>
            <w:hideMark/>
          </w:tcPr>
          <w:p w14:paraId="60F70981" w14:textId="35F7A957" w:rsidR="00EC1640" w:rsidRPr="00361437" w:rsidRDefault="006072A7" w:rsidP="00EC1640">
            <w:pPr>
              <w:spacing w:line="256" w:lineRule="auto"/>
              <w:ind w:left="180" w:hanging="180"/>
              <w:contextualSpacing/>
              <w:rPr>
                <w:rFonts w:ascii="Arial" w:eastAsia="Times New Roman" w:hAnsi="Arial" w:cs="Arial"/>
                <w:sz w:val="18"/>
              </w:rPr>
            </w:pPr>
            <w:r w:rsidRPr="00361437">
              <w:rPr>
                <w:rFonts w:ascii="Arial" w:eastAsia="Calibri" w:hAnsi="Arial" w:cs="Arial"/>
                <w:sz w:val="18"/>
              </w:rPr>
              <w:t>INSTITUTIONAL_BLOCK_OWNERSHIP</w:t>
            </w:r>
          </w:p>
        </w:tc>
        <w:tc>
          <w:tcPr>
            <w:tcW w:w="481" w:type="pct"/>
            <w:tcMar>
              <w:top w:w="0" w:type="dxa"/>
              <w:left w:w="115" w:type="dxa"/>
              <w:bottom w:w="0" w:type="dxa"/>
              <w:right w:w="115" w:type="dxa"/>
            </w:tcMar>
            <w:vAlign w:val="center"/>
            <w:hideMark/>
          </w:tcPr>
          <w:p w14:paraId="0034901B" w14:textId="4F27339C"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-0.0036</w:t>
            </w:r>
          </w:p>
        </w:tc>
        <w:tc>
          <w:tcPr>
            <w:tcW w:w="484" w:type="pct"/>
            <w:tcMar>
              <w:top w:w="0" w:type="dxa"/>
              <w:left w:w="115" w:type="dxa"/>
              <w:bottom w:w="0" w:type="dxa"/>
              <w:right w:w="115" w:type="dxa"/>
            </w:tcMar>
            <w:vAlign w:val="center"/>
            <w:hideMark/>
          </w:tcPr>
          <w:p w14:paraId="7B89010B" w14:textId="7A22DDF8"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0.5290</w:t>
            </w:r>
          </w:p>
        </w:tc>
        <w:tc>
          <w:tcPr>
            <w:tcW w:w="157" w:type="pct"/>
            <w:tcMar>
              <w:top w:w="0" w:type="dxa"/>
              <w:left w:w="115" w:type="dxa"/>
              <w:bottom w:w="0" w:type="dxa"/>
              <w:right w:w="115" w:type="dxa"/>
            </w:tcMar>
            <w:vAlign w:val="center"/>
          </w:tcPr>
          <w:p w14:paraId="51FA0DC4"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1" w:type="pct"/>
            <w:tcMar>
              <w:top w:w="0" w:type="dxa"/>
              <w:left w:w="115" w:type="dxa"/>
              <w:bottom w:w="0" w:type="dxa"/>
              <w:right w:w="115" w:type="dxa"/>
            </w:tcMar>
            <w:vAlign w:val="center"/>
            <w:hideMark/>
          </w:tcPr>
          <w:p w14:paraId="00EEE95B" w14:textId="707E25BD"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-0.0014</w:t>
            </w:r>
          </w:p>
        </w:tc>
        <w:tc>
          <w:tcPr>
            <w:tcW w:w="486" w:type="pct"/>
            <w:tcMar>
              <w:top w:w="0" w:type="dxa"/>
              <w:left w:w="115" w:type="dxa"/>
              <w:bottom w:w="0" w:type="dxa"/>
              <w:right w:w="115" w:type="dxa"/>
            </w:tcMar>
            <w:vAlign w:val="center"/>
            <w:hideMark/>
          </w:tcPr>
          <w:p w14:paraId="687AF0AB" w14:textId="281B053E"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0.7012</w:t>
            </w:r>
          </w:p>
        </w:tc>
        <w:tc>
          <w:tcPr>
            <w:tcW w:w="198" w:type="pct"/>
            <w:tcMar>
              <w:top w:w="0" w:type="dxa"/>
              <w:left w:w="115" w:type="dxa"/>
              <w:bottom w:w="0" w:type="dxa"/>
              <w:right w:w="115" w:type="dxa"/>
            </w:tcMar>
            <w:vAlign w:val="center"/>
          </w:tcPr>
          <w:p w14:paraId="4F6FBB32"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518" w:type="pct"/>
            <w:tcMar>
              <w:top w:w="0" w:type="dxa"/>
              <w:left w:w="115" w:type="dxa"/>
              <w:bottom w:w="0" w:type="dxa"/>
              <w:right w:w="115" w:type="dxa"/>
            </w:tcMar>
            <w:vAlign w:val="center"/>
            <w:hideMark/>
          </w:tcPr>
          <w:p w14:paraId="0C6D41C3" w14:textId="62D68B74"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0.0019</w:t>
            </w:r>
          </w:p>
        </w:tc>
        <w:tc>
          <w:tcPr>
            <w:tcW w:w="519" w:type="pct"/>
            <w:tcMar>
              <w:top w:w="0" w:type="dxa"/>
              <w:left w:w="115" w:type="dxa"/>
              <w:bottom w:w="0" w:type="dxa"/>
              <w:right w:w="115" w:type="dxa"/>
            </w:tcMar>
            <w:vAlign w:val="center"/>
            <w:hideMark/>
          </w:tcPr>
          <w:p w14:paraId="56808C16" w14:textId="263E5E24"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0.8551</w:t>
            </w:r>
          </w:p>
        </w:tc>
      </w:tr>
      <w:tr w:rsidR="001F6778" w:rsidRPr="00361437" w14:paraId="2E029FCC" w14:textId="77777777" w:rsidTr="001F6778">
        <w:tc>
          <w:tcPr>
            <w:tcW w:w="1676" w:type="pct"/>
            <w:noWrap/>
            <w:tcMar>
              <w:top w:w="0" w:type="dxa"/>
              <w:left w:w="115" w:type="dxa"/>
              <w:bottom w:w="0" w:type="dxa"/>
              <w:right w:w="115" w:type="dxa"/>
            </w:tcMar>
            <w:vAlign w:val="center"/>
            <w:hideMark/>
          </w:tcPr>
          <w:p w14:paraId="1EBD786E" w14:textId="1A5604BE" w:rsidR="00EC1640" w:rsidRPr="00361437" w:rsidRDefault="006072A7" w:rsidP="00EC1640">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BIG_HOLDING_(0,1)</w:t>
            </w:r>
          </w:p>
        </w:tc>
        <w:tc>
          <w:tcPr>
            <w:tcW w:w="481" w:type="pct"/>
            <w:tcMar>
              <w:top w:w="0" w:type="dxa"/>
              <w:left w:w="115" w:type="dxa"/>
              <w:bottom w:w="0" w:type="dxa"/>
              <w:right w:w="115" w:type="dxa"/>
            </w:tcMar>
            <w:vAlign w:val="center"/>
            <w:hideMark/>
          </w:tcPr>
          <w:p w14:paraId="65C1C9AF" w14:textId="5B52F630"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0.0235</w:t>
            </w:r>
            <w:r w:rsidRPr="00361437">
              <w:rPr>
                <w:rFonts w:ascii="Arial" w:hAnsi="Arial" w:cs="Arial"/>
                <w:color w:val="000000"/>
                <w:sz w:val="20"/>
                <w:vertAlign w:val="superscript"/>
              </w:rPr>
              <w:t>***</w:t>
            </w:r>
          </w:p>
        </w:tc>
        <w:tc>
          <w:tcPr>
            <w:tcW w:w="484" w:type="pct"/>
            <w:tcMar>
              <w:top w:w="0" w:type="dxa"/>
              <w:left w:w="115" w:type="dxa"/>
              <w:bottom w:w="0" w:type="dxa"/>
              <w:right w:w="115" w:type="dxa"/>
            </w:tcMar>
            <w:vAlign w:val="center"/>
            <w:hideMark/>
          </w:tcPr>
          <w:p w14:paraId="5663217B" w14:textId="4B46E069"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0.0000</w:t>
            </w:r>
          </w:p>
        </w:tc>
        <w:tc>
          <w:tcPr>
            <w:tcW w:w="157" w:type="pct"/>
            <w:tcMar>
              <w:top w:w="0" w:type="dxa"/>
              <w:left w:w="115" w:type="dxa"/>
              <w:bottom w:w="0" w:type="dxa"/>
              <w:right w:w="115" w:type="dxa"/>
            </w:tcMar>
            <w:vAlign w:val="center"/>
          </w:tcPr>
          <w:p w14:paraId="34083C88"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1" w:type="pct"/>
            <w:tcMar>
              <w:top w:w="0" w:type="dxa"/>
              <w:left w:w="115" w:type="dxa"/>
              <w:bottom w:w="0" w:type="dxa"/>
              <w:right w:w="115" w:type="dxa"/>
            </w:tcMar>
            <w:vAlign w:val="center"/>
            <w:hideMark/>
          </w:tcPr>
          <w:p w14:paraId="3B0706DF" w14:textId="3E799AFA"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0.0021</w:t>
            </w:r>
            <w:r w:rsidRPr="00361437">
              <w:rPr>
                <w:rFonts w:ascii="Arial" w:hAnsi="Arial" w:cs="Arial"/>
                <w:color w:val="000000"/>
                <w:sz w:val="20"/>
                <w:vertAlign w:val="superscript"/>
              </w:rPr>
              <w:t>*</w:t>
            </w:r>
          </w:p>
        </w:tc>
        <w:tc>
          <w:tcPr>
            <w:tcW w:w="486" w:type="pct"/>
            <w:tcMar>
              <w:top w:w="0" w:type="dxa"/>
              <w:left w:w="115" w:type="dxa"/>
              <w:bottom w:w="0" w:type="dxa"/>
              <w:right w:w="115" w:type="dxa"/>
            </w:tcMar>
            <w:vAlign w:val="center"/>
            <w:hideMark/>
          </w:tcPr>
          <w:p w14:paraId="179F6E35" w14:textId="7B824F16"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0.0671</w:t>
            </w:r>
          </w:p>
        </w:tc>
        <w:tc>
          <w:tcPr>
            <w:tcW w:w="198" w:type="pct"/>
            <w:tcMar>
              <w:top w:w="0" w:type="dxa"/>
              <w:left w:w="115" w:type="dxa"/>
              <w:bottom w:w="0" w:type="dxa"/>
              <w:right w:w="115" w:type="dxa"/>
            </w:tcMar>
            <w:vAlign w:val="center"/>
          </w:tcPr>
          <w:p w14:paraId="5A53AEE2"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518" w:type="pct"/>
            <w:tcMar>
              <w:top w:w="0" w:type="dxa"/>
              <w:left w:w="115" w:type="dxa"/>
              <w:bottom w:w="0" w:type="dxa"/>
              <w:right w:w="115" w:type="dxa"/>
            </w:tcMar>
            <w:vAlign w:val="center"/>
            <w:hideMark/>
          </w:tcPr>
          <w:p w14:paraId="576906D1" w14:textId="78360691"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0.0017</w:t>
            </w:r>
          </w:p>
        </w:tc>
        <w:tc>
          <w:tcPr>
            <w:tcW w:w="519" w:type="pct"/>
            <w:tcMar>
              <w:top w:w="0" w:type="dxa"/>
              <w:left w:w="115" w:type="dxa"/>
              <w:bottom w:w="0" w:type="dxa"/>
              <w:right w:w="115" w:type="dxa"/>
            </w:tcMar>
            <w:vAlign w:val="center"/>
            <w:hideMark/>
          </w:tcPr>
          <w:p w14:paraId="73375D49" w14:textId="5A5E12CC"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0.5295</w:t>
            </w:r>
          </w:p>
        </w:tc>
      </w:tr>
      <w:tr w:rsidR="001F6778" w:rsidRPr="00361437" w14:paraId="7F5F52CE" w14:textId="77777777" w:rsidTr="001F6778">
        <w:tc>
          <w:tcPr>
            <w:tcW w:w="1676" w:type="pct"/>
            <w:noWrap/>
            <w:tcMar>
              <w:top w:w="0" w:type="dxa"/>
              <w:left w:w="115" w:type="dxa"/>
              <w:bottom w:w="0" w:type="dxa"/>
              <w:right w:w="115" w:type="dxa"/>
            </w:tcMar>
            <w:vAlign w:val="center"/>
            <w:hideMark/>
          </w:tcPr>
          <w:p w14:paraId="35B92CB4" w14:textId="72EA0734" w:rsidR="00EC1640" w:rsidRPr="00361437" w:rsidRDefault="006072A7" w:rsidP="00EC1640">
            <w:pPr>
              <w:spacing w:line="256" w:lineRule="auto"/>
              <w:ind w:left="180" w:hanging="180"/>
              <w:contextualSpacing/>
              <w:rPr>
                <w:rFonts w:ascii="Arial" w:eastAsia="Times New Roman" w:hAnsi="Arial" w:cs="Arial"/>
                <w:sz w:val="18"/>
              </w:rPr>
            </w:pPr>
            <w:r w:rsidRPr="00361437">
              <w:rPr>
                <w:rFonts w:ascii="Arial" w:eastAsia="Calibri" w:hAnsi="Arial" w:cs="Arial"/>
                <w:sz w:val="18"/>
              </w:rPr>
              <w:t>NUMBER_OF_FUNDS_IN_THE_FAMILY</w:t>
            </w:r>
          </w:p>
        </w:tc>
        <w:tc>
          <w:tcPr>
            <w:tcW w:w="481" w:type="pct"/>
            <w:tcMar>
              <w:top w:w="0" w:type="dxa"/>
              <w:left w:w="115" w:type="dxa"/>
              <w:bottom w:w="0" w:type="dxa"/>
              <w:right w:w="115" w:type="dxa"/>
            </w:tcMar>
            <w:vAlign w:val="center"/>
            <w:hideMark/>
          </w:tcPr>
          <w:p w14:paraId="1BF4B5D5" w14:textId="5CCDB984"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-0.0056</w:t>
            </w:r>
            <w:r w:rsidRPr="00361437">
              <w:rPr>
                <w:rFonts w:ascii="Arial" w:hAnsi="Arial" w:cs="Arial"/>
                <w:color w:val="000000"/>
                <w:sz w:val="20"/>
                <w:vertAlign w:val="superscript"/>
              </w:rPr>
              <w:t>***</w:t>
            </w:r>
          </w:p>
        </w:tc>
        <w:tc>
          <w:tcPr>
            <w:tcW w:w="484" w:type="pct"/>
            <w:tcMar>
              <w:top w:w="0" w:type="dxa"/>
              <w:left w:w="115" w:type="dxa"/>
              <w:bottom w:w="0" w:type="dxa"/>
              <w:right w:w="115" w:type="dxa"/>
            </w:tcMar>
            <w:vAlign w:val="center"/>
            <w:hideMark/>
          </w:tcPr>
          <w:p w14:paraId="15F067F3" w14:textId="426D4D17"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0.0000</w:t>
            </w:r>
          </w:p>
        </w:tc>
        <w:tc>
          <w:tcPr>
            <w:tcW w:w="157" w:type="pct"/>
            <w:tcMar>
              <w:top w:w="0" w:type="dxa"/>
              <w:left w:w="115" w:type="dxa"/>
              <w:bottom w:w="0" w:type="dxa"/>
              <w:right w:w="115" w:type="dxa"/>
            </w:tcMar>
            <w:vAlign w:val="center"/>
          </w:tcPr>
          <w:p w14:paraId="42D09843"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1" w:type="pct"/>
            <w:tcMar>
              <w:top w:w="0" w:type="dxa"/>
              <w:left w:w="115" w:type="dxa"/>
              <w:bottom w:w="0" w:type="dxa"/>
              <w:right w:w="115" w:type="dxa"/>
            </w:tcMar>
            <w:vAlign w:val="center"/>
            <w:hideMark/>
          </w:tcPr>
          <w:p w14:paraId="576E2B03" w14:textId="4212C2AC"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-0.0006</w:t>
            </w:r>
            <w:r w:rsidRPr="00361437">
              <w:rPr>
                <w:rFonts w:ascii="Arial" w:hAnsi="Arial" w:cs="Arial"/>
                <w:color w:val="000000"/>
                <w:sz w:val="20"/>
                <w:vertAlign w:val="superscript"/>
              </w:rPr>
              <w:t>*</w:t>
            </w:r>
          </w:p>
        </w:tc>
        <w:tc>
          <w:tcPr>
            <w:tcW w:w="486" w:type="pct"/>
            <w:tcMar>
              <w:top w:w="0" w:type="dxa"/>
              <w:left w:w="115" w:type="dxa"/>
              <w:bottom w:w="0" w:type="dxa"/>
              <w:right w:w="115" w:type="dxa"/>
            </w:tcMar>
            <w:vAlign w:val="center"/>
            <w:hideMark/>
          </w:tcPr>
          <w:p w14:paraId="387508C7" w14:textId="2D6307D4"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0.0678</w:t>
            </w:r>
          </w:p>
        </w:tc>
        <w:tc>
          <w:tcPr>
            <w:tcW w:w="198" w:type="pct"/>
            <w:tcMar>
              <w:top w:w="0" w:type="dxa"/>
              <w:left w:w="115" w:type="dxa"/>
              <w:bottom w:w="0" w:type="dxa"/>
              <w:right w:w="115" w:type="dxa"/>
            </w:tcMar>
            <w:vAlign w:val="center"/>
          </w:tcPr>
          <w:p w14:paraId="7CDE8957"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518" w:type="pct"/>
            <w:tcMar>
              <w:top w:w="0" w:type="dxa"/>
              <w:left w:w="115" w:type="dxa"/>
              <w:bottom w:w="0" w:type="dxa"/>
              <w:right w:w="115" w:type="dxa"/>
            </w:tcMar>
            <w:vAlign w:val="center"/>
            <w:hideMark/>
          </w:tcPr>
          <w:p w14:paraId="0047C0A7" w14:textId="55B55BA8"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-0.0100</w:t>
            </w:r>
            <w:r w:rsidRPr="00361437">
              <w:rPr>
                <w:rFonts w:ascii="Arial" w:hAnsi="Arial" w:cs="Arial"/>
                <w:color w:val="000000"/>
                <w:sz w:val="20"/>
                <w:vertAlign w:val="superscript"/>
              </w:rPr>
              <w:t>***</w:t>
            </w:r>
          </w:p>
        </w:tc>
        <w:tc>
          <w:tcPr>
            <w:tcW w:w="519" w:type="pct"/>
            <w:tcMar>
              <w:top w:w="0" w:type="dxa"/>
              <w:left w:w="115" w:type="dxa"/>
              <w:bottom w:w="0" w:type="dxa"/>
              <w:right w:w="115" w:type="dxa"/>
            </w:tcMar>
            <w:vAlign w:val="center"/>
            <w:hideMark/>
          </w:tcPr>
          <w:p w14:paraId="5BB66576" w14:textId="491E8FB7"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0.0000</w:t>
            </w:r>
          </w:p>
        </w:tc>
      </w:tr>
      <w:tr w:rsidR="001F6778" w:rsidRPr="00361437" w14:paraId="6E587F35" w14:textId="77777777" w:rsidTr="001F6778">
        <w:tc>
          <w:tcPr>
            <w:tcW w:w="1676" w:type="pct"/>
            <w:noWrap/>
            <w:tcMar>
              <w:top w:w="0" w:type="dxa"/>
              <w:left w:w="115" w:type="dxa"/>
              <w:bottom w:w="0" w:type="dxa"/>
              <w:right w:w="115" w:type="dxa"/>
            </w:tcMar>
            <w:hideMark/>
          </w:tcPr>
          <w:p w14:paraId="06F8A97E" w14:textId="301FD560" w:rsidR="00EC1640" w:rsidRPr="00361437" w:rsidRDefault="006072A7" w:rsidP="00EC1640">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DISTRESS_(0,1)</w:t>
            </w:r>
          </w:p>
        </w:tc>
        <w:tc>
          <w:tcPr>
            <w:tcW w:w="481" w:type="pct"/>
            <w:tcMar>
              <w:top w:w="0" w:type="dxa"/>
              <w:left w:w="115" w:type="dxa"/>
              <w:bottom w:w="0" w:type="dxa"/>
              <w:right w:w="115" w:type="dxa"/>
            </w:tcMar>
            <w:vAlign w:val="center"/>
            <w:hideMark/>
          </w:tcPr>
          <w:p w14:paraId="0C8AF59B" w14:textId="1DC3C40C"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0.0034</w:t>
            </w:r>
          </w:p>
        </w:tc>
        <w:tc>
          <w:tcPr>
            <w:tcW w:w="484" w:type="pct"/>
            <w:tcMar>
              <w:top w:w="0" w:type="dxa"/>
              <w:left w:w="115" w:type="dxa"/>
              <w:bottom w:w="0" w:type="dxa"/>
              <w:right w:w="115" w:type="dxa"/>
            </w:tcMar>
            <w:vAlign w:val="center"/>
            <w:hideMark/>
          </w:tcPr>
          <w:p w14:paraId="49FD02F1" w14:textId="3C967DAB"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0.8377</w:t>
            </w:r>
          </w:p>
        </w:tc>
        <w:tc>
          <w:tcPr>
            <w:tcW w:w="157" w:type="pct"/>
            <w:tcMar>
              <w:top w:w="0" w:type="dxa"/>
              <w:left w:w="115" w:type="dxa"/>
              <w:bottom w:w="0" w:type="dxa"/>
              <w:right w:w="115" w:type="dxa"/>
            </w:tcMar>
            <w:vAlign w:val="center"/>
          </w:tcPr>
          <w:p w14:paraId="0A66A3E8"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1" w:type="pct"/>
            <w:tcMar>
              <w:top w:w="0" w:type="dxa"/>
              <w:left w:w="115" w:type="dxa"/>
              <w:bottom w:w="0" w:type="dxa"/>
              <w:right w:w="115" w:type="dxa"/>
            </w:tcMar>
            <w:vAlign w:val="center"/>
            <w:hideMark/>
          </w:tcPr>
          <w:p w14:paraId="1EAAB248" w14:textId="2B2C77D7"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0.0625</w:t>
            </w:r>
            <w:r w:rsidRPr="00361437">
              <w:rPr>
                <w:rFonts w:ascii="Arial" w:hAnsi="Arial" w:cs="Arial"/>
                <w:color w:val="000000"/>
                <w:sz w:val="20"/>
                <w:vertAlign w:val="superscript"/>
              </w:rPr>
              <w:t>***</w:t>
            </w:r>
          </w:p>
        </w:tc>
        <w:tc>
          <w:tcPr>
            <w:tcW w:w="486" w:type="pct"/>
            <w:tcMar>
              <w:top w:w="0" w:type="dxa"/>
              <w:left w:w="115" w:type="dxa"/>
              <w:bottom w:w="0" w:type="dxa"/>
              <w:right w:w="115" w:type="dxa"/>
            </w:tcMar>
            <w:vAlign w:val="center"/>
            <w:hideMark/>
          </w:tcPr>
          <w:p w14:paraId="15863413" w14:textId="6EB7C77D"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0.0000</w:t>
            </w:r>
          </w:p>
        </w:tc>
        <w:tc>
          <w:tcPr>
            <w:tcW w:w="198" w:type="pct"/>
            <w:tcMar>
              <w:top w:w="0" w:type="dxa"/>
              <w:left w:w="115" w:type="dxa"/>
              <w:bottom w:w="0" w:type="dxa"/>
              <w:right w:w="115" w:type="dxa"/>
            </w:tcMar>
            <w:vAlign w:val="center"/>
          </w:tcPr>
          <w:p w14:paraId="58886E0E"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518" w:type="pct"/>
            <w:tcMar>
              <w:top w:w="0" w:type="dxa"/>
              <w:left w:w="115" w:type="dxa"/>
              <w:bottom w:w="0" w:type="dxa"/>
              <w:right w:w="115" w:type="dxa"/>
            </w:tcMar>
            <w:vAlign w:val="center"/>
            <w:hideMark/>
          </w:tcPr>
          <w:p w14:paraId="04F2EEEC" w14:textId="08EBB618"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-0.0942</w:t>
            </w:r>
            <w:r w:rsidRPr="00361437">
              <w:rPr>
                <w:rFonts w:ascii="Arial" w:hAnsi="Arial" w:cs="Arial"/>
                <w:color w:val="000000"/>
                <w:sz w:val="20"/>
                <w:vertAlign w:val="superscript"/>
              </w:rPr>
              <w:t>***</w:t>
            </w:r>
          </w:p>
        </w:tc>
        <w:tc>
          <w:tcPr>
            <w:tcW w:w="519" w:type="pct"/>
            <w:tcMar>
              <w:top w:w="0" w:type="dxa"/>
              <w:left w:w="115" w:type="dxa"/>
              <w:bottom w:w="0" w:type="dxa"/>
              <w:right w:w="115" w:type="dxa"/>
            </w:tcMar>
            <w:vAlign w:val="center"/>
            <w:hideMark/>
          </w:tcPr>
          <w:p w14:paraId="76C4936C" w14:textId="337312E8"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0.0080</w:t>
            </w:r>
          </w:p>
        </w:tc>
      </w:tr>
      <w:tr w:rsidR="001F6778" w:rsidRPr="00361437" w14:paraId="5C503924" w14:textId="77777777" w:rsidTr="001F6778">
        <w:tc>
          <w:tcPr>
            <w:tcW w:w="1676" w:type="pct"/>
            <w:noWrap/>
            <w:tcMar>
              <w:top w:w="0" w:type="dxa"/>
              <w:left w:w="115" w:type="dxa"/>
              <w:bottom w:w="0" w:type="dxa"/>
              <w:right w:w="115" w:type="dxa"/>
            </w:tcMar>
            <w:hideMark/>
          </w:tcPr>
          <w:p w14:paraId="54150086" w14:textId="77777777" w:rsidR="00EC1640" w:rsidRPr="00361437" w:rsidRDefault="00EC1640" w:rsidP="00EC1640">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Intercept</w:t>
            </w:r>
          </w:p>
        </w:tc>
        <w:tc>
          <w:tcPr>
            <w:tcW w:w="481" w:type="pct"/>
            <w:tcMar>
              <w:top w:w="0" w:type="dxa"/>
              <w:left w:w="115" w:type="dxa"/>
              <w:bottom w:w="0" w:type="dxa"/>
              <w:right w:w="115" w:type="dxa"/>
            </w:tcMar>
            <w:vAlign w:val="center"/>
            <w:hideMark/>
          </w:tcPr>
          <w:p w14:paraId="44C200A7" w14:textId="34CC78A0"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-0.0822</w:t>
            </w:r>
            <w:r w:rsidRPr="00361437">
              <w:rPr>
                <w:rFonts w:ascii="Arial" w:hAnsi="Arial" w:cs="Arial"/>
                <w:color w:val="000000"/>
                <w:sz w:val="20"/>
                <w:vertAlign w:val="superscript"/>
              </w:rPr>
              <w:t>***</w:t>
            </w:r>
          </w:p>
        </w:tc>
        <w:tc>
          <w:tcPr>
            <w:tcW w:w="484" w:type="pct"/>
            <w:tcMar>
              <w:top w:w="0" w:type="dxa"/>
              <w:left w:w="115" w:type="dxa"/>
              <w:bottom w:w="0" w:type="dxa"/>
              <w:right w:w="115" w:type="dxa"/>
            </w:tcMar>
            <w:vAlign w:val="center"/>
            <w:hideMark/>
          </w:tcPr>
          <w:p w14:paraId="619FD6B1" w14:textId="46055216"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0.0003</w:t>
            </w:r>
          </w:p>
        </w:tc>
        <w:tc>
          <w:tcPr>
            <w:tcW w:w="157" w:type="pct"/>
            <w:tcMar>
              <w:top w:w="0" w:type="dxa"/>
              <w:left w:w="115" w:type="dxa"/>
              <w:bottom w:w="0" w:type="dxa"/>
              <w:right w:w="115" w:type="dxa"/>
            </w:tcMar>
            <w:vAlign w:val="center"/>
          </w:tcPr>
          <w:p w14:paraId="4BFC1DD7"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481" w:type="pct"/>
            <w:tcMar>
              <w:top w:w="0" w:type="dxa"/>
              <w:left w:w="115" w:type="dxa"/>
              <w:bottom w:w="0" w:type="dxa"/>
              <w:right w:w="115" w:type="dxa"/>
            </w:tcMar>
            <w:vAlign w:val="center"/>
            <w:hideMark/>
          </w:tcPr>
          <w:p w14:paraId="22119D45" w14:textId="6B1471FD"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-0.0059</w:t>
            </w:r>
          </w:p>
        </w:tc>
        <w:tc>
          <w:tcPr>
            <w:tcW w:w="486" w:type="pct"/>
            <w:tcMar>
              <w:top w:w="0" w:type="dxa"/>
              <w:left w:w="115" w:type="dxa"/>
              <w:bottom w:w="0" w:type="dxa"/>
              <w:right w:w="115" w:type="dxa"/>
            </w:tcMar>
            <w:vAlign w:val="center"/>
            <w:hideMark/>
          </w:tcPr>
          <w:p w14:paraId="18CB2394" w14:textId="02789FDF"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0.1056</w:t>
            </w:r>
          </w:p>
        </w:tc>
        <w:tc>
          <w:tcPr>
            <w:tcW w:w="198" w:type="pct"/>
            <w:tcMar>
              <w:top w:w="0" w:type="dxa"/>
              <w:left w:w="115" w:type="dxa"/>
              <w:bottom w:w="0" w:type="dxa"/>
              <w:right w:w="115" w:type="dxa"/>
            </w:tcMar>
            <w:vAlign w:val="center"/>
          </w:tcPr>
          <w:p w14:paraId="4420B17E" w14:textId="77777777" w:rsidR="00EC1640" w:rsidRPr="00361437" w:rsidRDefault="00EC1640" w:rsidP="00374DAF">
            <w:pPr>
              <w:tabs>
                <w:tab w:val="decimal" w:pos="390"/>
              </w:tabs>
              <w:spacing w:line="256" w:lineRule="auto"/>
              <w:rPr>
                <w:rFonts w:ascii="Arial" w:eastAsia="Calibri" w:hAnsi="Arial" w:cs="Arial"/>
                <w:color w:val="000000"/>
                <w:sz w:val="20"/>
              </w:rPr>
            </w:pPr>
          </w:p>
        </w:tc>
        <w:tc>
          <w:tcPr>
            <w:tcW w:w="518" w:type="pct"/>
            <w:tcMar>
              <w:top w:w="0" w:type="dxa"/>
              <w:left w:w="115" w:type="dxa"/>
              <w:bottom w:w="0" w:type="dxa"/>
              <w:right w:w="115" w:type="dxa"/>
            </w:tcMar>
            <w:vAlign w:val="center"/>
            <w:hideMark/>
          </w:tcPr>
          <w:p w14:paraId="3546089D" w14:textId="31BF09E7"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0.1777</w:t>
            </w:r>
            <w:r w:rsidRPr="00361437">
              <w:rPr>
                <w:rFonts w:ascii="Arial" w:hAnsi="Arial" w:cs="Arial"/>
                <w:color w:val="000000"/>
                <w:sz w:val="20"/>
                <w:vertAlign w:val="superscript"/>
              </w:rPr>
              <w:t>***</w:t>
            </w:r>
          </w:p>
        </w:tc>
        <w:tc>
          <w:tcPr>
            <w:tcW w:w="519" w:type="pct"/>
            <w:tcMar>
              <w:top w:w="0" w:type="dxa"/>
              <w:left w:w="115" w:type="dxa"/>
              <w:bottom w:w="0" w:type="dxa"/>
              <w:right w:w="115" w:type="dxa"/>
            </w:tcMar>
            <w:vAlign w:val="center"/>
            <w:hideMark/>
          </w:tcPr>
          <w:p w14:paraId="5AC540B5" w14:textId="48C19A24" w:rsidR="00EC1640" w:rsidRPr="00361437" w:rsidRDefault="00EC1640" w:rsidP="00374DAF">
            <w:pPr>
              <w:tabs>
                <w:tab w:val="decimal" w:pos="390"/>
              </w:tabs>
              <w:spacing w:line="256" w:lineRule="auto"/>
              <w:rPr>
                <w:rFonts w:ascii="Arial" w:eastAsia="Calibri" w:hAnsi="Arial" w:cs="Arial"/>
                <w:color w:val="000000"/>
                <w:sz w:val="20"/>
              </w:rPr>
            </w:pPr>
            <w:r w:rsidRPr="00361437">
              <w:rPr>
                <w:rFonts w:ascii="Arial" w:hAnsi="Arial" w:cs="Arial"/>
                <w:color w:val="000000"/>
                <w:sz w:val="20"/>
              </w:rPr>
              <w:t>0.0000</w:t>
            </w:r>
          </w:p>
        </w:tc>
      </w:tr>
      <w:tr w:rsidR="001F6778" w:rsidRPr="00361437" w14:paraId="4F421C25" w14:textId="77777777" w:rsidTr="001F6778">
        <w:tc>
          <w:tcPr>
            <w:tcW w:w="1676" w:type="pct"/>
            <w:noWrap/>
            <w:tcMar>
              <w:top w:w="0" w:type="dxa"/>
              <w:left w:w="115" w:type="dxa"/>
              <w:bottom w:w="0" w:type="dxa"/>
              <w:right w:w="115" w:type="dxa"/>
            </w:tcMar>
            <w:vAlign w:val="center"/>
            <w:hideMark/>
          </w:tcPr>
          <w:p w14:paraId="0CAD0EAC" w14:textId="77777777" w:rsidR="00032E88" w:rsidRPr="00361437" w:rsidRDefault="00032E88" w:rsidP="00032E88">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F-statistic of excluded instrument</w:t>
            </w:r>
          </w:p>
        </w:tc>
        <w:tc>
          <w:tcPr>
            <w:tcW w:w="481" w:type="pct"/>
            <w:tcMar>
              <w:top w:w="0" w:type="dxa"/>
              <w:left w:w="115" w:type="dxa"/>
              <w:bottom w:w="0" w:type="dxa"/>
              <w:right w:w="115" w:type="dxa"/>
            </w:tcMar>
            <w:vAlign w:val="center"/>
            <w:hideMark/>
          </w:tcPr>
          <w:p w14:paraId="661881DF" w14:textId="7FD22C99" w:rsidR="00032E88" w:rsidRPr="00361437" w:rsidRDefault="00032E88" w:rsidP="00032E88">
            <w:pPr>
              <w:spacing w:line="256" w:lineRule="auto"/>
              <w:jc w:val="center"/>
              <w:rPr>
                <w:rFonts w:ascii="Arial" w:eastAsia="Calibri" w:hAnsi="Arial" w:cs="Arial"/>
                <w:color w:val="000000"/>
                <w:sz w:val="20"/>
              </w:rPr>
            </w:pPr>
            <w:r w:rsidRPr="00361437">
              <w:rPr>
                <w:rFonts w:ascii="Arial" w:eastAsia="Times New Roman" w:hAnsi="Arial" w:cs="Arial"/>
                <w:sz w:val="20"/>
              </w:rPr>
              <w:t>2</w:t>
            </w:r>
            <w:r w:rsidR="00320DA7" w:rsidRPr="00361437">
              <w:rPr>
                <w:rFonts w:ascii="Arial" w:eastAsia="Times New Roman" w:hAnsi="Arial" w:cs="Arial"/>
                <w:sz w:val="20"/>
              </w:rPr>
              <w:t>7.92</w:t>
            </w:r>
          </w:p>
        </w:tc>
        <w:tc>
          <w:tcPr>
            <w:tcW w:w="484" w:type="pct"/>
            <w:tcMar>
              <w:top w:w="0" w:type="dxa"/>
              <w:left w:w="115" w:type="dxa"/>
              <w:bottom w:w="0" w:type="dxa"/>
              <w:right w:w="115" w:type="dxa"/>
            </w:tcMar>
            <w:vAlign w:val="center"/>
          </w:tcPr>
          <w:p w14:paraId="553B3A5A" w14:textId="77777777" w:rsidR="00032E88" w:rsidRPr="00361437" w:rsidRDefault="00032E88" w:rsidP="00032E88">
            <w:pPr>
              <w:spacing w:line="256" w:lineRule="auto"/>
              <w:jc w:val="center"/>
              <w:rPr>
                <w:rFonts w:ascii="Arial" w:eastAsia="Calibri" w:hAnsi="Arial" w:cs="Arial"/>
                <w:color w:val="000000"/>
                <w:sz w:val="20"/>
              </w:rPr>
            </w:pPr>
          </w:p>
        </w:tc>
        <w:tc>
          <w:tcPr>
            <w:tcW w:w="157" w:type="pct"/>
            <w:tcMar>
              <w:top w:w="0" w:type="dxa"/>
              <w:left w:w="115" w:type="dxa"/>
              <w:bottom w:w="0" w:type="dxa"/>
              <w:right w:w="115" w:type="dxa"/>
            </w:tcMar>
            <w:vAlign w:val="center"/>
          </w:tcPr>
          <w:p w14:paraId="5C3A6F94" w14:textId="77777777" w:rsidR="00032E88" w:rsidRPr="00361437" w:rsidRDefault="00032E88" w:rsidP="00032E88">
            <w:pPr>
              <w:tabs>
                <w:tab w:val="decimal" w:pos="206"/>
              </w:tabs>
              <w:spacing w:line="256" w:lineRule="auto"/>
              <w:jc w:val="center"/>
              <w:rPr>
                <w:rFonts w:ascii="Arial" w:eastAsia="Calibri" w:hAnsi="Arial" w:cs="Arial"/>
                <w:color w:val="000000"/>
                <w:sz w:val="20"/>
              </w:rPr>
            </w:pPr>
          </w:p>
        </w:tc>
        <w:tc>
          <w:tcPr>
            <w:tcW w:w="481" w:type="pct"/>
            <w:tcMar>
              <w:top w:w="0" w:type="dxa"/>
              <w:left w:w="115" w:type="dxa"/>
              <w:bottom w:w="0" w:type="dxa"/>
              <w:right w:w="115" w:type="dxa"/>
            </w:tcMar>
            <w:vAlign w:val="center"/>
            <w:hideMark/>
          </w:tcPr>
          <w:p w14:paraId="48D75549" w14:textId="75B94AB5" w:rsidR="00032E88" w:rsidRPr="00361437" w:rsidRDefault="00032E88" w:rsidP="00032E88">
            <w:pPr>
              <w:spacing w:line="256" w:lineRule="auto"/>
              <w:jc w:val="center"/>
              <w:rPr>
                <w:rFonts w:ascii="Arial" w:eastAsia="Calibri" w:hAnsi="Arial" w:cs="Arial"/>
                <w:color w:val="000000"/>
                <w:sz w:val="20"/>
              </w:rPr>
            </w:pPr>
            <w:r w:rsidRPr="00361437">
              <w:rPr>
                <w:rFonts w:ascii="Arial" w:eastAsia="Times New Roman" w:hAnsi="Arial" w:cs="Arial"/>
                <w:sz w:val="20"/>
              </w:rPr>
              <w:t>2</w:t>
            </w:r>
            <w:r w:rsidR="00320DA7" w:rsidRPr="00361437">
              <w:rPr>
                <w:rFonts w:ascii="Arial" w:eastAsia="Times New Roman" w:hAnsi="Arial" w:cs="Arial"/>
                <w:sz w:val="20"/>
              </w:rPr>
              <w:t>3.70</w:t>
            </w:r>
          </w:p>
        </w:tc>
        <w:tc>
          <w:tcPr>
            <w:tcW w:w="486" w:type="pct"/>
            <w:tcMar>
              <w:top w:w="0" w:type="dxa"/>
              <w:left w:w="115" w:type="dxa"/>
              <w:bottom w:w="0" w:type="dxa"/>
              <w:right w:w="115" w:type="dxa"/>
            </w:tcMar>
            <w:vAlign w:val="center"/>
          </w:tcPr>
          <w:p w14:paraId="07EFA72B" w14:textId="77777777" w:rsidR="00032E88" w:rsidRPr="00361437" w:rsidRDefault="00032E88" w:rsidP="00032E88">
            <w:pPr>
              <w:tabs>
                <w:tab w:val="decimal" w:pos="206"/>
              </w:tabs>
              <w:spacing w:line="256" w:lineRule="auto"/>
              <w:jc w:val="center"/>
              <w:rPr>
                <w:rFonts w:ascii="Arial" w:eastAsia="Calibri" w:hAnsi="Arial" w:cs="Arial"/>
                <w:color w:val="000000"/>
                <w:sz w:val="20"/>
              </w:rPr>
            </w:pPr>
          </w:p>
        </w:tc>
        <w:tc>
          <w:tcPr>
            <w:tcW w:w="198" w:type="pct"/>
            <w:tcMar>
              <w:top w:w="0" w:type="dxa"/>
              <w:left w:w="115" w:type="dxa"/>
              <w:bottom w:w="0" w:type="dxa"/>
              <w:right w:w="115" w:type="dxa"/>
            </w:tcMar>
          </w:tcPr>
          <w:p w14:paraId="0FECC157" w14:textId="77777777" w:rsidR="00032E88" w:rsidRPr="00361437" w:rsidRDefault="00032E88" w:rsidP="00032E88">
            <w:pPr>
              <w:tabs>
                <w:tab w:val="decimal" w:pos="206"/>
              </w:tabs>
              <w:spacing w:line="256" w:lineRule="auto"/>
              <w:jc w:val="center"/>
              <w:rPr>
                <w:rFonts w:ascii="Arial" w:eastAsia="Calibri" w:hAnsi="Arial" w:cs="Arial"/>
                <w:color w:val="000000"/>
                <w:sz w:val="20"/>
              </w:rPr>
            </w:pPr>
          </w:p>
        </w:tc>
        <w:tc>
          <w:tcPr>
            <w:tcW w:w="518" w:type="pct"/>
            <w:tcMar>
              <w:top w:w="0" w:type="dxa"/>
              <w:left w:w="115" w:type="dxa"/>
              <w:bottom w:w="0" w:type="dxa"/>
              <w:right w:w="115" w:type="dxa"/>
            </w:tcMar>
          </w:tcPr>
          <w:p w14:paraId="08C1DA3C" w14:textId="77777777" w:rsidR="00032E88" w:rsidRPr="00361437" w:rsidRDefault="00032E88" w:rsidP="00032E88">
            <w:pPr>
              <w:spacing w:line="256" w:lineRule="auto"/>
              <w:jc w:val="center"/>
              <w:rPr>
                <w:rFonts w:ascii="Arial" w:eastAsia="Calibri" w:hAnsi="Arial" w:cs="Arial"/>
                <w:color w:val="000000"/>
                <w:sz w:val="20"/>
              </w:rPr>
            </w:pPr>
          </w:p>
        </w:tc>
        <w:tc>
          <w:tcPr>
            <w:tcW w:w="519" w:type="pct"/>
            <w:tcMar>
              <w:top w:w="0" w:type="dxa"/>
              <w:left w:w="115" w:type="dxa"/>
              <w:bottom w:w="0" w:type="dxa"/>
              <w:right w:w="115" w:type="dxa"/>
            </w:tcMar>
          </w:tcPr>
          <w:p w14:paraId="0FDDE90C" w14:textId="77777777" w:rsidR="00032E88" w:rsidRPr="00361437" w:rsidRDefault="00032E88" w:rsidP="00032E88">
            <w:pPr>
              <w:tabs>
                <w:tab w:val="decimal" w:pos="206"/>
              </w:tabs>
              <w:spacing w:line="256" w:lineRule="auto"/>
              <w:jc w:val="center"/>
              <w:rPr>
                <w:rFonts w:ascii="Arial" w:eastAsia="Calibri" w:hAnsi="Arial" w:cs="Arial"/>
                <w:color w:val="000000"/>
                <w:sz w:val="20"/>
              </w:rPr>
            </w:pPr>
          </w:p>
        </w:tc>
      </w:tr>
      <w:tr w:rsidR="001F6778" w:rsidRPr="00361437" w14:paraId="05ED76CF" w14:textId="77777777" w:rsidTr="001F6778">
        <w:tc>
          <w:tcPr>
            <w:tcW w:w="1676" w:type="pct"/>
            <w:noWrap/>
            <w:tcMar>
              <w:top w:w="0" w:type="dxa"/>
              <w:left w:w="115" w:type="dxa"/>
              <w:bottom w:w="0" w:type="dxa"/>
              <w:right w:w="115" w:type="dxa"/>
            </w:tcMar>
            <w:vAlign w:val="center"/>
            <w:hideMark/>
          </w:tcPr>
          <w:p w14:paraId="363E866B" w14:textId="77777777" w:rsidR="00032E88" w:rsidRPr="00361437" w:rsidRDefault="00032E88" w:rsidP="00032E88">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 xml:space="preserve">N     </w:t>
            </w:r>
          </w:p>
        </w:tc>
        <w:tc>
          <w:tcPr>
            <w:tcW w:w="481" w:type="pct"/>
            <w:tcMar>
              <w:top w:w="0" w:type="dxa"/>
              <w:left w:w="115" w:type="dxa"/>
              <w:bottom w:w="0" w:type="dxa"/>
              <w:right w:w="115" w:type="dxa"/>
            </w:tcMar>
            <w:vAlign w:val="center"/>
            <w:hideMark/>
          </w:tcPr>
          <w:p w14:paraId="17B77B95" w14:textId="35A0D654" w:rsidR="00032E88" w:rsidRPr="00361437" w:rsidRDefault="00655474" w:rsidP="00032E88">
            <w:pPr>
              <w:spacing w:line="256" w:lineRule="auto"/>
              <w:jc w:val="center"/>
              <w:rPr>
                <w:rFonts w:ascii="Arial" w:eastAsia="Calibri" w:hAnsi="Arial" w:cs="Arial"/>
                <w:color w:val="000000"/>
                <w:sz w:val="20"/>
              </w:rPr>
            </w:pPr>
            <w:r w:rsidRPr="00361437">
              <w:rPr>
                <w:rFonts w:ascii="Arial" w:eastAsia="Times New Roman" w:hAnsi="Arial" w:cs="Arial"/>
                <w:sz w:val="20"/>
              </w:rPr>
              <w:t>52,745</w:t>
            </w:r>
          </w:p>
        </w:tc>
        <w:tc>
          <w:tcPr>
            <w:tcW w:w="484" w:type="pct"/>
            <w:tcMar>
              <w:top w:w="0" w:type="dxa"/>
              <w:left w:w="115" w:type="dxa"/>
              <w:bottom w:w="0" w:type="dxa"/>
              <w:right w:w="115" w:type="dxa"/>
            </w:tcMar>
            <w:vAlign w:val="center"/>
          </w:tcPr>
          <w:p w14:paraId="750CCC42" w14:textId="77777777" w:rsidR="00032E88" w:rsidRPr="00361437" w:rsidRDefault="00032E88" w:rsidP="00032E88">
            <w:pPr>
              <w:spacing w:line="256" w:lineRule="auto"/>
              <w:jc w:val="center"/>
              <w:rPr>
                <w:rFonts w:ascii="Arial" w:eastAsia="Calibri" w:hAnsi="Arial" w:cs="Arial"/>
                <w:color w:val="000000"/>
                <w:sz w:val="20"/>
              </w:rPr>
            </w:pPr>
          </w:p>
        </w:tc>
        <w:tc>
          <w:tcPr>
            <w:tcW w:w="157" w:type="pct"/>
            <w:tcMar>
              <w:top w:w="0" w:type="dxa"/>
              <w:left w:w="115" w:type="dxa"/>
              <w:bottom w:w="0" w:type="dxa"/>
              <w:right w:w="115" w:type="dxa"/>
            </w:tcMar>
            <w:vAlign w:val="center"/>
          </w:tcPr>
          <w:p w14:paraId="0704E49C" w14:textId="77777777" w:rsidR="00032E88" w:rsidRPr="00361437" w:rsidRDefault="00032E88" w:rsidP="00032E88">
            <w:pPr>
              <w:tabs>
                <w:tab w:val="decimal" w:pos="206"/>
              </w:tabs>
              <w:spacing w:line="256" w:lineRule="auto"/>
              <w:jc w:val="center"/>
              <w:rPr>
                <w:rFonts w:ascii="Arial" w:eastAsia="Calibri" w:hAnsi="Arial" w:cs="Arial"/>
                <w:color w:val="000000"/>
                <w:sz w:val="20"/>
              </w:rPr>
            </w:pPr>
          </w:p>
        </w:tc>
        <w:tc>
          <w:tcPr>
            <w:tcW w:w="481" w:type="pct"/>
            <w:tcMar>
              <w:top w:w="0" w:type="dxa"/>
              <w:left w:w="115" w:type="dxa"/>
              <w:bottom w:w="0" w:type="dxa"/>
              <w:right w:w="115" w:type="dxa"/>
            </w:tcMar>
            <w:vAlign w:val="center"/>
            <w:hideMark/>
          </w:tcPr>
          <w:p w14:paraId="61C2E60C" w14:textId="3A167A89" w:rsidR="00032E88" w:rsidRPr="00361437" w:rsidRDefault="00655474" w:rsidP="00032E88">
            <w:pPr>
              <w:spacing w:line="256" w:lineRule="auto"/>
              <w:jc w:val="center"/>
              <w:rPr>
                <w:rFonts w:ascii="Arial" w:eastAsia="Calibri" w:hAnsi="Arial" w:cs="Arial"/>
                <w:color w:val="000000"/>
                <w:sz w:val="20"/>
              </w:rPr>
            </w:pPr>
            <w:r w:rsidRPr="00361437">
              <w:rPr>
                <w:rFonts w:ascii="Arial" w:eastAsia="Times New Roman" w:hAnsi="Arial" w:cs="Arial"/>
                <w:sz w:val="20"/>
              </w:rPr>
              <w:t>52,745</w:t>
            </w:r>
          </w:p>
        </w:tc>
        <w:tc>
          <w:tcPr>
            <w:tcW w:w="486" w:type="pct"/>
            <w:tcMar>
              <w:top w:w="0" w:type="dxa"/>
              <w:left w:w="115" w:type="dxa"/>
              <w:bottom w:w="0" w:type="dxa"/>
              <w:right w:w="115" w:type="dxa"/>
            </w:tcMar>
            <w:vAlign w:val="bottom"/>
          </w:tcPr>
          <w:p w14:paraId="0D004F1A" w14:textId="77777777" w:rsidR="00032E88" w:rsidRPr="00361437" w:rsidRDefault="00032E88" w:rsidP="00032E88">
            <w:pPr>
              <w:tabs>
                <w:tab w:val="decimal" w:pos="206"/>
              </w:tabs>
              <w:spacing w:line="256" w:lineRule="auto"/>
              <w:jc w:val="center"/>
              <w:rPr>
                <w:rFonts w:ascii="Arial" w:eastAsia="Calibri" w:hAnsi="Arial" w:cs="Arial"/>
                <w:color w:val="000000"/>
                <w:sz w:val="20"/>
              </w:rPr>
            </w:pPr>
          </w:p>
        </w:tc>
        <w:tc>
          <w:tcPr>
            <w:tcW w:w="198" w:type="pct"/>
            <w:tcMar>
              <w:top w:w="0" w:type="dxa"/>
              <w:left w:w="115" w:type="dxa"/>
              <w:bottom w:w="0" w:type="dxa"/>
              <w:right w:w="115" w:type="dxa"/>
            </w:tcMar>
          </w:tcPr>
          <w:p w14:paraId="5FE74BC5" w14:textId="77777777" w:rsidR="00032E88" w:rsidRPr="00361437" w:rsidRDefault="00032E88" w:rsidP="00032E88">
            <w:pPr>
              <w:tabs>
                <w:tab w:val="decimal" w:pos="206"/>
              </w:tabs>
              <w:spacing w:line="256" w:lineRule="auto"/>
              <w:jc w:val="center"/>
              <w:rPr>
                <w:rFonts w:ascii="Arial" w:eastAsia="Calibri" w:hAnsi="Arial" w:cs="Arial"/>
                <w:color w:val="000000"/>
                <w:sz w:val="20"/>
              </w:rPr>
            </w:pPr>
          </w:p>
        </w:tc>
        <w:tc>
          <w:tcPr>
            <w:tcW w:w="518" w:type="pct"/>
            <w:tcMar>
              <w:top w:w="0" w:type="dxa"/>
              <w:left w:w="115" w:type="dxa"/>
              <w:bottom w:w="0" w:type="dxa"/>
              <w:right w:w="115" w:type="dxa"/>
            </w:tcMar>
            <w:hideMark/>
          </w:tcPr>
          <w:p w14:paraId="4752AEAA" w14:textId="24343B6A" w:rsidR="00032E88" w:rsidRPr="00361437" w:rsidRDefault="00655474" w:rsidP="00032E88">
            <w:pPr>
              <w:spacing w:line="256" w:lineRule="auto"/>
              <w:jc w:val="center"/>
              <w:rPr>
                <w:rFonts w:ascii="Arial" w:eastAsia="Calibri" w:hAnsi="Arial" w:cs="Arial"/>
                <w:color w:val="000000"/>
                <w:sz w:val="20"/>
              </w:rPr>
            </w:pPr>
            <w:r w:rsidRPr="00361437">
              <w:rPr>
                <w:rFonts w:ascii="Arial" w:eastAsia="Times New Roman" w:hAnsi="Arial" w:cs="Arial"/>
                <w:sz w:val="20"/>
              </w:rPr>
              <w:t>52,745</w:t>
            </w:r>
          </w:p>
        </w:tc>
        <w:tc>
          <w:tcPr>
            <w:tcW w:w="519" w:type="pct"/>
            <w:tcMar>
              <w:top w:w="0" w:type="dxa"/>
              <w:left w:w="115" w:type="dxa"/>
              <w:bottom w:w="0" w:type="dxa"/>
              <w:right w:w="115" w:type="dxa"/>
            </w:tcMar>
          </w:tcPr>
          <w:p w14:paraId="4A039164" w14:textId="77777777" w:rsidR="00032E88" w:rsidRPr="00361437" w:rsidRDefault="00032E88" w:rsidP="00032E88">
            <w:pPr>
              <w:tabs>
                <w:tab w:val="decimal" w:pos="206"/>
              </w:tabs>
              <w:spacing w:line="256" w:lineRule="auto"/>
              <w:jc w:val="center"/>
              <w:rPr>
                <w:rFonts w:ascii="Arial" w:eastAsia="Calibri" w:hAnsi="Arial" w:cs="Arial"/>
                <w:color w:val="000000"/>
                <w:sz w:val="20"/>
              </w:rPr>
            </w:pPr>
          </w:p>
        </w:tc>
      </w:tr>
      <w:tr w:rsidR="001F6778" w:rsidRPr="00361437" w14:paraId="25C44029" w14:textId="77777777" w:rsidTr="001F6778">
        <w:tc>
          <w:tcPr>
            <w:tcW w:w="1676" w:type="pct"/>
            <w:tcBorders>
              <w:top w:val="nil"/>
              <w:left w:val="nil"/>
              <w:bottom w:val="single" w:sz="4" w:space="0" w:color="auto"/>
              <w:right w:val="nil"/>
            </w:tcBorders>
            <w:noWrap/>
            <w:tcMar>
              <w:top w:w="0" w:type="dxa"/>
              <w:left w:w="115" w:type="dxa"/>
              <w:bottom w:w="0" w:type="dxa"/>
              <w:right w:w="115" w:type="dxa"/>
            </w:tcMar>
            <w:vAlign w:val="center"/>
            <w:hideMark/>
          </w:tcPr>
          <w:p w14:paraId="01F38FA3" w14:textId="77777777" w:rsidR="00032E88" w:rsidRPr="00361437" w:rsidRDefault="00032E88" w:rsidP="00032E88">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Adjusted R</w:t>
            </w:r>
            <w:r w:rsidRPr="00361437">
              <w:rPr>
                <w:rFonts w:ascii="Arial" w:eastAsia="Times New Roman" w:hAnsi="Arial" w:cs="Arial"/>
                <w:sz w:val="18"/>
                <w:vertAlign w:val="superscript"/>
              </w:rPr>
              <w:t>2</w:t>
            </w:r>
          </w:p>
        </w:tc>
        <w:tc>
          <w:tcPr>
            <w:tcW w:w="481" w:type="pct"/>
            <w:tcBorders>
              <w:top w:val="nil"/>
              <w:left w:val="nil"/>
              <w:bottom w:val="single" w:sz="4" w:space="0" w:color="auto"/>
              <w:right w:val="nil"/>
            </w:tcBorders>
            <w:tcMar>
              <w:top w:w="0" w:type="dxa"/>
              <w:left w:w="115" w:type="dxa"/>
              <w:bottom w:w="0" w:type="dxa"/>
              <w:right w:w="115" w:type="dxa"/>
            </w:tcMar>
            <w:hideMark/>
          </w:tcPr>
          <w:p w14:paraId="77DA08AC" w14:textId="39494848"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0.0</w:t>
            </w:r>
            <w:r w:rsidR="00ED7473" w:rsidRPr="00361437">
              <w:rPr>
                <w:rFonts w:ascii="Arial" w:eastAsia="Calibri" w:hAnsi="Arial" w:cs="Arial"/>
                <w:color w:val="000000"/>
                <w:sz w:val="20"/>
              </w:rPr>
              <w:t>6</w:t>
            </w:r>
            <w:r w:rsidR="00320DA7" w:rsidRPr="00361437">
              <w:rPr>
                <w:rFonts w:ascii="Arial" w:eastAsia="Calibri" w:hAnsi="Arial" w:cs="Arial"/>
                <w:color w:val="000000"/>
                <w:sz w:val="20"/>
              </w:rPr>
              <w:t>70</w:t>
            </w:r>
          </w:p>
        </w:tc>
        <w:tc>
          <w:tcPr>
            <w:tcW w:w="484" w:type="pct"/>
            <w:tcBorders>
              <w:top w:val="nil"/>
              <w:left w:val="nil"/>
              <w:bottom w:val="single" w:sz="4" w:space="0" w:color="auto"/>
              <w:right w:val="nil"/>
            </w:tcBorders>
            <w:tcMar>
              <w:top w:w="0" w:type="dxa"/>
              <w:left w:w="115" w:type="dxa"/>
              <w:bottom w:w="0" w:type="dxa"/>
              <w:right w:w="115" w:type="dxa"/>
            </w:tcMar>
          </w:tcPr>
          <w:p w14:paraId="028BB1FD" w14:textId="77777777" w:rsidR="00032E88" w:rsidRPr="00361437" w:rsidRDefault="00032E88" w:rsidP="00032E88">
            <w:pPr>
              <w:spacing w:line="256" w:lineRule="auto"/>
              <w:jc w:val="center"/>
              <w:rPr>
                <w:rFonts w:ascii="Arial" w:eastAsia="Calibri" w:hAnsi="Arial" w:cs="Arial"/>
                <w:color w:val="000000"/>
                <w:sz w:val="20"/>
              </w:rPr>
            </w:pPr>
          </w:p>
        </w:tc>
        <w:tc>
          <w:tcPr>
            <w:tcW w:w="157" w:type="pct"/>
            <w:tcBorders>
              <w:top w:val="nil"/>
              <w:left w:val="nil"/>
              <w:bottom w:val="single" w:sz="4" w:space="0" w:color="auto"/>
              <w:right w:val="nil"/>
            </w:tcBorders>
            <w:tcMar>
              <w:top w:w="0" w:type="dxa"/>
              <w:left w:w="115" w:type="dxa"/>
              <w:bottom w:w="0" w:type="dxa"/>
              <w:right w:w="115" w:type="dxa"/>
            </w:tcMar>
          </w:tcPr>
          <w:p w14:paraId="4437F8EC" w14:textId="77777777" w:rsidR="00032E88" w:rsidRPr="00361437" w:rsidRDefault="00032E88" w:rsidP="00032E88">
            <w:pPr>
              <w:tabs>
                <w:tab w:val="decimal" w:pos="206"/>
              </w:tabs>
              <w:spacing w:line="256" w:lineRule="auto"/>
              <w:jc w:val="center"/>
              <w:rPr>
                <w:rFonts w:ascii="Arial" w:eastAsia="Calibri" w:hAnsi="Arial" w:cs="Arial"/>
                <w:color w:val="000000"/>
                <w:sz w:val="20"/>
              </w:rPr>
            </w:pPr>
          </w:p>
        </w:tc>
        <w:tc>
          <w:tcPr>
            <w:tcW w:w="481" w:type="pct"/>
            <w:tcBorders>
              <w:top w:val="nil"/>
              <w:left w:val="nil"/>
              <w:bottom w:val="single" w:sz="4" w:space="0" w:color="auto"/>
              <w:right w:val="nil"/>
            </w:tcBorders>
            <w:tcMar>
              <w:top w:w="0" w:type="dxa"/>
              <w:left w:w="115" w:type="dxa"/>
              <w:bottom w:w="0" w:type="dxa"/>
              <w:right w:w="115" w:type="dxa"/>
            </w:tcMar>
            <w:hideMark/>
          </w:tcPr>
          <w:p w14:paraId="3255508D" w14:textId="2434B4CE"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0.0</w:t>
            </w:r>
            <w:r w:rsidR="00320DA7" w:rsidRPr="00361437">
              <w:rPr>
                <w:rFonts w:ascii="Arial" w:eastAsia="Calibri" w:hAnsi="Arial" w:cs="Arial"/>
                <w:color w:val="000000"/>
                <w:sz w:val="20"/>
              </w:rPr>
              <w:t>8</w:t>
            </w:r>
            <w:r w:rsidRPr="00361437">
              <w:rPr>
                <w:rFonts w:ascii="Arial" w:eastAsia="Calibri" w:hAnsi="Arial" w:cs="Arial"/>
                <w:color w:val="000000"/>
                <w:sz w:val="20"/>
              </w:rPr>
              <w:t>72</w:t>
            </w:r>
          </w:p>
        </w:tc>
        <w:tc>
          <w:tcPr>
            <w:tcW w:w="486" w:type="pct"/>
            <w:tcBorders>
              <w:top w:val="nil"/>
              <w:left w:val="nil"/>
              <w:bottom w:val="single" w:sz="4" w:space="0" w:color="auto"/>
              <w:right w:val="nil"/>
            </w:tcBorders>
            <w:tcMar>
              <w:top w:w="0" w:type="dxa"/>
              <w:left w:w="115" w:type="dxa"/>
              <w:bottom w:w="0" w:type="dxa"/>
              <w:right w:w="115" w:type="dxa"/>
            </w:tcMar>
          </w:tcPr>
          <w:p w14:paraId="0E000166" w14:textId="77777777" w:rsidR="00032E88" w:rsidRPr="00361437" w:rsidRDefault="00032E88" w:rsidP="00032E88">
            <w:pPr>
              <w:tabs>
                <w:tab w:val="decimal" w:pos="206"/>
              </w:tabs>
              <w:spacing w:line="256" w:lineRule="auto"/>
              <w:jc w:val="center"/>
              <w:rPr>
                <w:rFonts w:ascii="Arial" w:eastAsia="Calibri" w:hAnsi="Arial" w:cs="Arial"/>
                <w:color w:val="000000"/>
                <w:sz w:val="20"/>
              </w:rPr>
            </w:pPr>
          </w:p>
        </w:tc>
        <w:tc>
          <w:tcPr>
            <w:tcW w:w="198" w:type="pct"/>
            <w:tcBorders>
              <w:top w:val="nil"/>
              <w:left w:val="nil"/>
              <w:bottom w:val="single" w:sz="4" w:space="0" w:color="auto"/>
              <w:right w:val="nil"/>
            </w:tcBorders>
            <w:tcMar>
              <w:top w:w="0" w:type="dxa"/>
              <w:left w:w="115" w:type="dxa"/>
              <w:bottom w:w="0" w:type="dxa"/>
              <w:right w:w="115" w:type="dxa"/>
            </w:tcMar>
          </w:tcPr>
          <w:p w14:paraId="3142672B" w14:textId="77777777" w:rsidR="00032E88" w:rsidRPr="00361437" w:rsidRDefault="00032E88" w:rsidP="00032E88">
            <w:pPr>
              <w:tabs>
                <w:tab w:val="decimal" w:pos="206"/>
              </w:tabs>
              <w:spacing w:line="256" w:lineRule="auto"/>
              <w:jc w:val="center"/>
              <w:rPr>
                <w:rFonts w:ascii="Arial" w:eastAsia="Calibri" w:hAnsi="Arial" w:cs="Arial"/>
                <w:color w:val="000000"/>
                <w:sz w:val="20"/>
              </w:rPr>
            </w:pPr>
          </w:p>
        </w:tc>
        <w:tc>
          <w:tcPr>
            <w:tcW w:w="518" w:type="pct"/>
            <w:tcBorders>
              <w:top w:val="nil"/>
              <w:left w:val="nil"/>
              <w:bottom w:val="single" w:sz="4" w:space="0" w:color="auto"/>
              <w:right w:val="nil"/>
            </w:tcBorders>
            <w:tcMar>
              <w:top w:w="0" w:type="dxa"/>
              <w:left w:w="115" w:type="dxa"/>
              <w:bottom w:w="0" w:type="dxa"/>
              <w:right w:w="115" w:type="dxa"/>
            </w:tcMar>
            <w:hideMark/>
          </w:tcPr>
          <w:p w14:paraId="5B7CB08A" w14:textId="74E7AA6E"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0.8</w:t>
            </w:r>
            <w:r w:rsidR="00EC1640" w:rsidRPr="00361437">
              <w:rPr>
                <w:rFonts w:ascii="Arial" w:eastAsia="Calibri" w:hAnsi="Arial" w:cs="Arial"/>
                <w:color w:val="000000"/>
                <w:sz w:val="20"/>
              </w:rPr>
              <w:t>463</w:t>
            </w:r>
          </w:p>
        </w:tc>
        <w:tc>
          <w:tcPr>
            <w:tcW w:w="519" w:type="pct"/>
            <w:tcBorders>
              <w:top w:val="nil"/>
              <w:left w:val="nil"/>
              <w:bottom w:val="single" w:sz="4" w:space="0" w:color="auto"/>
              <w:right w:val="nil"/>
            </w:tcBorders>
            <w:tcMar>
              <w:top w:w="0" w:type="dxa"/>
              <w:left w:w="115" w:type="dxa"/>
              <w:bottom w:w="0" w:type="dxa"/>
              <w:right w:w="115" w:type="dxa"/>
            </w:tcMar>
          </w:tcPr>
          <w:p w14:paraId="598D88C1" w14:textId="77777777" w:rsidR="00032E88" w:rsidRPr="00361437" w:rsidRDefault="00032E88" w:rsidP="00032E88">
            <w:pPr>
              <w:tabs>
                <w:tab w:val="decimal" w:pos="206"/>
              </w:tabs>
              <w:spacing w:line="256" w:lineRule="auto"/>
              <w:jc w:val="center"/>
              <w:rPr>
                <w:rFonts w:ascii="Arial" w:eastAsia="Calibri" w:hAnsi="Arial" w:cs="Arial"/>
                <w:color w:val="000000"/>
                <w:sz w:val="20"/>
              </w:rPr>
            </w:pPr>
          </w:p>
        </w:tc>
      </w:tr>
    </w:tbl>
    <w:p w14:paraId="243A02A8" w14:textId="77777777" w:rsidR="00032E88" w:rsidRPr="00361437" w:rsidRDefault="00032E88" w:rsidP="00032E88">
      <w:pPr>
        <w:rPr>
          <w:rFonts w:ascii="Arial" w:eastAsia="Calibri" w:hAnsi="Arial" w:cs="Arial"/>
          <w:sz w:val="20"/>
        </w:rPr>
      </w:pPr>
    </w:p>
    <w:p w14:paraId="5E610E45" w14:textId="77777777" w:rsidR="006072A7" w:rsidRPr="00361437" w:rsidRDefault="006072A7" w:rsidP="00032E88">
      <w:pPr>
        <w:rPr>
          <w:rFonts w:ascii="Arial" w:eastAsia="Calibri" w:hAnsi="Arial" w:cs="Arial"/>
          <w:sz w:val="20"/>
        </w:rPr>
      </w:pPr>
    </w:p>
    <w:p w14:paraId="74DE3BE2" w14:textId="6084B6AE" w:rsidR="006072A7" w:rsidRPr="00361437" w:rsidRDefault="006072A7" w:rsidP="00032E88">
      <w:pPr>
        <w:rPr>
          <w:rFonts w:ascii="Arial" w:eastAsia="Calibri" w:hAnsi="Arial" w:cs="Arial"/>
          <w:sz w:val="20"/>
        </w:rPr>
        <w:sectPr w:rsidR="006072A7" w:rsidRPr="00361437" w:rsidSect="006072A7">
          <w:pgSz w:w="16838" w:h="11906" w:orient="landscape"/>
          <w:pgMar w:top="1296" w:right="1440" w:bottom="1296" w:left="1440" w:header="706" w:footer="0" w:gutter="0"/>
          <w:cols w:space="720"/>
          <w:docGrid w:linePitch="299"/>
        </w:sectPr>
      </w:pPr>
    </w:p>
    <w:p w14:paraId="69E5C99D" w14:textId="77777777" w:rsidR="006F39AD" w:rsidRPr="00361437" w:rsidRDefault="00032E88" w:rsidP="006F39AD">
      <w:pPr>
        <w:pBdr>
          <w:top w:val="single" w:sz="4" w:space="1" w:color="auto"/>
        </w:pBdr>
        <w:jc w:val="center"/>
        <w:rPr>
          <w:rFonts w:ascii="Arial" w:eastAsia="Calibri" w:hAnsi="Arial" w:cs="Arial"/>
          <w:sz w:val="24"/>
        </w:rPr>
      </w:pPr>
      <w:r w:rsidRPr="00361437">
        <w:rPr>
          <w:rFonts w:ascii="Arial" w:eastAsia="Calibri" w:hAnsi="Arial" w:cs="Arial"/>
          <w:sz w:val="24"/>
        </w:rPr>
        <w:lastRenderedPageBreak/>
        <w:t>T</w:t>
      </w:r>
      <w:r w:rsidR="006F39AD" w:rsidRPr="00361437">
        <w:rPr>
          <w:rFonts w:ascii="Arial" w:eastAsia="Calibri" w:hAnsi="Arial" w:cs="Arial"/>
          <w:sz w:val="24"/>
        </w:rPr>
        <w:t>ABLE</w:t>
      </w:r>
      <w:r w:rsidRPr="00361437">
        <w:rPr>
          <w:rFonts w:ascii="Arial" w:eastAsia="Calibri" w:hAnsi="Arial" w:cs="Arial"/>
          <w:sz w:val="24"/>
        </w:rPr>
        <w:t xml:space="preserve"> 7</w:t>
      </w:r>
    </w:p>
    <w:p w14:paraId="0CAC48E3" w14:textId="28B53C9D" w:rsidR="00032E88" w:rsidRPr="00361437" w:rsidRDefault="00032E88" w:rsidP="006F39AD">
      <w:pPr>
        <w:pBdr>
          <w:bottom w:val="single" w:sz="4" w:space="1" w:color="auto"/>
        </w:pBdr>
        <w:jc w:val="center"/>
        <w:rPr>
          <w:rFonts w:ascii="Arial" w:eastAsia="Calibri" w:hAnsi="Arial" w:cs="Arial"/>
          <w:sz w:val="24"/>
        </w:rPr>
      </w:pPr>
      <w:r w:rsidRPr="00361437">
        <w:rPr>
          <w:rFonts w:ascii="Arial" w:eastAsia="Calibri" w:hAnsi="Arial" w:cs="Arial"/>
          <w:sz w:val="24"/>
        </w:rPr>
        <w:t xml:space="preserve">The </w:t>
      </w:r>
      <w:r w:rsidR="006F39AD" w:rsidRPr="00361437">
        <w:rPr>
          <w:rFonts w:ascii="Arial" w:eastAsia="Calibri" w:hAnsi="Arial" w:cs="Arial"/>
          <w:sz w:val="24"/>
        </w:rPr>
        <w:t>E</w:t>
      </w:r>
      <w:r w:rsidRPr="00361437">
        <w:rPr>
          <w:rFonts w:ascii="Arial" w:eastAsia="Calibri" w:hAnsi="Arial" w:cs="Arial"/>
          <w:sz w:val="24"/>
        </w:rPr>
        <w:t xml:space="preserve">ffects of </w:t>
      </w:r>
      <w:r w:rsidR="006F39AD" w:rsidRPr="00361437">
        <w:rPr>
          <w:rFonts w:ascii="Arial" w:eastAsia="Calibri" w:hAnsi="Arial" w:cs="Arial"/>
          <w:sz w:val="24"/>
        </w:rPr>
        <w:t>Debt Hol</w:t>
      </w:r>
      <w:r w:rsidRPr="00361437">
        <w:rPr>
          <w:rFonts w:ascii="Arial" w:eastAsia="Calibri" w:hAnsi="Arial" w:cs="Arial"/>
          <w:sz w:val="24"/>
        </w:rPr>
        <w:t xml:space="preserve">dings on </w:t>
      </w:r>
      <w:r w:rsidR="006F39AD" w:rsidRPr="00361437">
        <w:rPr>
          <w:rFonts w:ascii="Arial" w:eastAsia="Calibri" w:hAnsi="Arial" w:cs="Arial"/>
          <w:sz w:val="24"/>
        </w:rPr>
        <w:t>Voting Using Fund Family Mer</w:t>
      </w:r>
      <w:r w:rsidRPr="00361437">
        <w:rPr>
          <w:rFonts w:ascii="Arial" w:eastAsia="Calibri" w:hAnsi="Arial" w:cs="Arial"/>
          <w:sz w:val="24"/>
        </w:rPr>
        <w:t>gers</w:t>
      </w:r>
    </w:p>
    <w:p w14:paraId="4874E2A3" w14:textId="77777777" w:rsidR="00032E88" w:rsidRPr="00361437" w:rsidRDefault="00032E88" w:rsidP="00032E88">
      <w:pPr>
        <w:rPr>
          <w:rFonts w:ascii="Arial" w:eastAsia="Calibri" w:hAnsi="Arial" w:cs="Arial"/>
          <w:sz w:val="20"/>
        </w:rPr>
      </w:pPr>
    </w:p>
    <w:p w14:paraId="47276D91" w14:textId="02DAFCA4" w:rsidR="00032E88" w:rsidRPr="00361437" w:rsidRDefault="00032E88" w:rsidP="00032E88">
      <w:pPr>
        <w:jc w:val="both"/>
        <w:rPr>
          <w:rFonts w:ascii="Arial" w:eastAsia="Calibri" w:hAnsi="Arial" w:cs="Arial"/>
          <w:sz w:val="20"/>
        </w:rPr>
      </w:pPr>
      <w:r w:rsidRPr="00361437">
        <w:rPr>
          <w:rFonts w:ascii="Arial" w:eastAsia="Calibri" w:hAnsi="Arial" w:cs="Arial"/>
          <w:sz w:val="20"/>
        </w:rPr>
        <w:t xml:space="preserve">This table reports difference-in-differences (DiD) regression analysis on how changes in debt fraction as a result of exogenous shocks from fund family mergers affect voting and firm policies. </w:t>
      </w:r>
      <w:bookmarkStart w:id="17" w:name="_Hlk36643430"/>
      <w:r w:rsidRPr="00361437">
        <w:rPr>
          <w:rFonts w:ascii="Arial" w:eastAsia="Calibri" w:hAnsi="Arial" w:cs="Arial"/>
          <w:sz w:val="20"/>
        </w:rPr>
        <w:t xml:space="preserve">We identify fund family mergers completed during 2009-2012 from SDC’s M&amp;A database in which </w:t>
      </w:r>
      <w:r w:rsidR="00917174" w:rsidRPr="00361437">
        <w:rPr>
          <w:rFonts w:ascii="Arial" w:eastAsia="Calibri" w:hAnsi="Arial" w:cs="Arial"/>
          <w:sz w:val="20"/>
        </w:rPr>
        <w:t>the merging parties</w:t>
      </w:r>
      <w:r w:rsidRPr="00361437">
        <w:rPr>
          <w:rFonts w:ascii="Arial" w:eastAsia="Calibri" w:hAnsi="Arial" w:cs="Arial"/>
          <w:sz w:val="20"/>
        </w:rPr>
        <w:t xml:space="preserve"> own debt or equity stakes in our sample firms</w:t>
      </w:r>
      <w:r w:rsidR="00070A61" w:rsidRPr="00361437">
        <w:rPr>
          <w:rFonts w:ascii="Arial" w:eastAsia="Calibri" w:hAnsi="Arial" w:cs="Arial"/>
          <w:sz w:val="20"/>
        </w:rPr>
        <w:t xml:space="preserve"> before the merger</w:t>
      </w:r>
      <w:r w:rsidRPr="00361437">
        <w:rPr>
          <w:rFonts w:ascii="Arial" w:eastAsia="Calibri" w:hAnsi="Arial" w:cs="Arial"/>
          <w:sz w:val="20"/>
        </w:rPr>
        <w:t xml:space="preserve"> and can be matched to fund families in Morningstar. </w:t>
      </w:r>
      <w:r w:rsidR="00DA757D" w:rsidRPr="00361437">
        <w:rPr>
          <w:rFonts w:ascii="Arial" w:eastAsia="Calibri" w:hAnsi="Arial" w:cs="Arial"/>
          <w:sz w:val="20"/>
        </w:rPr>
        <w:t>We are able to find four fund family mergers: Invesco acquiring Van Kampen in 2009</w:t>
      </w:r>
      <w:r w:rsidR="00942EA3" w:rsidRPr="00361437">
        <w:rPr>
          <w:rFonts w:ascii="Arial" w:eastAsia="Calibri" w:hAnsi="Arial" w:cs="Arial"/>
          <w:sz w:val="20"/>
        </w:rPr>
        <w:t xml:space="preserve"> (completed in 2010)</w:t>
      </w:r>
      <w:r w:rsidR="00DA757D" w:rsidRPr="00361437">
        <w:rPr>
          <w:rFonts w:ascii="Arial" w:eastAsia="Calibri" w:hAnsi="Arial" w:cs="Arial"/>
          <w:sz w:val="20"/>
        </w:rPr>
        <w:t xml:space="preserve">, Affiliated Managers acquiring Highbury Financial in 2010, PNC Funds acquiring Allegiant in 2010, and Wells Fargo Funds acquiring Evergreen Funds in 2010. </w:t>
      </w:r>
      <w:r w:rsidR="001674FC" w:rsidRPr="00361437">
        <w:rPr>
          <w:rFonts w:ascii="Arial" w:eastAsia="Calibri" w:hAnsi="Arial" w:cs="Arial"/>
          <w:sz w:val="20"/>
        </w:rPr>
        <w:t xml:space="preserve">We keep only firms in which the merging parties own debt or equity stakes before the merger. We </w:t>
      </w:r>
      <w:r w:rsidR="00741A33" w:rsidRPr="00361437">
        <w:rPr>
          <w:rFonts w:ascii="Arial" w:eastAsia="Calibri" w:hAnsi="Arial" w:cs="Arial"/>
          <w:sz w:val="20"/>
        </w:rPr>
        <w:t xml:space="preserve">also </w:t>
      </w:r>
      <w:r w:rsidR="001674FC" w:rsidRPr="00361437">
        <w:rPr>
          <w:rFonts w:ascii="Arial" w:eastAsia="Calibri" w:hAnsi="Arial" w:cs="Arial"/>
          <w:sz w:val="20"/>
        </w:rPr>
        <w:t xml:space="preserve">exclude firms in which fund families hold both debt and equity before the mergers. </w:t>
      </w:r>
      <w:r w:rsidRPr="00361437">
        <w:rPr>
          <w:rFonts w:ascii="Arial" w:eastAsia="Calibri" w:hAnsi="Arial" w:cs="Arial"/>
          <w:sz w:val="20"/>
        </w:rPr>
        <w:t xml:space="preserve">To identify </w:t>
      </w:r>
      <w:r w:rsidR="004F53FD" w:rsidRPr="00361437">
        <w:rPr>
          <w:rFonts w:ascii="Arial" w:eastAsia="Calibri" w:hAnsi="Arial" w:cs="Arial"/>
          <w:sz w:val="20"/>
        </w:rPr>
        <w:t>treated firms</w:t>
      </w:r>
      <w:r w:rsidRPr="00361437">
        <w:rPr>
          <w:rFonts w:ascii="Arial" w:eastAsia="Calibri" w:hAnsi="Arial" w:cs="Arial"/>
          <w:sz w:val="20"/>
        </w:rPr>
        <w:t xml:space="preserve"> as a result of the merger, </w:t>
      </w:r>
      <w:r w:rsidR="00B91B22" w:rsidRPr="00361437">
        <w:rPr>
          <w:rFonts w:ascii="Arial" w:eastAsia="Calibri" w:hAnsi="Arial" w:cs="Arial"/>
          <w:sz w:val="20"/>
        </w:rPr>
        <w:t xml:space="preserve">we require that (1) </w:t>
      </w:r>
      <w:r w:rsidRPr="00361437">
        <w:rPr>
          <w:rFonts w:ascii="Arial" w:eastAsia="Calibri" w:hAnsi="Arial" w:cs="Arial"/>
          <w:sz w:val="20"/>
        </w:rPr>
        <w:t>the acquirer hold</w:t>
      </w:r>
      <w:r w:rsidR="00706497" w:rsidRPr="00361437">
        <w:rPr>
          <w:rFonts w:ascii="Arial" w:eastAsia="Calibri" w:hAnsi="Arial" w:cs="Arial"/>
          <w:sz w:val="20"/>
        </w:rPr>
        <w:t>s only equity</w:t>
      </w:r>
      <w:r w:rsidRPr="00361437">
        <w:rPr>
          <w:rFonts w:ascii="Arial" w:eastAsia="Calibri" w:hAnsi="Arial" w:cs="Arial"/>
          <w:sz w:val="20"/>
        </w:rPr>
        <w:t xml:space="preserve"> while the target holds </w:t>
      </w:r>
      <w:r w:rsidR="004F53FD" w:rsidRPr="00361437">
        <w:rPr>
          <w:rFonts w:ascii="Arial" w:eastAsia="Calibri" w:hAnsi="Arial" w:cs="Arial"/>
          <w:sz w:val="20"/>
        </w:rPr>
        <w:t>only</w:t>
      </w:r>
      <w:r w:rsidRPr="00361437">
        <w:rPr>
          <w:rFonts w:ascii="Arial" w:eastAsia="Calibri" w:hAnsi="Arial" w:cs="Arial"/>
          <w:sz w:val="20"/>
        </w:rPr>
        <w:t xml:space="preserve"> debt in the firm concerned in the year before merger completion</w:t>
      </w:r>
      <w:r w:rsidR="00B91B22" w:rsidRPr="00361437">
        <w:rPr>
          <w:rFonts w:ascii="Arial" w:eastAsia="Calibri" w:hAnsi="Arial" w:cs="Arial"/>
          <w:sz w:val="20"/>
        </w:rPr>
        <w:t xml:space="preserve"> or (2) the target hold</w:t>
      </w:r>
      <w:r w:rsidR="004F53FD" w:rsidRPr="00361437">
        <w:rPr>
          <w:rFonts w:ascii="Arial" w:eastAsia="Calibri" w:hAnsi="Arial" w:cs="Arial"/>
          <w:sz w:val="20"/>
        </w:rPr>
        <w:t>s only equity</w:t>
      </w:r>
      <w:r w:rsidR="00B91B22" w:rsidRPr="00361437">
        <w:rPr>
          <w:rFonts w:ascii="Arial" w:eastAsia="Calibri" w:hAnsi="Arial" w:cs="Arial"/>
          <w:sz w:val="20"/>
        </w:rPr>
        <w:t xml:space="preserve"> while the acquirer holds </w:t>
      </w:r>
      <w:r w:rsidR="004F53FD" w:rsidRPr="00361437">
        <w:rPr>
          <w:rFonts w:ascii="Arial" w:eastAsia="Calibri" w:hAnsi="Arial" w:cs="Arial"/>
          <w:sz w:val="20"/>
        </w:rPr>
        <w:t>only</w:t>
      </w:r>
      <w:r w:rsidR="00B91B22" w:rsidRPr="00361437">
        <w:rPr>
          <w:rFonts w:ascii="Arial" w:eastAsia="Calibri" w:hAnsi="Arial" w:cs="Arial"/>
          <w:sz w:val="20"/>
        </w:rPr>
        <w:t xml:space="preserve"> debt in the firm concerned in the year before merger completion</w:t>
      </w:r>
      <w:r w:rsidRPr="00361437">
        <w:rPr>
          <w:rFonts w:ascii="Arial" w:eastAsia="Calibri" w:hAnsi="Arial" w:cs="Arial"/>
          <w:sz w:val="20"/>
        </w:rPr>
        <w:t>.</w:t>
      </w:r>
      <w:bookmarkStart w:id="18" w:name="_Hlk29506764"/>
      <w:r w:rsidR="00C041D6" w:rsidRPr="00361437">
        <w:rPr>
          <w:rFonts w:ascii="Arial" w:eastAsia="Calibri" w:hAnsi="Arial" w:cs="Arial"/>
          <w:sz w:val="20"/>
        </w:rPr>
        <w:t xml:space="preserve"> </w:t>
      </w:r>
      <w:bookmarkEnd w:id="17"/>
      <w:r w:rsidRPr="00361437">
        <w:rPr>
          <w:rFonts w:ascii="Arial" w:eastAsia="Calibri" w:hAnsi="Arial" w:cs="Arial"/>
          <w:sz w:val="20"/>
        </w:rPr>
        <w:t xml:space="preserve">We construct </w:t>
      </w:r>
      <w:r w:rsidR="00374DAF" w:rsidRPr="00361437">
        <w:rPr>
          <w:rFonts w:ascii="Arial" w:eastAsia="Calibri" w:hAnsi="Arial" w:cs="Arial"/>
          <w:sz w:val="20"/>
        </w:rPr>
        <w:t>TREAT_(0,1)</w:t>
      </w:r>
      <w:r w:rsidRPr="00361437">
        <w:rPr>
          <w:rFonts w:ascii="Arial" w:eastAsia="Calibri" w:hAnsi="Arial" w:cs="Arial"/>
          <w:sz w:val="20"/>
        </w:rPr>
        <w:t xml:space="preserve"> to be one for</w:t>
      </w:r>
      <w:r w:rsidR="00D871A0" w:rsidRPr="00361437">
        <w:rPr>
          <w:rFonts w:ascii="Arial" w:eastAsia="Calibri" w:hAnsi="Arial" w:cs="Arial"/>
          <w:sz w:val="20"/>
        </w:rPr>
        <w:t xml:space="preserve"> </w:t>
      </w:r>
      <w:r w:rsidR="00C041D6" w:rsidRPr="00361437">
        <w:rPr>
          <w:rFonts w:ascii="Arial" w:eastAsia="Calibri" w:hAnsi="Arial" w:cs="Arial"/>
          <w:sz w:val="20"/>
        </w:rPr>
        <w:t xml:space="preserve">voting </w:t>
      </w:r>
      <w:r w:rsidR="00D871A0" w:rsidRPr="00361437">
        <w:rPr>
          <w:rFonts w:ascii="Arial" w:eastAsia="Calibri" w:hAnsi="Arial" w:cs="Arial"/>
          <w:sz w:val="20"/>
        </w:rPr>
        <w:t xml:space="preserve">observations involving the </w:t>
      </w:r>
      <w:r w:rsidR="004F53FD" w:rsidRPr="00361437">
        <w:rPr>
          <w:rFonts w:ascii="Arial" w:eastAsia="Calibri" w:hAnsi="Arial" w:cs="Arial"/>
          <w:sz w:val="20"/>
        </w:rPr>
        <w:t xml:space="preserve">treated </w:t>
      </w:r>
      <w:r w:rsidRPr="00361437">
        <w:rPr>
          <w:rFonts w:ascii="Arial" w:eastAsia="Calibri" w:hAnsi="Arial" w:cs="Arial"/>
          <w:sz w:val="20"/>
        </w:rPr>
        <w:t>firm</w:t>
      </w:r>
      <w:r w:rsidR="004F53FD" w:rsidRPr="00361437">
        <w:rPr>
          <w:rFonts w:ascii="Arial" w:eastAsia="Calibri" w:hAnsi="Arial" w:cs="Arial"/>
          <w:sz w:val="20"/>
        </w:rPr>
        <w:t>s</w:t>
      </w:r>
      <w:r w:rsidRPr="00361437">
        <w:rPr>
          <w:rFonts w:ascii="Arial" w:eastAsia="Calibri" w:hAnsi="Arial" w:cs="Arial"/>
          <w:sz w:val="20"/>
        </w:rPr>
        <w:t xml:space="preserve"> and </w:t>
      </w:r>
      <w:r w:rsidR="00374DAF" w:rsidRPr="00361437">
        <w:rPr>
          <w:rFonts w:ascii="Arial" w:eastAsia="Calibri" w:hAnsi="Arial" w:cs="Arial"/>
          <w:iCs/>
          <w:sz w:val="20"/>
        </w:rPr>
        <w:t>POST_(0,1)</w:t>
      </w:r>
      <w:r w:rsidRPr="00361437">
        <w:rPr>
          <w:rFonts w:ascii="Arial" w:eastAsia="Calibri" w:hAnsi="Arial" w:cs="Arial"/>
          <w:i/>
          <w:iCs/>
          <w:sz w:val="20"/>
        </w:rPr>
        <w:t xml:space="preserve"> </w:t>
      </w:r>
      <w:r w:rsidRPr="00361437">
        <w:rPr>
          <w:rFonts w:ascii="Arial" w:eastAsia="Calibri" w:hAnsi="Arial" w:cs="Arial"/>
          <w:sz w:val="20"/>
        </w:rPr>
        <w:t>to be one</w:t>
      </w:r>
      <w:r w:rsidR="004F53FD" w:rsidRPr="00361437">
        <w:rPr>
          <w:rFonts w:ascii="Arial" w:eastAsia="Calibri" w:hAnsi="Arial" w:cs="Arial"/>
          <w:sz w:val="20"/>
        </w:rPr>
        <w:t xml:space="preserve"> if</w:t>
      </w:r>
      <w:r w:rsidRPr="00361437">
        <w:rPr>
          <w:rFonts w:ascii="Arial" w:eastAsia="Calibri" w:hAnsi="Arial" w:cs="Arial"/>
          <w:sz w:val="20"/>
        </w:rPr>
        <w:t xml:space="preserve"> the</w:t>
      </w:r>
      <w:r w:rsidR="00164774" w:rsidRPr="00361437">
        <w:rPr>
          <w:rFonts w:ascii="Arial" w:eastAsia="Calibri" w:hAnsi="Arial" w:cs="Arial"/>
          <w:sz w:val="20"/>
        </w:rPr>
        <w:t xml:space="preserve"> firm-</w:t>
      </w:r>
      <w:r w:rsidRPr="00361437">
        <w:rPr>
          <w:rFonts w:ascii="Arial" w:eastAsia="Calibri" w:hAnsi="Arial" w:cs="Arial"/>
          <w:sz w:val="20"/>
        </w:rPr>
        <w:t xml:space="preserve">year </w:t>
      </w:r>
      <w:r w:rsidR="00D871A0" w:rsidRPr="00361437">
        <w:rPr>
          <w:rFonts w:ascii="Arial" w:eastAsia="Calibri" w:hAnsi="Arial" w:cs="Arial"/>
          <w:sz w:val="20"/>
        </w:rPr>
        <w:t xml:space="preserve">of the observation </w:t>
      </w:r>
      <w:r w:rsidRPr="00361437">
        <w:rPr>
          <w:rFonts w:ascii="Arial" w:eastAsia="Calibri" w:hAnsi="Arial" w:cs="Arial"/>
          <w:sz w:val="20"/>
        </w:rPr>
        <w:t xml:space="preserve">is after the merger. All regressions control for fund family fixed effects and (proposal type × year) fixed effects. </w:t>
      </w:r>
      <w:r w:rsidR="00374DAF" w:rsidRPr="00361437">
        <w:rPr>
          <w:rFonts w:ascii="Arial" w:eastAsia="Calibri" w:hAnsi="Arial" w:cs="Arial"/>
          <w:iCs/>
          <w:sz w:val="20"/>
        </w:rPr>
        <w:t>POST_(0,1)</w:t>
      </w:r>
      <w:r w:rsidRPr="00361437">
        <w:rPr>
          <w:rFonts w:ascii="Arial" w:eastAsia="Calibri" w:hAnsi="Arial" w:cs="Arial"/>
          <w:sz w:val="20"/>
        </w:rPr>
        <w:t xml:space="preserve"> is subsumed by the year fixed effects. </w:t>
      </w:r>
      <w:bookmarkEnd w:id="18"/>
      <w:r w:rsidRPr="00361437">
        <w:rPr>
          <w:rFonts w:ascii="Arial" w:eastAsia="Calibri" w:hAnsi="Arial" w:cs="Arial"/>
          <w:sz w:val="20"/>
        </w:rPr>
        <w:t xml:space="preserve">All other variables are defined in </w:t>
      </w:r>
      <w:r w:rsidR="00D10EEF" w:rsidRPr="00361437">
        <w:rPr>
          <w:rFonts w:ascii="Arial" w:eastAsia="Calibri" w:hAnsi="Arial" w:cs="Arial"/>
          <w:sz w:val="20"/>
        </w:rPr>
        <w:t xml:space="preserve">the </w:t>
      </w:r>
      <w:r w:rsidRPr="00361437">
        <w:rPr>
          <w:rFonts w:ascii="Arial" w:eastAsia="Calibri" w:hAnsi="Arial" w:cs="Arial"/>
          <w:sz w:val="20"/>
        </w:rPr>
        <w:t xml:space="preserve">Appendix. </w:t>
      </w:r>
      <w:r w:rsidR="00513E21" w:rsidRPr="00361437">
        <w:rPr>
          <w:rFonts w:ascii="Arial" w:eastAsia="Calibri" w:hAnsi="Arial" w:cs="Arial"/>
          <w:sz w:val="20"/>
        </w:rPr>
        <w:t>Standard errors are clustered by fund family.</w:t>
      </w:r>
      <w:r w:rsidRPr="00361437">
        <w:rPr>
          <w:rFonts w:ascii="Arial" w:eastAsia="Calibri" w:hAnsi="Arial" w:cs="Arial"/>
          <w:sz w:val="20"/>
        </w:rPr>
        <w:t xml:space="preserve"> </w:t>
      </w:r>
      <w:r w:rsidRPr="00361437">
        <w:rPr>
          <w:rFonts w:ascii="Arial" w:eastAsia="Calibri" w:hAnsi="Arial" w:cs="Arial"/>
          <w:sz w:val="20"/>
          <w:vertAlign w:val="superscript"/>
        </w:rPr>
        <w:t>*</w:t>
      </w:r>
      <w:r w:rsidRPr="00361437">
        <w:rPr>
          <w:rFonts w:ascii="Arial" w:eastAsia="Calibri" w:hAnsi="Arial" w:cs="Arial"/>
          <w:sz w:val="20"/>
        </w:rPr>
        <w:t xml:space="preserve">, </w:t>
      </w:r>
      <w:r w:rsidRPr="00361437">
        <w:rPr>
          <w:rFonts w:ascii="Arial" w:eastAsia="Calibri" w:hAnsi="Arial" w:cs="Arial"/>
          <w:sz w:val="20"/>
          <w:vertAlign w:val="superscript"/>
        </w:rPr>
        <w:t>**</w:t>
      </w:r>
      <w:r w:rsidRPr="00361437">
        <w:rPr>
          <w:rFonts w:ascii="Arial" w:eastAsia="Calibri" w:hAnsi="Arial" w:cs="Arial"/>
          <w:sz w:val="20"/>
        </w:rPr>
        <w:t xml:space="preserve">, and </w:t>
      </w:r>
      <w:r w:rsidRPr="00361437">
        <w:rPr>
          <w:rFonts w:ascii="Arial" w:eastAsia="Calibri" w:hAnsi="Arial" w:cs="Arial"/>
          <w:sz w:val="20"/>
          <w:vertAlign w:val="superscript"/>
        </w:rPr>
        <w:t>***</w:t>
      </w:r>
      <w:r w:rsidRPr="00361437">
        <w:rPr>
          <w:rFonts w:ascii="Arial" w:eastAsia="Calibri" w:hAnsi="Arial" w:cs="Arial"/>
          <w:sz w:val="20"/>
        </w:rPr>
        <w:t xml:space="preserve"> denote statistical significance at the 10%, 5%, and 1% level, respectively. </w:t>
      </w:r>
    </w:p>
    <w:p w14:paraId="4EA33229" w14:textId="77777777" w:rsidR="00032E88" w:rsidRPr="00361437" w:rsidRDefault="00032E88" w:rsidP="00032E88">
      <w:pPr>
        <w:rPr>
          <w:rFonts w:ascii="Arial" w:eastAsia="Calibri" w:hAnsi="Arial" w:cs="Arial"/>
          <w:sz w:val="20"/>
        </w:rPr>
      </w:pPr>
    </w:p>
    <w:tbl>
      <w:tblPr>
        <w:tblW w:w="9035" w:type="dxa"/>
        <w:tblLayout w:type="fixed"/>
        <w:tblLook w:val="04A0" w:firstRow="1" w:lastRow="0" w:firstColumn="1" w:lastColumn="0" w:noHBand="0" w:noVBand="1"/>
      </w:tblPr>
      <w:tblGrid>
        <w:gridCol w:w="4068"/>
        <w:gridCol w:w="1165"/>
        <w:gridCol w:w="1117"/>
        <w:gridCol w:w="328"/>
        <w:gridCol w:w="1240"/>
        <w:gridCol w:w="1117"/>
      </w:tblGrid>
      <w:tr w:rsidR="00032E88" w:rsidRPr="00361437" w14:paraId="5B33ABC0" w14:textId="77777777" w:rsidTr="004F27B4">
        <w:trPr>
          <w:trHeight w:val="288"/>
        </w:trPr>
        <w:tc>
          <w:tcPr>
            <w:tcW w:w="4068" w:type="dxa"/>
            <w:tcBorders>
              <w:top w:val="single" w:sz="4" w:space="0" w:color="auto"/>
              <w:left w:val="nil"/>
              <w:bottom w:val="nil"/>
              <w:right w:val="nil"/>
            </w:tcBorders>
            <w:noWrap/>
            <w:vAlign w:val="center"/>
          </w:tcPr>
          <w:p w14:paraId="65C82A9B" w14:textId="77777777" w:rsidR="00032E88" w:rsidRPr="00361437" w:rsidRDefault="00032E88" w:rsidP="00032E88">
            <w:pPr>
              <w:spacing w:line="256" w:lineRule="auto"/>
              <w:rPr>
                <w:rFonts w:ascii="Arial" w:eastAsia="Times New Roman" w:hAnsi="Arial" w:cs="Arial"/>
                <w:sz w:val="20"/>
              </w:rPr>
            </w:pPr>
          </w:p>
        </w:tc>
        <w:tc>
          <w:tcPr>
            <w:tcW w:w="4967" w:type="dxa"/>
            <w:gridSpan w:val="5"/>
            <w:tcBorders>
              <w:top w:val="single" w:sz="4" w:space="0" w:color="auto"/>
              <w:left w:val="nil"/>
              <w:bottom w:val="single" w:sz="4" w:space="0" w:color="auto"/>
              <w:right w:val="nil"/>
            </w:tcBorders>
            <w:vAlign w:val="center"/>
            <w:hideMark/>
          </w:tcPr>
          <w:p w14:paraId="4B1762BC" w14:textId="55B4656B" w:rsidR="00032E88" w:rsidRPr="00361437" w:rsidRDefault="00032E88" w:rsidP="00032E88">
            <w:pPr>
              <w:spacing w:line="256" w:lineRule="auto"/>
              <w:jc w:val="center"/>
              <w:rPr>
                <w:rFonts w:ascii="Arial" w:eastAsia="Calibri" w:hAnsi="Arial" w:cs="Arial"/>
                <w:sz w:val="20"/>
              </w:rPr>
            </w:pPr>
            <w:r w:rsidRPr="00361437">
              <w:rPr>
                <w:rFonts w:ascii="Arial" w:eastAsia="Times New Roman" w:hAnsi="Arial" w:cs="Arial"/>
                <w:sz w:val="20"/>
              </w:rPr>
              <w:t xml:space="preserve">Dependent variable = </w:t>
            </w:r>
            <w:r w:rsidR="00374DAF" w:rsidRPr="00361437">
              <w:rPr>
                <w:rFonts w:ascii="Arial" w:eastAsia="Times New Roman" w:hAnsi="Arial" w:cs="Arial"/>
                <w:iCs/>
                <w:sz w:val="18"/>
              </w:rPr>
              <w:t>VOTE_WITH_CR</w:t>
            </w:r>
            <w:r w:rsidR="00374DAF" w:rsidRPr="00361437">
              <w:rPr>
                <w:rFonts w:ascii="Arial" w:eastAsia="Times New Roman" w:hAnsi="Arial" w:cs="Arial"/>
                <w:sz w:val="18"/>
              </w:rPr>
              <w:t>EDITORS_(0,1)</w:t>
            </w:r>
          </w:p>
        </w:tc>
      </w:tr>
      <w:tr w:rsidR="00032E88" w:rsidRPr="00361437" w14:paraId="46784BC7" w14:textId="77777777" w:rsidTr="004F27B4">
        <w:trPr>
          <w:trHeight w:val="288"/>
        </w:trPr>
        <w:tc>
          <w:tcPr>
            <w:tcW w:w="4068" w:type="dxa"/>
            <w:noWrap/>
            <w:vAlign w:val="center"/>
          </w:tcPr>
          <w:p w14:paraId="6850BC57" w14:textId="77777777" w:rsidR="00032E88" w:rsidRPr="00361437" w:rsidRDefault="00032E88" w:rsidP="00032E88">
            <w:pPr>
              <w:spacing w:line="256" w:lineRule="auto"/>
              <w:rPr>
                <w:rFonts w:ascii="Arial" w:eastAsia="Times New Roman" w:hAnsi="Arial" w:cs="Arial"/>
                <w:sz w:val="20"/>
              </w:rPr>
            </w:pPr>
          </w:p>
        </w:tc>
        <w:tc>
          <w:tcPr>
            <w:tcW w:w="2282" w:type="dxa"/>
            <w:gridSpan w:val="2"/>
            <w:tcBorders>
              <w:top w:val="single" w:sz="4" w:space="0" w:color="auto"/>
              <w:left w:val="nil"/>
              <w:bottom w:val="single" w:sz="4" w:space="0" w:color="auto"/>
              <w:right w:val="nil"/>
            </w:tcBorders>
            <w:vAlign w:val="center"/>
            <w:hideMark/>
          </w:tcPr>
          <w:p w14:paraId="7C563C67"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Model 1</w:t>
            </w:r>
          </w:p>
        </w:tc>
        <w:tc>
          <w:tcPr>
            <w:tcW w:w="328" w:type="dxa"/>
            <w:tcBorders>
              <w:top w:val="single" w:sz="4" w:space="0" w:color="auto"/>
              <w:left w:val="nil"/>
              <w:bottom w:val="nil"/>
              <w:right w:val="nil"/>
            </w:tcBorders>
            <w:vAlign w:val="center"/>
          </w:tcPr>
          <w:p w14:paraId="135843B7" w14:textId="77777777" w:rsidR="00032E88" w:rsidRPr="00361437" w:rsidRDefault="00032E88" w:rsidP="00032E88">
            <w:pPr>
              <w:spacing w:line="256" w:lineRule="auto"/>
              <w:jc w:val="center"/>
              <w:rPr>
                <w:rFonts w:ascii="Arial" w:eastAsia="Times New Roman" w:hAnsi="Arial" w:cs="Arial"/>
                <w:sz w:val="20"/>
              </w:rPr>
            </w:pPr>
          </w:p>
        </w:tc>
        <w:tc>
          <w:tcPr>
            <w:tcW w:w="2357" w:type="dxa"/>
            <w:gridSpan w:val="2"/>
            <w:tcBorders>
              <w:top w:val="single" w:sz="4" w:space="0" w:color="auto"/>
              <w:left w:val="nil"/>
              <w:bottom w:val="single" w:sz="4" w:space="0" w:color="auto"/>
              <w:right w:val="nil"/>
            </w:tcBorders>
            <w:vAlign w:val="center"/>
            <w:hideMark/>
          </w:tcPr>
          <w:p w14:paraId="3C2A868B"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Model 2</w:t>
            </w:r>
          </w:p>
        </w:tc>
      </w:tr>
      <w:tr w:rsidR="00032E88" w:rsidRPr="00361437" w14:paraId="6AC60274" w14:textId="77777777" w:rsidTr="004F27B4">
        <w:trPr>
          <w:trHeight w:val="288"/>
        </w:trPr>
        <w:tc>
          <w:tcPr>
            <w:tcW w:w="4068" w:type="dxa"/>
            <w:tcBorders>
              <w:top w:val="nil"/>
              <w:left w:val="nil"/>
              <w:bottom w:val="single" w:sz="4" w:space="0" w:color="auto"/>
              <w:right w:val="nil"/>
            </w:tcBorders>
            <w:noWrap/>
            <w:vAlign w:val="center"/>
          </w:tcPr>
          <w:p w14:paraId="0FFFDD80" w14:textId="77777777" w:rsidR="00032E88" w:rsidRPr="00361437" w:rsidRDefault="00032E88" w:rsidP="00032E88">
            <w:pPr>
              <w:spacing w:line="256" w:lineRule="auto"/>
              <w:rPr>
                <w:rFonts w:ascii="Arial" w:eastAsia="Times New Roman" w:hAnsi="Arial" w:cs="Arial"/>
                <w:sz w:val="20"/>
              </w:rPr>
            </w:pPr>
          </w:p>
        </w:tc>
        <w:tc>
          <w:tcPr>
            <w:tcW w:w="1165" w:type="dxa"/>
            <w:tcBorders>
              <w:top w:val="single" w:sz="4" w:space="0" w:color="auto"/>
              <w:left w:val="nil"/>
              <w:bottom w:val="single" w:sz="4" w:space="0" w:color="auto"/>
              <w:right w:val="nil"/>
            </w:tcBorders>
            <w:vAlign w:val="center"/>
            <w:hideMark/>
          </w:tcPr>
          <w:p w14:paraId="65E1208F"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1117" w:type="dxa"/>
            <w:tcBorders>
              <w:top w:val="single" w:sz="4" w:space="0" w:color="auto"/>
              <w:left w:val="nil"/>
              <w:bottom w:val="single" w:sz="4" w:space="0" w:color="auto"/>
              <w:right w:val="nil"/>
            </w:tcBorders>
            <w:vAlign w:val="center"/>
            <w:hideMark/>
          </w:tcPr>
          <w:p w14:paraId="08AAFC79"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c>
          <w:tcPr>
            <w:tcW w:w="328" w:type="dxa"/>
            <w:tcBorders>
              <w:top w:val="nil"/>
              <w:left w:val="nil"/>
              <w:bottom w:val="single" w:sz="4" w:space="0" w:color="auto"/>
              <w:right w:val="nil"/>
            </w:tcBorders>
            <w:vAlign w:val="center"/>
          </w:tcPr>
          <w:p w14:paraId="22A45E5D" w14:textId="77777777" w:rsidR="00032E88" w:rsidRPr="00361437" w:rsidRDefault="00032E88" w:rsidP="00032E88">
            <w:pPr>
              <w:spacing w:line="256" w:lineRule="auto"/>
              <w:jc w:val="center"/>
              <w:rPr>
                <w:rFonts w:ascii="Arial" w:eastAsia="Times New Roman" w:hAnsi="Arial" w:cs="Arial"/>
                <w:sz w:val="20"/>
              </w:rPr>
            </w:pPr>
          </w:p>
        </w:tc>
        <w:tc>
          <w:tcPr>
            <w:tcW w:w="1240" w:type="dxa"/>
            <w:tcBorders>
              <w:top w:val="single" w:sz="4" w:space="0" w:color="auto"/>
              <w:left w:val="nil"/>
              <w:bottom w:val="single" w:sz="4" w:space="0" w:color="auto"/>
              <w:right w:val="nil"/>
            </w:tcBorders>
            <w:vAlign w:val="center"/>
            <w:hideMark/>
          </w:tcPr>
          <w:p w14:paraId="16C4D64D"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1117" w:type="dxa"/>
            <w:tcBorders>
              <w:top w:val="single" w:sz="4" w:space="0" w:color="auto"/>
              <w:left w:val="nil"/>
              <w:bottom w:val="single" w:sz="4" w:space="0" w:color="auto"/>
              <w:right w:val="nil"/>
            </w:tcBorders>
            <w:vAlign w:val="center"/>
            <w:hideMark/>
          </w:tcPr>
          <w:p w14:paraId="185E0A83"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r>
      <w:tr w:rsidR="003D4465" w:rsidRPr="00361437" w14:paraId="4035AC2E" w14:textId="77777777" w:rsidTr="004F27B4">
        <w:trPr>
          <w:trHeight w:val="288"/>
        </w:trPr>
        <w:tc>
          <w:tcPr>
            <w:tcW w:w="4068" w:type="dxa"/>
            <w:noWrap/>
            <w:vAlign w:val="center"/>
            <w:hideMark/>
          </w:tcPr>
          <w:p w14:paraId="0ECA6EA3" w14:textId="1D7686F1" w:rsidR="003D4465" w:rsidRPr="00361437" w:rsidRDefault="00374DAF" w:rsidP="003D4465">
            <w:pPr>
              <w:spacing w:line="256" w:lineRule="auto"/>
              <w:rPr>
                <w:rFonts w:ascii="Arial" w:eastAsia="Times New Roman" w:hAnsi="Arial" w:cs="Arial"/>
                <w:sz w:val="18"/>
              </w:rPr>
            </w:pPr>
            <w:r w:rsidRPr="00361437">
              <w:rPr>
                <w:rFonts w:ascii="Arial" w:eastAsia="Times New Roman" w:hAnsi="Arial" w:cs="Arial"/>
                <w:sz w:val="18"/>
              </w:rPr>
              <w:t>ln</w:t>
            </w:r>
            <w:r w:rsidR="00231197" w:rsidRPr="00361437">
              <w:rPr>
                <w:rFonts w:ascii="Arial" w:eastAsia="Times New Roman" w:hAnsi="Arial" w:cs="Arial"/>
                <w:sz w:val="18"/>
              </w:rPr>
              <w:t>(MARKET_CAP)</w:t>
            </w:r>
          </w:p>
        </w:tc>
        <w:tc>
          <w:tcPr>
            <w:tcW w:w="1165" w:type="dxa"/>
            <w:vAlign w:val="center"/>
            <w:hideMark/>
          </w:tcPr>
          <w:p w14:paraId="07032F45" w14:textId="49B821C3"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-0.0008</w:t>
            </w:r>
          </w:p>
        </w:tc>
        <w:tc>
          <w:tcPr>
            <w:tcW w:w="1117" w:type="dxa"/>
            <w:vAlign w:val="center"/>
            <w:hideMark/>
          </w:tcPr>
          <w:p w14:paraId="20392B8E" w14:textId="28E7D970"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0.5984</w:t>
            </w:r>
          </w:p>
        </w:tc>
        <w:tc>
          <w:tcPr>
            <w:tcW w:w="328" w:type="dxa"/>
            <w:vAlign w:val="center"/>
          </w:tcPr>
          <w:p w14:paraId="4C48B6FC"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1240" w:type="dxa"/>
            <w:vAlign w:val="center"/>
            <w:hideMark/>
          </w:tcPr>
          <w:p w14:paraId="1CA0B791" w14:textId="0707B792"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0.0004</w:t>
            </w:r>
          </w:p>
        </w:tc>
        <w:tc>
          <w:tcPr>
            <w:tcW w:w="1117" w:type="dxa"/>
            <w:vAlign w:val="center"/>
            <w:hideMark/>
          </w:tcPr>
          <w:p w14:paraId="5CAEFD3B" w14:textId="574B1E36"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0.7879</w:t>
            </w:r>
          </w:p>
        </w:tc>
      </w:tr>
      <w:tr w:rsidR="003D4465" w:rsidRPr="00361437" w14:paraId="7220B38C" w14:textId="77777777" w:rsidTr="004F27B4">
        <w:trPr>
          <w:trHeight w:val="288"/>
        </w:trPr>
        <w:tc>
          <w:tcPr>
            <w:tcW w:w="4068" w:type="dxa"/>
            <w:noWrap/>
            <w:vAlign w:val="center"/>
            <w:hideMark/>
          </w:tcPr>
          <w:p w14:paraId="661B4231" w14:textId="1E2ECB84" w:rsidR="003D4465" w:rsidRPr="00361437" w:rsidRDefault="00231197" w:rsidP="003D4465">
            <w:pPr>
              <w:spacing w:line="256" w:lineRule="auto"/>
              <w:rPr>
                <w:rFonts w:ascii="Arial" w:eastAsia="Times New Roman" w:hAnsi="Arial" w:cs="Arial"/>
                <w:sz w:val="18"/>
              </w:rPr>
            </w:pPr>
            <w:r w:rsidRPr="00361437">
              <w:rPr>
                <w:rFonts w:ascii="Arial" w:eastAsia="Times New Roman" w:hAnsi="Arial" w:cs="Arial"/>
                <w:sz w:val="18"/>
              </w:rPr>
              <w:t>MARKET_TO_BOOK</w:t>
            </w:r>
          </w:p>
        </w:tc>
        <w:tc>
          <w:tcPr>
            <w:tcW w:w="1165" w:type="dxa"/>
            <w:vAlign w:val="center"/>
            <w:hideMark/>
          </w:tcPr>
          <w:p w14:paraId="3EC737B4" w14:textId="27356A8F"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-0.0026</w:t>
            </w:r>
            <w:r w:rsidRPr="00361437">
              <w:rPr>
                <w:rFonts w:ascii="Arial" w:hAnsi="Arial" w:cs="Arial"/>
                <w:color w:val="000000"/>
                <w:sz w:val="20"/>
                <w:vertAlign w:val="superscript"/>
              </w:rPr>
              <w:t>***</w:t>
            </w:r>
          </w:p>
        </w:tc>
        <w:tc>
          <w:tcPr>
            <w:tcW w:w="1117" w:type="dxa"/>
            <w:vAlign w:val="center"/>
            <w:hideMark/>
          </w:tcPr>
          <w:p w14:paraId="7BB0CF6D" w14:textId="6845B701"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0.0044</w:t>
            </w:r>
          </w:p>
        </w:tc>
        <w:tc>
          <w:tcPr>
            <w:tcW w:w="328" w:type="dxa"/>
            <w:vAlign w:val="center"/>
          </w:tcPr>
          <w:p w14:paraId="49127D09"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1240" w:type="dxa"/>
            <w:vAlign w:val="center"/>
            <w:hideMark/>
          </w:tcPr>
          <w:p w14:paraId="6553A699" w14:textId="07ADF3E7"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-0.0029</w:t>
            </w:r>
            <w:r w:rsidRPr="00361437">
              <w:rPr>
                <w:rFonts w:ascii="Arial" w:hAnsi="Arial" w:cs="Arial"/>
                <w:color w:val="000000"/>
                <w:sz w:val="20"/>
                <w:vertAlign w:val="superscript"/>
              </w:rPr>
              <w:t>***</w:t>
            </w:r>
          </w:p>
        </w:tc>
        <w:tc>
          <w:tcPr>
            <w:tcW w:w="1117" w:type="dxa"/>
            <w:vAlign w:val="center"/>
            <w:hideMark/>
          </w:tcPr>
          <w:p w14:paraId="552B1DBD" w14:textId="78E2CF0B"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0.0049</w:t>
            </w:r>
          </w:p>
        </w:tc>
      </w:tr>
      <w:tr w:rsidR="003D4465" w:rsidRPr="00361437" w14:paraId="75AAD845" w14:textId="77777777" w:rsidTr="004F27B4">
        <w:trPr>
          <w:trHeight w:val="288"/>
        </w:trPr>
        <w:tc>
          <w:tcPr>
            <w:tcW w:w="4068" w:type="dxa"/>
            <w:noWrap/>
            <w:vAlign w:val="center"/>
            <w:hideMark/>
          </w:tcPr>
          <w:p w14:paraId="6B950488" w14:textId="1679EFD9" w:rsidR="003D4465" w:rsidRPr="00361437" w:rsidRDefault="00374DAF" w:rsidP="003D4465">
            <w:pPr>
              <w:spacing w:line="256" w:lineRule="auto"/>
              <w:rPr>
                <w:rFonts w:ascii="Arial" w:eastAsia="Times New Roman" w:hAnsi="Arial" w:cs="Arial"/>
                <w:sz w:val="18"/>
              </w:rPr>
            </w:pPr>
            <w:r w:rsidRPr="00361437">
              <w:rPr>
                <w:rFonts w:ascii="Arial" w:eastAsia="Times New Roman" w:hAnsi="Arial" w:cs="Arial"/>
                <w:sz w:val="18"/>
              </w:rPr>
              <w:t>LEVERAGE</w:t>
            </w:r>
          </w:p>
        </w:tc>
        <w:tc>
          <w:tcPr>
            <w:tcW w:w="1165" w:type="dxa"/>
            <w:vAlign w:val="center"/>
            <w:hideMark/>
          </w:tcPr>
          <w:p w14:paraId="4EDBCD37" w14:textId="66FB6D6A"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0.0105</w:t>
            </w:r>
          </w:p>
        </w:tc>
        <w:tc>
          <w:tcPr>
            <w:tcW w:w="1117" w:type="dxa"/>
            <w:vAlign w:val="center"/>
            <w:hideMark/>
          </w:tcPr>
          <w:p w14:paraId="615CA1E7" w14:textId="095F05F6"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0.1863</w:t>
            </w:r>
          </w:p>
        </w:tc>
        <w:tc>
          <w:tcPr>
            <w:tcW w:w="328" w:type="dxa"/>
            <w:vAlign w:val="center"/>
          </w:tcPr>
          <w:p w14:paraId="39BBFC7A"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1240" w:type="dxa"/>
            <w:vAlign w:val="center"/>
            <w:hideMark/>
          </w:tcPr>
          <w:p w14:paraId="7BD19AD3" w14:textId="1425554B"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-0.0050</w:t>
            </w:r>
          </w:p>
        </w:tc>
        <w:tc>
          <w:tcPr>
            <w:tcW w:w="1117" w:type="dxa"/>
            <w:vAlign w:val="center"/>
            <w:hideMark/>
          </w:tcPr>
          <w:p w14:paraId="332D8DEF" w14:textId="4B24280B"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0.6148</w:t>
            </w:r>
          </w:p>
        </w:tc>
      </w:tr>
      <w:tr w:rsidR="003D4465" w:rsidRPr="00361437" w14:paraId="4BB429DA" w14:textId="77777777" w:rsidTr="004F27B4">
        <w:trPr>
          <w:trHeight w:val="288"/>
        </w:trPr>
        <w:tc>
          <w:tcPr>
            <w:tcW w:w="4068" w:type="dxa"/>
            <w:noWrap/>
            <w:vAlign w:val="center"/>
            <w:hideMark/>
          </w:tcPr>
          <w:p w14:paraId="3637D617" w14:textId="77777777" w:rsidR="003D4465" w:rsidRPr="00361437" w:rsidRDefault="003D4465" w:rsidP="003D4465">
            <w:pPr>
              <w:spacing w:line="256" w:lineRule="auto"/>
              <w:rPr>
                <w:rFonts w:ascii="Arial" w:eastAsia="Times New Roman" w:hAnsi="Arial" w:cs="Arial"/>
                <w:sz w:val="18"/>
              </w:rPr>
            </w:pPr>
            <w:r w:rsidRPr="00361437">
              <w:rPr>
                <w:rFonts w:ascii="Arial" w:eastAsia="Calibri" w:hAnsi="Arial" w:cs="Arial"/>
                <w:sz w:val="18"/>
              </w:rPr>
              <w:t>ROA</w:t>
            </w:r>
          </w:p>
        </w:tc>
        <w:tc>
          <w:tcPr>
            <w:tcW w:w="1165" w:type="dxa"/>
            <w:vAlign w:val="center"/>
            <w:hideMark/>
          </w:tcPr>
          <w:p w14:paraId="171CF01F" w14:textId="1DF3A609"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0.0685</w:t>
            </w:r>
            <w:r w:rsidRPr="00361437">
              <w:rPr>
                <w:rFonts w:ascii="Arial" w:hAnsi="Arial" w:cs="Arial"/>
                <w:color w:val="000000"/>
                <w:sz w:val="20"/>
                <w:vertAlign w:val="superscript"/>
              </w:rPr>
              <w:t>***</w:t>
            </w:r>
          </w:p>
        </w:tc>
        <w:tc>
          <w:tcPr>
            <w:tcW w:w="1117" w:type="dxa"/>
            <w:vAlign w:val="center"/>
            <w:hideMark/>
          </w:tcPr>
          <w:p w14:paraId="4C349ED7" w14:textId="3D1E9E2C"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0.0000</w:t>
            </w:r>
          </w:p>
        </w:tc>
        <w:tc>
          <w:tcPr>
            <w:tcW w:w="328" w:type="dxa"/>
            <w:vAlign w:val="center"/>
          </w:tcPr>
          <w:p w14:paraId="19BE862F"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1240" w:type="dxa"/>
            <w:vAlign w:val="center"/>
            <w:hideMark/>
          </w:tcPr>
          <w:p w14:paraId="3D2E7804" w14:textId="50632C79"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0.0605</w:t>
            </w:r>
            <w:r w:rsidRPr="00361437">
              <w:rPr>
                <w:rFonts w:ascii="Arial" w:hAnsi="Arial" w:cs="Arial"/>
                <w:color w:val="000000"/>
                <w:sz w:val="20"/>
                <w:vertAlign w:val="superscript"/>
              </w:rPr>
              <w:t>***</w:t>
            </w:r>
          </w:p>
        </w:tc>
        <w:tc>
          <w:tcPr>
            <w:tcW w:w="1117" w:type="dxa"/>
            <w:vAlign w:val="center"/>
            <w:hideMark/>
          </w:tcPr>
          <w:p w14:paraId="3ABEFB1C" w14:textId="272B6982"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0.0000</w:t>
            </w:r>
          </w:p>
        </w:tc>
      </w:tr>
      <w:tr w:rsidR="003D4465" w:rsidRPr="00361437" w14:paraId="61F6160A" w14:textId="77777777" w:rsidTr="004F27B4">
        <w:trPr>
          <w:trHeight w:val="288"/>
        </w:trPr>
        <w:tc>
          <w:tcPr>
            <w:tcW w:w="4068" w:type="dxa"/>
            <w:noWrap/>
            <w:vAlign w:val="center"/>
            <w:hideMark/>
          </w:tcPr>
          <w:p w14:paraId="59B67160" w14:textId="1731F9DE" w:rsidR="003D4465" w:rsidRPr="00361437" w:rsidRDefault="00231197" w:rsidP="003D4465">
            <w:pPr>
              <w:spacing w:line="256" w:lineRule="auto"/>
              <w:rPr>
                <w:rFonts w:ascii="Arial" w:eastAsia="Times New Roman" w:hAnsi="Arial" w:cs="Arial"/>
                <w:sz w:val="18"/>
              </w:rPr>
            </w:pPr>
            <w:r w:rsidRPr="00361437">
              <w:rPr>
                <w:rFonts w:ascii="Arial" w:eastAsia="Calibri" w:hAnsi="Arial" w:cs="Arial"/>
                <w:sz w:val="18"/>
              </w:rPr>
              <w:t>FIRM_AGE</w:t>
            </w:r>
          </w:p>
        </w:tc>
        <w:tc>
          <w:tcPr>
            <w:tcW w:w="1165" w:type="dxa"/>
            <w:vAlign w:val="center"/>
            <w:hideMark/>
          </w:tcPr>
          <w:p w14:paraId="47286044" w14:textId="53A5E29E"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-0.0039</w:t>
            </w:r>
            <w:r w:rsidRPr="00361437">
              <w:rPr>
                <w:rFonts w:ascii="Arial" w:hAnsi="Arial" w:cs="Arial"/>
                <w:color w:val="000000"/>
                <w:sz w:val="20"/>
                <w:vertAlign w:val="superscript"/>
              </w:rPr>
              <w:t>*</w:t>
            </w:r>
          </w:p>
        </w:tc>
        <w:tc>
          <w:tcPr>
            <w:tcW w:w="1117" w:type="dxa"/>
            <w:vAlign w:val="center"/>
            <w:hideMark/>
          </w:tcPr>
          <w:p w14:paraId="7301FC39" w14:textId="385BF12D"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0.0630</w:t>
            </w:r>
          </w:p>
        </w:tc>
        <w:tc>
          <w:tcPr>
            <w:tcW w:w="328" w:type="dxa"/>
            <w:vAlign w:val="center"/>
          </w:tcPr>
          <w:p w14:paraId="2E3609A6"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1240" w:type="dxa"/>
            <w:vAlign w:val="center"/>
            <w:hideMark/>
          </w:tcPr>
          <w:p w14:paraId="6A1CF15B" w14:textId="0BAB9441"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-0.0042</w:t>
            </w:r>
            <w:r w:rsidRPr="00361437">
              <w:rPr>
                <w:rFonts w:ascii="Arial" w:hAnsi="Arial" w:cs="Arial"/>
                <w:color w:val="000000"/>
                <w:sz w:val="20"/>
                <w:vertAlign w:val="superscript"/>
              </w:rPr>
              <w:t>**</w:t>
            </w:r>
          </w:p>
        </w:tc>
        <w:tc>
          <w:tcPr>
            <w:tcW w:w="1117" w:type="dxa"/>
            <w:vAlign w:val="center"/>
            <w:hideMark/>
          </w:tcPr>
          <w:p w14:paraId="736417E8" w14:textId="0A3CB65A"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0.0478</w:t>
            </w:r>
          </w:p>
        </w:tc>
      </w:tr>
      <w:tr w:rsidR="003D4465" w:rsidRPr="00361437" w14:paraId="7A35AA6B" w14:textId="77777777" w:rsidTr="004F27B4">
        <w:trPr>
          <w:trHeight w:val="288"/>
        </w:trPr>
        <w:tc>
          <w:tcPr>
            <w:tcW w:w="4068" w:type="dxa"/>
            <w:noWrap/>
            <w:vAlign w:val="center"/>
            <w:hideMark/>
          </w:tcPr>
          <w:p w14:paraId="38B87A17" w14:textId="5DFA2644" w:rsidR="003D4465" w:rsidRPr="00361437" w:rsidRDefault="00231197" w:rsidP="003D4465">
            <w:pPr>
              <w:spacing w:line="256" w:lineRule="auto"/>
              <w:rPr>
                <w:rFonts w:ascii="Arial" w:eastAsia="Times New Roman" w:hAnsi="Arial" w:cs="Arial"/>
                <w:sz w:val="18"/>
              </w:rPr>
            </w:pPr>
            <w:r w:rsidRPr="00361437">
              <w:rPr>
                <w:rFonts w:ascii="Arial" w:eastAsia="Calibri" w:hAnsi="Arial" w:cs="Arial"/>
                <w:sz w:val="18"/>
              </w:rPr>
              <w:t>INSTITUTIONAL_BLOCK_OWNERSHIP</w:t>
            </w:r>
          </w:p>
        </w:tc>
        <w:tc>
          <w:tcPr>
            <w:tcW w:w="1165" w:type="dxa"/>
            <w:vAlign w:val="center"/>
            <w:hideMark/>
          </w:tcPr>
          <w:p w14:paraId="183092E2" w14:textId="7E46AE10"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0.0014</w:t>
            </w:r>
          </w:p>
        </w:tc>
        <w:tc>
          <w:tcPr>
            <w:tcW w:w="1117" w:type="dxa"/>
            <w:vAlign w:val="center"/>
            <w:hideMark/>
          </w:tcPr>
          <w:p w14:paraId="1A7FA95E" w14:textId="60EBBE1C"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0.8409</w:t>
            </w:r>
          </w:p>
        </w:tc>
        <w:tc>
          <w:tcPr>
            <w:tcW w:w="328" w:type="dxa"/>
            <w:vAlign w:val="center"/>
          </w:tcPr>
          <w:p w14:paraId="2E9136A5"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1240" w:type="dxa"/>
            <w:vAlign w:val="center"/>
            <w:hideMark/>
          </w:tcPr>
          <w:p w14:paraId="13EA13F6" w14:textId="604D78C6"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0.0027</w:t>
            </w:r>
          </w:p>
        </w:tc>
        <w:tc>
          <w:tcPr>
            <w:tcW w:w="1117" w:type="dxa"/>
            <w:vAlign w:val="center"/>
            <w:hideMark/>
          </w:tcPr>
          <w:p w14:paraId="160C8ACD" w14:textId="23F33022"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0.7139</w:t>
            </w:r>
          </w:p>
        </w:tc>
      </w:tr>
      <w:tr w:rsidR="003D4465" w:rsidRPr="00361437" w14:paraId="4E54DB4D" w14:textId="77777777" w:rsidTr="004F27B4">
        <w:trPr>
          <w:trHeight w:val="288"/>
        </w:trPr>
        <w:tc>
          <w:tcPr>
            <w:tcW w:w="4068" w:type="dxa"/>
            <w:noWrap/>
            <w:vAlign w:val="center"/>
            <w:hideMark/>
          </w:tcPr>
          <w:p w14:paraId="77D7C3CD" w14:textId="3473AF83" w:rsidR="003D4465" w:rsidRPr="00361437" w:rsidRDefault="00231197" w:rsidP="003D4465">
            <w:pPr>
              <w:spacing w:line="256" w:lineRule="auto"/>
              <w:rPr>
                <w:rFonts w:ascii="Arial" w:eastAsia="Times New Roman" w:hAnsi="Arial" w:cs="Arial"/>
                <w:sz w:val="18"/>
              </w:rPr>
            </w:pPr>
            <w:r w:rsidRPr="00361437">
              <w:rPr>
                <w:rFonts w:ascii="Arial" w:eastAsia="Calibri" w:hAnsi="Arial" w:cs="Arial"/>
                <w:sz w:val="18"/>
              </w:rPr>
              <w:t>BIG_HOLDING_(0,1)</w:t>
            </w:r>
          </w:p>
        </w:tc>
        <w:tc>
          <w:tcPr>
            <w:tcW w:w="1165" w:type="dxa"/>
            <w:vAlign w:val="center"/>
            <w:hideMark/>
          </w:tcPr>
          <w:p w14:paraId="2B7F9645" w14:textId="294E43E1"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0.0051</w:t>
            </w:r>
          </w:p>
        </w:tc>
        <w:tc>
          <w:tcPr>
            <w:tcW w:w="1117" w:type="dxa"/>
            <w:vAlign w:val="center"/>
            <w:hideMark/>
          </w:tcPr>
          <w:p w14:paraId="58B4A636" w14:textId="14866995"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0.2104</w:t>
            </w:r>
          </w:p>
        </w:tc>
        <w:tc>
          <w:tcPr>
            <w:tcW w:w="328" w:type="dxa"/>
            <w:vAlign w:val="center"/>
          </w:tcPr>
          <w:p w14:paraId="25595AF5"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1240" w:type="dxa"/>
            <w:vAlign w:val="center"/>
            <w:hideMark/>
          </w:tcPr>
          <w:p w14:paraId="70032DB6" w14:textId="5BF4B0F6"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0.0044</w:t>
            </w:r>
          </w:p>
        </w:tc>
        <w:tc>
          <w:tcPr>
            <w:tcW w:w="1117" w:type="dxa"/>
            <w:vAlign w:val="center"/>
            <w:hideMark/>
          </w:tcPr>
          <w:p w14:paraId="44FD8E9C" w14:textId="0598F6B9"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0.2757</w:t>
            </w:r>
          </w:p>
        </w:tc>
      </w:tr>
      <w:tr w:rsidR="003D4465" w:rsidRPr="00361437" w14:paraId="56D563F8" w14:textId="77777777" w:rsidTr="004F27B4">
        <w:trPr>
          <w:trHeight w:val="288"/>
        </w:trPr>
        <w:tc>
          <w:tcPr>
            <w:tcW w:w="4068" w:type="dxa"/>
            <w:noWrap/>
            <w:vAlign w:val="center"/>
            <w:hideMark/>
          </w:tcPr>
          <w:p w14:paraId="286DF0A4" w14:textId="2BBD638C" w:rsidR="003D4465" w:rsidRPr="00361437" w:rsidRDefault="00231197" w:rsidP="003D4465">
            <w:pPr>
              <w:spacing w:line="256" w:lineRule="auto"/>
              <w:rPr>
                <w:rFonts w:ascii="Arial" w:eastAsia="Times New Roman" w:hAnsi="Arial" w:cs="Arial"/>
                <w:sz w:val="18"/>
              </w:rPr>
            </w:pPr>
            <w:r w:rsidRPr="00361437">
              <w:rPr>
                <w:rFonts w:ascii="Arial" w:eastAsia="Calibri" w:hAnsi="Arial" w:cs="Arial"/>
                <w:sz w:val="18"/>
              </w:rPr>
              <w:t>NUMBER_OF_FUNDS_IN_THE_FAMILY</w:t>
            </w:r>
          </w:p>
        </w:tc>
        <w:tc>
          <w:tcPr>
            <w:tcW w:w="1165" w:type="dxa"/>
            <w:vAlign w:val="center"/>
            <w:hideMark/>
          </w:tcPr>
          <w:p w14:paraId="1CB58AFD" w14:textId="27E92D11"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-0.0124</w:t>
            </w:r>
            <w:r w:rsidRPr="00361437">
              <w:rPr>
                <w:rFonts w:ascii="Arial" w:hAnsi="Arial" w:cs="Arial"/>
                <w:color w:val="000000"/>
                <w:sz w:val="20"/>
                <w:vertAlign w:val="superscript"/>
              </w:rPr>
              <w:t>*</w:t>
            </w:r>
          </w:p>
        </w:tc>
        <w:tc>
          <w:tcPr>
            <w:tcW w:w="1117" w:type="dxa"/>
            <w:vAlign w:val="center"/>
            <w:hideMark/>
          </w:tcPr>
          <w:p w14:paraId="7BA1C35B" w14:textId="06AEE770"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0.0665</w:t>
            </w:r>
          </w:p>
        </w:tc>
        <w:tc>
          <w:tcPr>
            <w:tcW w:w="328" w:type="dxa"/>
            <w:vAlign w:val="center"/>
          </w:tcPr>
          <w:p w14:paraId="07D063C9"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1240" w:type="dxa"/>
            <w:vAlign w:val="center"/>
            <w:hideMark/>
          </w:tcPr>
          <w:p w14:paraId="6090D4E2" w14:textId="0D4C10BA"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-0.0124</w:t>
            </w:r>
          </w:p>
        </w:tc>
        <w:tc>
          <w:tcPr>
            <w:tcW w:w="1117" w:type="dxa"/>
            <w:vAlign w:val="center"/>
            <w:hideMark/>
          </w:tcPr>
          <w:p w14:paraId="2F43CB27" w14:textId="08DB8161"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0.0649</w:t>
            </w:r>
          </w:p>
        </w:tc>
      </w:tr>
      <w:tr w:rsidR="003D4465" w:rsidRPr="00361437" w14:paraId="2C43285B" w14:textId="77777777" w:rsidTr="004F27B4">
        <w:trPr>
          <w:trHeight w:val="288"/>
        </w:trPr>
        <w:tc>
          <w:tcPr>
            <w:tcW w:w="4068" w:type="dxa"/>
            <w:noWrap/>
            <w:vAlign w:val="center"/>
            <w:hideMark/>
          </w:tcPr>
          <w:p w14:paraId="536901E6" w14:textId="5CA925AC" w:rsidR="003D4465" w:rsidRPr="00361437" w:rsidRDefault="003D4465" w:rsidP="003D4465">
            <w:pPr>
              <w:spacing w:line="256" w:lineRule="auto"/>
              <w:rPr>
                <w:rFonts w:ascii="Arial" w:eastAsia="Times New Roman" w:hAnsi="Arial" w:cs="Arial"/>
                <w:sz w:val="18"/>
              </w:rPr>
            </w:pPr>
            <w:r w:rsidRPr="00361437">
              <w:rPr>
                <w:rFonts w:ascii="Arial" w:eastAsia="Times New Roman" w:hAnsi="Arial" w:cs="Arial"/>
                <w:sz w:val="18"/>
              </w:rPr>
              <w:t>I</w:t>
            </w:r>
            <w:r w:rsidR="00374DAF" w:rsidRPr="00361437">
              <w:rPr>
                <w:rFonts w:ascii="Arial" w:eastAsia="Times New Roman" w:hAnsi="Arial" w:cs="Arial"/>
                <w:sz w:val="18"/>
              </w:rPr>
              <w:t>SS_WITH_CREDITORS_(0,1</w:t>
            </w:r>
            <w:r w:rsidRPr="00361437">
              <w:rPr>
                <w:rFonts w:ascii="Arial" w:eastAsia="Times New Roman" w:hAnsi="Arial" w:cs="Arial"/>
                <w:sz w:val="18"/>
              </w:rPr>
              <w:t>)</w:t>
            </w:r>
          </w:p>
        </w:tc>
        <w:tc>
          <w:tcPr>
            <w:tcW w:w="1165" w:type="dxa"/>
            <w:vAlign w:val="center"/>
            <w:hideMark/>
          </w:tcPr>
          <w:p w14:paraId="7E7AC877" w14:textId="782671C6"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0.7984</w:t>
            </w:r>
            <w:r w:rsidRPr="00361437">
              <w:rPr>
                <w:rFonts w:ascii="Arial" w:hAnsi="Arial" w:cs="Arial"/>
                <w:color w:val="000000"/>
                <w:sz w:val="20"/>
                <w:vertAlign w:val="superscript"/>
              </w:rPr>
              <w:t>***</w:t>
            </w:r>
          </w:p>
        </w:tc>
        <w:tc>
          <w:tcPr>
            <w:tcW w:w="1117" w:type="dxa"/>
            <w:vAlign w:val="center"/>
            <w:hideMark/>
          </w:tcPr>
          <w:p w14:paraId="47697D5C" w14:textId="323630E5"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0.0000</w:t>
            </w:r>
          </w:p>
        </w:tc>
        <w:tc>
          <w:tcPr>
            <w:tcW w:w="328" w:type="dxa"/>
            <w:vAlign w:val="center"/>
          </w:tcPr>
          <w:p w14:paraId="34FAFD47"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1240" w:type="dxa"/>
            <w:vAlign w:val="center"/>
            <w:hideMark/>
          </w:tcPr>
          <w:p w14:paraId="1BD351E1" w14:textId="5CBD16D9"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0.7992</w:t>
            </w:r>
            <w:r w:rsidRPr="00361437">
              <w:rPr>
                <w:rFonts w:ascii="Arial" w:hAnsi="Arial" w:cs="Arial"/>
                <w:color w:val="000000"/>
                <w:sz w:val="20"/>
                <w:vertAlign w:val="superscript"/>
              </w:rPr>
              <w:t>***</w:t>
            </w:r>
          </w:p>
        </w:tc>
        <w:tc>
          <w:tcPr>
            <w:tcW w:w="1117" w:type="dxa"/>
            <w:vAlign w:val="center"/>
            <w:hideMark/>
          </w:tcPr>
          <w:p w14:paraId="14F8EA5A" w14:textId="40A539CC"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0.0000</w:t>
            </w:r>
          </w:p>
        </w:tc>
      </w:tr>
      <w:tr w:rsidR="003D4465" w:rsidRPr="00361437" w14:paraId="70E96216" w14:textId="77777777" w:rsidTr="004F27B4">
        <w:trPr>
          <w:trHeight w:val="288"/>
        </w:trPr>
        <w:tc>
          <w:tcPr>
            <w:tcW w:w="4068" w:type="dxa"/>
            <w:noWrap/>
            <w:vAlign w:val="center"/>
            <w:hideMark/>
          </w:tcPr>
          <w:p w14:paraId="2770049A" w14:textId="4864D00F" w:rsidR="003D4465" w:rsidRPr="00361437" w:rsidRDefault="00374DAF" w:rsidP="003D4465">
            <w:pPr>
              <w:spacing w:line="256" w:lineRule="auto"/>
              <w:rPr>
                <w:rFonts w:ascii="Arial" w:eastAsia="Times New Roman" w:hAnsi="Arial" w:cs="Arial"/>
                <w:sz w:val="18"/>
              </w:rPr>
            </w:pPr>
            <w:r w:rsidRPr="00361437">
              <w:rPr>
                <w:rFonts w:ascii="Arial" w:eastAsia="Times New Roman" w:hAnsi="Arial" w:cs="Arial"/>
                <w:sz w:val="18"/>
              </w:rPr>
              <w:t xml:space="preserve">TREAT_(0,1) </w:t>
            </w:r>
          </w:p>
        </w:tc>
        <w:tc>
          <w:tcPr>
            <w:tcW w:w="1165" w:type="dxa"/>
            <w:vAlign w:val="center"/>
            <w:hideMark/>
          </w:tcPr>
          <w:p w14:paraId="0F6D3DBF" w14:textId="30AA9050"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0.0410</w:t>
            </w:r>
          </w:p>
        </w:tc>
        <w:tc>
          <w:tcPr>
            <w:tcW w:w="1117" w:type="dxa"/>
            <w:vAlign w:val="center"/>
            <w:hideMark/>
          </w:tcPr>
          <w:p w14:paraId="6CE68BE5" w14:textId="314BEA99"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0.1077</w:t>
            </w:r>
          </w:p>
        </w:tc>
        <w:tc>
          <w:tcPr>
            <w:tcW w:w="328" w:type="dxa"/>
            <w:vAlign w:val="center"/>
          </w:tcPr>
          <w:p w14:paraId="6391C348"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1240" w:type="dxa"/>
            <w:vAlign w:val="center"/>
            <w:hideMark/>
          </w:tcPr>
          <w:p w14:paraId="69FD7AFE" w14:textId="19656F8D"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0.0237</w:t>
            </w:r>
          </w:p>
        </w:tc>
        <w:tc>
          <w:tcPr>
            <w:tcW w:w="1117" w:type="dxa"/>
            <w:vAlign w:val="center"/>
            <w:hideMark/>
          </w:tcPr>
          <w:p w14:paraId="3C645A4F" w14:textId="23D3A96C"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0.3146</w:t>
            </w:r>
          </w:p>
        </w:tc>
      </w:tr>
      <w:tr w:rsidR="003D4465" w:rsidRPr="00361437" w14:paraId="33FED57C" w14:textId="77777777" w:rsidTr="004F27B4">
        <w:trPr>
          <w:trHeight w:val="288"/>
        </w:trPr>
        <w:tc>
          <w:tcPr>
            <w:tcW w:w="4068" w:type="dxa"/>
            <w:noWrap/>
            <w:vAlign w:val="center"/>
            <w:hideMark/>
          </w:tcPr>
          <w:p w14:paraId="4464DA95" w14:textId="60BBA990" w:rsidR="003D4465" w:rsidRPr="00361437" w:rsidRDefault="00374DAF" w:rsidP="003D4465">
            <w:pPr>
              <w:spacing w:line="256" w:lineRule="auto"/>
              <w:rPr>
                <w:rFonts w:ascii="Arial" w:eastAsia="Times New Roman" w:hAnsi="Arial" w:cs="Arial"/>
                <w:bCs/>
                <w:color w:val="000000"/>
                <w:sz w:val="18"/>
              </w:rPr>
            </w:pPr>
            <w:r w:rsidRPr="00361437">
              <w:rPr>
                <w:rFonts w:ascii="Arial" w:eastAsia="Times New Roman" w:hAnsi="Arial" w:cs="Arial"/>
                <w:bCs/>
                <w:sz w:val="18"/>
              </w:rPr>
              <w:t xml:space="preserve">TREAT_(0,1) </w:t>
            </w:r>
            <w:r w:rsidRPr="00361437">
              <w:rPr>
                <w:rFonts w:ascii="Arial" w:eastAsia="Calibri" w:hAnsi="Arial" w:cs="Arial"/>
                <w:bCs/>
                <w:color w:val="000000"/>
                <w:sz w:val="18"/>
              </w:rPr>
              <w:t>×</w:t>
            </w:r>
            <w:r w:rsidRPr="00361437">
              <w:rPr>
                <w:rFonts w:ascii="Arial" w:eastAsia="Times New Roman" w:hAnsi="Arial" w:cs="Arial"/>
                <w:bCs/>
                <w:color w:val="000000"/>
                <w:sz w:val="18"/>
              </w:rPr>
              <w:t xml:space="preserve"> </w:t>
            </w:r>
            <w:r w:rsidRPr="00361437">
              <w:rPr>
                <w:rFonts w:ascii="Arial" w:eastAsia="Times New Roman" w:hAnsi="Arial" w:cs="Arial"/>
                <w:bCs/>
                <w:sz w:val="18"/>
              </w:rPr>
              <w:t>POST_(0,1)</w:t>
            </w:r>
          </w:p>
        </w:tc>
        <w:tc>
          <w:tcPr>
            <w:tcW w:w="1165" w:type="dxa"/>
            <w:vAlign w:val="center"/>
            <w:hideMark/>
          </w:tcPr>
          <w:p w14:paraId="6C2251E1" w14:textId="7984D684" w:rsidR="003D4465" w:rsidRPr="00361437" w:rsidRDefault="003D4465" w:rsidP="00505A3D">
            <w:pPr>
              <w:tabs>
                <w:tab w:val="decimal" w:pos="250"/>
              </w:tabs>
              <w:spacing w:line="256" w:lineRule="auto"/>
              <w:rPr>
                <w:rFonts w:ascii="Arial" w:eastAsia="Calibri" w:hAnsi="Arial" w:cs="Arial"/>
                <w:bCs/>
                <w:color w:val="000000"/>
                <w:sz w:val="20"/>
              </w:rPr>
            </w:pPr>
            <w:r w:rsidRPr="00361437">
              <w:rPr>
                <w:rFonts w:ascii="Arial" w:hAnsi="Arial" w:cs="Arial"/>
                <w:color w:val="000000"/>
                <w:sz w:val="20"/>
              </w:rPr>
              <w:t>0.0309</w:t>
            </w:r>
            <w:r w:rsidRPr="00361437">
              <w:rPr>
                <w:rFonts w:ascii="Arial" w:hAnsi="Arial" w:cs="Arial"/>
                <w:color w:val="000000"/>
                <w:sz w:val="20"/>
                <w:vertAlign w:val="superscript"/>
              </w:rPr>
              <w:t>**</w:t>
            </w:r>
          </w:p>
        </w:tc>
        <w:tc>
          <w:tcPr>
            <w:tcW w:w="1117" w:type="dxa"/>
            <w:vAlign w:val="center"/>
            <w:hideMark/>
          </w:tcPr>
          <w:p w14:paraId="7BAC1713" w14:textId="1EE08607" w:rsidR="003D4465" w:rsidRPr="00361437" w:rsidRDefault="003D4465" w:rsidP="00505A3D">
            <w:pPr>
              <w:tabs>
                <w:tab w:val="decimal" w:pos="250"/>
              </w:tabs>
              <w:spacing w:line="256" w:lineRule="auto"/>
              <w:rPr>
                <w:rFonts w:ascii="Arial" w:eastAsia="Calibri" w:hAnsi="Arial" w:cs="Arial"/>
                <w:bCs/>
                <w:color w:val="000000"/>
                <w:sz w:val="20"/>
              </w:rPr>
            </w:pPr>
            <w:r w:rsidRPr="00361437">
              <w:rPr>
                <w:rFonts w:ascii="Arial" w:hAnsi="Arial" w:cs="Arial"/>
                <w:color w:val="000000"/>
                <w:sz w:val="20"/>
              </w:rPr>
              <w:t>0.0232</w:t>
            </w:r>
          </w:p>
        </w:tc>
        <w:tc>
          <w:tcPr>
            <w:tcW w:w="328" w:type="dxa"/>
            <w:vAlign w:val="center"/>
          </w:tcPr>
          <w:p w14:paraId="13FE3B4D"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1240" w:type="dxa"/>
            <w:vAlign w:val="center"/>
            <w:hideMark/>
          </w:tcPr>
          <w:p w14:paraId="1B35B525" w14:textId="2519757E"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0.0187</w:t>
            </w:r>
            <w:r w:rsidRPr="00361437">
              <w:rPr>
                <w:rFonts w:ascii="Arial" w:hAnsi="Arial" w:cs="Arial"/>
                <w:color w:val="000000"/>
                <w:sz w:val="20"/>
                <w:vertAlign w:val="superscript"/>
              </w:rPr>
              <w:t>**</w:t>
            </w:r>
          </w:p>
        </w:tc>
        <w:tc>
          <w:tcPr>
            <w:tcW w:w="1117" w:type="dxa"/>
            <w:vAlign w:val="center"/>
            <w:hideMark/>
          </w:tcPr>
          <w:p w14:paraId="7672FA72" w14:textId="19FA6BE1"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0.0446</w:t>
            </w:r>
          </w:p>
        </w:tc>
      </w:tr>
      <w:tr w:rsidR="003D4465" w:rsidRPr="00361437" w14:paraId="1F688303" w14:textId="77777777" w:rsidTr="004F27B4">
        <w:trPr>
          <w:trHeight w:val="288"/>
        </w:trPr>
        <w:tc>
          <w:tcPr>
            <w:tcW w:w="4068" w:type="dxa"/>
            <w:noWrap/>
            <w:vAlign w:val="center"/>
            <w:hideMark/>
          </w:tcPr>
          <w:p w14:paraId="5250C971" w14:textId="10E082AD" w:rsidR="003D4465" w:rsidRPr="00361437" w:rsidRDefault="00374DAF" w:rsidP="003D4465">
            <w:pPr>
              <w:spacing w:line="256" w:lineRule="auto"/>
              <w:rPr>
                <w:rFonts w:ascii="Arial" w:eastAsia="Times New Roman" w:hAnsi="Arial" w:cs="Arial"/>
                <w:sz w:val="18"/>
              </w:rPr>
            </w:pPr>
            <w:r w:rsidRPr="00361437">
              <w:rPr>
                <w:rFonts w:ascii="Arial" w:eastAsia="Times New Roman" w:hAnsi="Arial" w:cs="Arial"/>
                <w:sz w:val="18"/>
              </w:rPr>
              <w:t>DISTRESS_(0,1)</w:t>
            </w:r>
          </w:p>
        </w:tc>
        <w:tc>
          <w:tcPr>
            <w:tcW w:w="1165" w:type="dxa"/>
            <w:vAlign w:val="center"/>
          </w:tcPr>
          <w:p w14:paraId="004CD443"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1117" w:type="dxa"/>
            <w:vAlign w:val="center"/>
          </w:tcPr>
          <w:p w14:paraId="1E77CA82"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328" w:type="dxa"/>
            <w:vAlign w:val="center"/>
          </w:tcPr>
          <w:p w14:paraId="74A0B198"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1240" w:type="dxa"/>
            <w:vAlign w:val="center"/>
            <w:hideMark/>
          </w:tcPr>
          <w:p w14:paraId="53CA10AC" w14:textId="3057C07E"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-0.0287</w:t>
            </w:r>
            <w:r w:rsidRPr="00361437">
              <w:rPr>
                <w:rFonts w:ascii="Arial" w:hAnsi="Arial" w:cs="Arial"/>
                <w:color w:val="000000"/>
                <w:sz w:val="20"/>
                <w:vertAlign w:val="superscript"/>
              </w:rPr>
              <w:t>***</w:t>
            </w:r>
          </w:p>
        </w:tc>
        <w:tc>
          <w:tcPr>
            <w:tcW w:w="1117" w:type="dxa"/>
            <w:vAlign w:val="center"/>
            <w:hideMark/>
          </w:tcPr>
          <w:p w14:paraId="09EE8B73" w14:textId="31FA1B65"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0.0006</w:t>
            </w:r>
          </w:p>
        </w:tc>
      </w:tr>
      <w:tr w:rsidR="003D4465" w:rsidRPr="00361437" w14:paraId="6C49B3A3" w14:textId="77777777" w:rsidTr="004F27B4">
        <w:trPr>
          <w:trHeight w:val="288"/>
        </w:trPr>
        <w:tc>
          <w:tcPr>
            <w:tcW w:w="4068" w:type="dxa"/>
            <w:noWrap/>
            <w:vAlign w:val="center"/>
            <w:hideMark/>
          </w:tcPr>
          <w:p w14:paraId="0776C177" w14:textId="2478345B" w:rsidR="003D4465" w:rsidRPr="00361437" w:rsidRDefault="00374DAF" w:rsidP="003D4465">
            <w:pPr>
              <w:spacing w:line="256" w:lineRule="auto"/>
              <w:rPr>
                <w:rFonts w:ascii="Arial" w:eastAsia="Times New Roman" w:hAnsi="Arial" w:cs="Arial"/>
                <w:sz w:val="18"/>
              </w:rPr>
            </w:pPr>
            <w:r w:rsidRPr="00361437">
              <w:rPr>
                <w:rFonts w:ascii="Arial" w:eastAsia="Times New Roman" w:hAnsi="Arial" w:cs="Arial"/>
                <w:sz w:val="18"/>
              </w:rPr>
              <w:t xml:space="preserve">TREAT_(0,1) </w:t>
            </w:r>
            <w:r w:rsidRPr="00361437">
              <w:rPr>
                <w:rFonts w:ascii="Arial" w:eastAsia="Calibri" w:hAnsi="Arial" w:cs="Arial"/>
                <w:color w:val="000000"/>
                <w:sz w:val="18"/>
              </w:rPr>
              <w:t>×</w:t>
            </w:r>
            <w:r w:rsidRPr="00361437">
              <w:rPr>
                <w:rFonts w:ascii="Arial" w:eastAsia="Times New Roman" w:hAnsi="Arial" w:cs="Arial"/>
                <w:color w:val="000000"/>
                <w:sz w:val="18"/>
              </w:rPr>
              <w:t xml:space="preserve"> </w:t>
            </w:r>
            <w:r w:rsidRPr="00361437">
              <w:rPr>
                <w:rFonts w:ascii="Arial" w:eastAsia="Times New Roman" w:hAnsi="Arial" w:cs="Arial"/>
                <w:sz w:val="18"/>
              </w:rPr>
              <w:t>DISTRESS_(0,1)</w:t>
            </w:r>
          </w:p>
        </w:tc>
        <w:tc>
          <w:tcPr>
            <w:tcW w:w="1165" w:type="dxa"/>
            <w:vAlign w:val="center"/>
          </w:tcPr>
          <w:p w14:paraId="71E8AE9F"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1117" w:type="dxa"/>
            <w:vAlign w:val="center"/>
          </w:tcPr>
          <w:p w14:paraId="067FF30A"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328" w:type="dxa"/>
            <w:vAlign w:val="center"/>
          </w:tcPr>
          <w:p w14:paraId="759B820C"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1240" w:type="dxa"/>
            <w:vAlign w:val="center"/>
            <w:hideMark/>
          </w:tcPr>
          <w:p w14:paraId="69D90822" w14:textId="23BFD50E"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0.0424</w:t>
            </w:r>
          </w:p>
        </w:tc>
        <w:tc>
          <w:tcPr>
            <w:tcW w:w="1117" w:type="dxa"/>
            <w:vAlign w:val="center"/>
            <w:hideMark/>
          </w:tcPr>
          <w:p w14:paraId="4619F145" w14:textId="414D4098"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0.1779</w:t>
            </w:r>
          </w:p>
        </w:tc>
      </w:tr>
      <w:tr w:rsidR="003D4465" w:rsidRPr="00361437" w14:paraId="55D29018" w14:textId="77777777" w:rsidTr="004F27B4">
        <w:trPr>
          <w:trHeight w:val="288"/>
        </w:trPr>
        <w:tc>
          <w:tcPr>
            <w:tcW w:w="4068" w:type="dxa"/>
            <w:noWrap/>
            <w:vAlign w:val="center"/>
            <w:hideMark/>
          </w:tcPr>
          <w:p w14:paraId="627D70AB" w14:textId="601E61CE" w:rsidR="003D4465" w:rsidRPr="00361437" w:rsidRDefault="00374DAF" w:rsidP="003D4465">
            <w:pPr>
              <w:spacing w:line="256" w:lineRule="auto"/>
              <w:rPr>
                <w:rFonts w:ascii="Arial" w:eastAsia="Times New Roman" w:hAnsi="Arial" w:cs="Arial"/>
                <w:bCs/>
                <w:sz w:val="18"/>
              </w:rPr>
            </w:pPr>
            <w:r w:rsidRPr="00361437">
              <w:rPr>
                <w:rFonts w:ascii="Arial" w:eastAsia="Times New Roman" w:hAnsi="Arial" w:cs="Arial"/>
                <w:bCs/>
                <w:sz w:val="18"/>
              </w:rPr>
              <w:t xml:space="preserve">TREAT_(0,1) </w:t>
            </w:r>
            <w:r w:rsidRPr="00361437">
              <w:rPr>
                <w:rFonts w:ascii="Arial" w:eastAsia="Calibri" w:hAnsi="Arial" w:cs="Arial"/>
                <w:bCs/>
                <w:color w:val="000000"/>
                <w:sz w:val="18"/>
              </w:rPr>
              <w:t>×</w:t>
            </w:r>
            <w:r w:rsidRPr="00361437">
              <w:rPr>
                <w:rFonts w:ascii="Arial" w:eastAsia="Times New Roman" w:hAnsi="Arial" w:cs="Arial"/>
                <w:bCs/>
                <w:color w:val="000000"/>
                <w:sz w:val="18"/>
              </w:rPr>
              <w:t xml:space="preserve"> </w:t>
            </w:r>
            <w:r w:rsidRPr="00361437">
              <w:rPr>
                <w:rFonts w:ascii="Arial" w:eastAsia="Times New Roman" w:hAnsi="Arial" w:cs="Arial"/>
                <w:bCs/>
                <w:sz w:val="18"/>
              </w:rPr>
              <w:t xml:space="preserve">POST_(0,1) </w:t>
            </w:r>
            <w:r w:rsidRPr="00361437">
              <w:rPr>
                <w:rFonts w:ascii="Arial" w:eastAsia="Calibri" w:hAnsi="Arial" w:cs="Arial"/>
                <w:bCs/>
                <w:color w:val="000000"/>
                <w:sz w:val="18"/>
              </w:rPr>
              <w:t>×</w:t>
            </w:r>
            <w:r w:rsidRPr="00361437">
              <w:rPr>
                <w:rFonts w:ascii="Arial" w:eastAsia="Times New Roman" w:hAnsi="Arial" w:cs="Arial"/>
                <w:bCs/>
                <w:color w:val="000000"/>
                <w:sz w:val="18"/>
              </w:rPr>
              <w:t xml:space="preserve"> </w:t>
            </w:r>
            <w:r w:rsidRPr="00361437">
              <w:rPr>
                <w:rFonts w:ascii="Arial" w:eastAsia="Times New Roman" w:hAnsi="Arial" w:cs="Arial"/>
                <w:bCs/>
                <w:sz w:val="18"/>
              </w:rPr>
              <w:t>DISTRESS_(0,1)</w:t>
            </w:r>
          </w:p>
        </w:tc>
        <w:tc>
          <w:tcPr>
            <w:tcW w:w="1165" w:type="dxa"/>
            <w:vAlign w:val="center"/>
          </w:tcPr>
          <w:p w14:paraId="01584517"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1117" w:type="dxa"/>
            <w:vAlign w:val="center"/>
          </w:tcPr>
          <w:p w14:paraId="325F2539"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328" w:type="dxa"/>
            <w:vAlign w:val="center"/>
          </w:tcPr>
          <w:p w14:paraId="0723D973"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1240" w:type="dxa"/>
            <w:vAlign w:val="center"/>
            <w:hideMark/>
          </w:tcPr>
          <w:p w14:paraId="0559B250" w14:textId="4070541D"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bCs/>
                <w:color w:val="000000"/>
                <w:sz w:val="20"/>
              </w:rPr>
            </w:pPr>
            <w:r w:rsidRPr="00361437">
              <w:rPr>
                <w:rFonts w:ascii="Arial" w:hAnsi="Arial" w:cs="Arial"/>
                <w:color w:val="000000"/>
                <w:sz w:val="20"/>
              </w:rPr>
              <w:t>0.2187</w:t>
            </w:r>
            <w:r w:rsidRPr="00361437">
              <w:rPr>
                <w:rFonts w:ascii="Arial" w:hAnsi="Arial" w:cs="Arial"/>
                <w:color w:val="000000"/>
                <w:sz w:val="20"/>
                <w:vertAlign w:val="superscript"/>
              </w:rPr>
              <w:t>**</w:t>
            </w:r>
          </w:p>
        </w:tc>
        <w:tc>
          <w:tcPr>
            <w:tcW w:w="1117" w:type="dxa"/>
            <w:vAlign w:val="center"/>
            <w:hideMark/>
          </w:tcPr>
          <w:p w14:paraId="5D1A5242" w14:textId="5BD44E54"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bCs/>
                <w:color w:val="000000"/>
                <w:sz w:val="20"/>
              </w:rPr>
            </w:pPr>
            <w:r w:rsidRPr="00361437">
              <w:rPr>
                <w:rFonts w:ascii="Arial" w:hAnsi="Arial" w:cs="Arial"/>
                <w:color w:val="000000"/>
                <w:sz w:val="20"/>
              </w:rPr>
              <w:t>0.0249</w:t>
            </w:r>
          </w:p>
        </w:tc>
      </w:tr>
      <w:tr w:rsidR="003D4465" w:rsidRPr="00361437" w14:paraId="2D49E37B" w14:textId="77777777" w:rsidTr="004F27B4">
        <w:trPr>
          <w:trHeight w:val="288"/>
        </w:trPr>
        <w:tc>
          <w:tcPr>
            <w:tcW w:w="4068" w:type="dxa"/>
            <w:noWrap/>
            <w:vAlign w:val="center"/>
            <w:hideMark/>
          </w:tcPr>
          <w:p w14:paraId="0B0C6781" w14:textId="77777777" w:rsidR="003D4465" w:rsidRPr="00361437" w:rsidRDefault="003D4465" w:rsidP="003D4465">
            <w:pPr>
              <w:spacing w:line="256" w:lineRule="auto"/>
              <w:rPr>
                <w:rFonts w:ascii="Arial" w:eastAsia="Times New Roman" w:hAnsi="Arial" w:cs="Arial"/>
                <w:sz w:val="18"/>
              </w:rPr>
            </w:pPr>
            <w:r w:rsidRPr="00361437">
              <w:rPr>
                <w:rFonts w:ascii="Arial" w:eastAsia="Times New Roman" w:hAnsi="Arial" w:cs="Arial"/>
                <w:sz w:val="18"/>
              </w:rPr>
              <w:t>Intercept</w:t>
            </w:r>
          </w:p>
        </w:tc>
        <w:tc>
          <w:tcPr>
            <w:tcW w:w="1165" w:type="dxa"/>
            <w:vAlign w:val="center"/>
            <w:hideMark/>
          </w:tcPr>
          <w:p w14:paraId="75EB7E20" w14:textId="595D0F02"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0.2009</w:t>
            </w:r>
            <w:r w:rsidRPr="00361437">
              <w:rPr>
                <w:rFonts w:ascii="Arial" w:hAnsi="Arial" w:cs="Arial"/>
                <w:color w:val="000000"/>
                <w:sz w:val="20"/>
                <w:vertAlign w:val="superscript"/>
              </w:rPr>
              <w:t>***</w:t>
            </w:r>
          </w:p>
        </w:tc>
        <w:tc>
          <w:tcPr>
            <w:tcW w:w="1117" w:type="dxa"/>
            <w:vAlign w:val="center"/>
            <w:hideMark/>
          </w:tcPr>
          <w:p w14:paraId="66528FA7" w14:textId="17A2A795" w:rsidR="003D4465" w:rsidRPr="00361437" w:rsidRDefault="003D4465" w:rsidP="00505A3D">
            <w:pPr>
              <w:tabs>
                <w:tab w:val="decimal" w:pos="250"/>
              </w:tabs>
              <w:spacing w:line="256" w:lineRule="auto"/>
              <w:rPr>
                <w:rFonts w:ascii="Arial" w:eastAsia="Calibri" w:hAnsi="Arial" w:cs="Arial"/>
                <w:color w:val="000000"/>
                <w:sz w:val="20"/>
              </w:rPr>
            </w:pPr>
            <w:r w:rsidRPr="00361437">
              <w:rPr>
                <w:rFonts w:ascii="Arial" w:hAnsi="Arial" w:cs="Arial"/>
                <w:color w:val="000000"/>
                <w:sz w:val="20"/>
              </w:rPr>
              <w:t>0.0000</w:t>
            </w:r>
          </w:p>
        </w:tc>
        <w:tc>
          <w:tcPr>
            <w:tcW w:w="328" w:type="dxa"/>
            <w:vAlign w:val="center"/>
          </w:tcPr>
          <w:p w14:paraId="085DE797" w14:textId="77777777" w:rsidR="003D4465" w:rsidRPr="00361437" w:rsidRDefault="003D4465" w:rsidP="00505A3D">
            <w:pPr>
              <w:tabs>
                <w:tab w:val="decimal" w:pos="250"/>
              </w:tabs>
              <w:spacing w:line="256" w:lineRule="auto"/>
              <w:rPr>
                <w:rFonts w:ascii="Arial" w:eastAsia="Calibri" w:hAnsi="Arial" w:cs="Arial"/>
                <w:color w:val="000000"/>
                <w:sz w:val="20"/>
              </w:rPr>
            </w:pPr>
          </w:p>
        </w:tc>
        <w:tc>
          <w:tcPr>
            <w:tcW w:w="1240" w:type="dxa"/>
            <w:vAlign w:val="center"/>
            <w:hideMark/>
          </w:tcPr>
          <w:p w14:paraId="158A513E" w14:textId="4745A7C5"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0.1975</w:t>
            </w:r>
            <w:r w:rsidRPr="00361437">
              <w:rPr>
                <w:rFonts w:ascii="Arial" w:hAnsi="Arial" w:cs="Arial"/>
                <w:color w:val="000000"/>
                <w:sz w:val="20"/>
                <w:vertAlign w:val="superscript"/>
              </w:rPr>
              <w:t>***</w:t>
            </w:r>
          </w:p>
        </w:tc>
        <w:tc>
          <w:tcPr>
            <w:tcW w:w="1117" w:type="dxa"/>
            <w:vAlign w:val="center"/>
            <w:hideMark/>
          </w:tcPr>
          <w:p w14:paraId="765B72A4" w14:textId="45906DDD" w:rsidR="003D4465" w:rsidRPr="00361437" w:rsidRDefault="003D4465" w:rsidP="00505A3D">
            <w:pPr>
              <w:tabs>
                <w:tab w:val="decimal" w:pos="250"/>
              </w:tabs>
              <w:spacing w:before="100" w:beforeAutospacing="1" w:after="100" w:afterAutospacing="1" w:line="256" w:lineRule="auto"/>
              <w:contextualSpacing/>
              <w:rPr>
                <w:rFonts w:ascii="Arial" w:eastAsia="Calibri" w:hAnsi="Arial" w:cs="Arial"/>
                <w:color w:val="000000"/>
                <w:sz w:val="20"/>
              </w:rPr>
            </w:pPr>
            <w:r w:rsidRPr="00361437">
              <w:rPr>
                <w:rFonts w:ascii="Arial" w:hAnsi="Arial" w:cs="Arial"/>
                <w:color w:val="000000"/>
                <w:sz w:val="20"/>
              </w:rPr>
              <w:t>0.0000</w:t>
            </w:r>
          </w:p>
        </w:tc>
      </w:tr>
      <w:tr w:rsidR="00032E88" w:rsidRPr="00361437" w14:paraId="265E5438" w14:textId="77777777" w:rsidTr="004F27B4">
        <w:trPr>
          <w:trHeight w:val="288"/>
        </w:trPr>
        <w:tc>
          <w:tcPr>
            <w:tcW w:w="4068" w:type="dxa"/>
            <w:noWrap/>
            <w:vAlign w:val="center"/>
            <w:hideMark/>
          </w:tcPr>
          <w:p w14:paraId="09EED046" w14:textId="77777777" w:rsidR="00032E88" w:rsidRPr="00361437" w:rsidRDefault="00032E88" w:rsidP="00032E88">
            <w:pPr>
              <w:spacing w:line="256" w:lineRule="auto"/>
              <w:rPr>
                <w:rFonts w:ascii="Arial" w:eastAsia="Times New Roman" w:hAnsi="Arial" w:cs="Arial"/>
                <w:sz w:val="18"/>
              </w:rPr>
            </w:pPr>
            <w:r w:rsidRPr="00361437">
              <w:rPr>
                <w:rFonts w:ascii="Arial" w:eastAsia="Times New Roman" w:hAnsi="Arial" w:cs="Arial"/>
                <w:sz w:val="18"/>
              </w:rPr>
              <w:t xml:space="preserve">N  </w:t>
            </w:r>
          </w:p>
        </w:tc>
        <w:tc>
          <w:tcPr>
            <w:tcW w:w="1165" w:type="dxa"/>
            <w:vAlign w:val="center"/>
            <w:hideMark/>
          </w:tcPr>
          <w:p w14:paraId="29B8C1F5" w14:textId="290CCA64" w:rsidR="00032E88" w:rsidRPr="00361437" w:rsidRDefault="00513E21" w:rsidP="00032E88">
            <w:pPr>
              <w:spacing w:line="256" w:lineRule="auto"/>
              <w:jc w:val="center"/>
              <w:rPr>
                <w:rFonts w:ascii="Arial" w:eastAsia="Calibri" w:hAnsi="Arial" w:cs="Arial"/>
                <w:color w:val="000000"/>
                <w:sz w:val="20"/>
              </w:rPr>
            </w:pPr>
            <w:r w:rsidRPr="00361437">
              <w:rPr>
                <w:rFonts w:ascii="Arial" w:eastAsia="Times New Roman" w:hAnsi="Arial" w:cs="Arial"/>
                <w:sz w:val="20"/>
              </w:rPr>
              <w:t>19,173</w:t>
            </w:r>
          </w:p>
        </w:tc>
        <w:tc>
          <w:tcPr>
            <w:tcW w:w="1117" w:type="dxa"/>
            <w:vAlign w:val="bottom"/>
          </w:tcPr>
          <w:p w14:paraId="2FF59425" w14:textId="77777777" w:rsidR="00032E88" w:rsidRPr="00361437" w:rsidRDefault="00032E88" w:rsidP="00032E88">
            <w:pPr>
              <w:tabs>
                <w:tab w:val="decimal" w:pos="338"/>
              </w:tabs>
              <w:spacing w:line="256" w:lineRule="auto"/>
              <w:rPr>
                <w:rFonts w:ascii="Arial" w:eastAsia="Calibri" w:hAnsi="Arial" w:cs="Arial"/>
                <w:color w:val="000000"/>
                <w:sz w:val="20"/>
              </w:rPr>
            </w:pPr>
          </w:p>
        </w:tc>
        <w:tc>
          <w:tcPr>
            <w:tcW w:w="328" w:type="dxa"/>
            <w:vAlign w:val="bottom"/>
          </w:tcPr>
          <w:p w14:paraId="7B41157F" w14:textId="77777777" w:rsidR="00032E88" w:rsidRPr="00361437" w:rsidRDefault="00032E88" w:rsidP="00032E88">
            <w:pPr>
              <w:tabs>
                <w:tab w:val="decimal" w:pos="338"/>
              </w:tabs>
              <w:spacing w:line="256" w:lineRule="auto"/>
              <w:rPr>
                <w:rFonts w:ascii="Arial" w:eastAsia="Calibri" w:hAnsi="Arial" w:cs="Arial"/>
                <w:color w:val="000000"/>
                <w:sz w:val="20"/>
              </w:rPr>
            </w:pPr>
          </w:p>
        </w:tc>
        <w:tc>
          <w:tcPr>
            <w:tcW w:w="1240" w:type="dxa"/>
            <w:vAlign w:val="center"/>
            <w:hideMark/>
          </w:tcPr>
          <w:p w14:paraId="0AE2A2F9" w14:textId="4377B89E" w:rsidR="00032E88" w:rsidRPr="00361437" w:rsidRDefault="00513E21" w:rsidP="00032E88">
            <w:pPr>
              <w:spacing w:before="100" w:beforeAutospacing="1" w:after="100" w:afterAutospacing="1" w:line="256" w:lineRule="auto"/>
              <w:contextualSpacing/>
              <w:jc w:val="center"/>
              <w:rPr>
                <w:rFonts w:ascii="Arial" w:eastAsia="Calibri" w:hAnsi="Arial" w:cs="Arial"/>
                <w:color w:val="000000"/>
                <w:sz w:val="20"/>
              </w:rPr>
            </w:pPr>
            <w:r w:rsidRPr="00361437">
              <w:rPr>
                <w:rFonts w:ascii="Arial" w:eastAsia="Times New Roman" w:hAnsi="Arial" w:cs="Arial"/>
                <w:sz w:val="20"/>
              </w:rPr>
              <w:t>19</w:t>
            </w:r>
            <w:r w:rsidR="00655474" w:rsidRPr="00361437">
              <w:rPr>
                <w:rFonts w:ascii="Arial" w:eastAsia="Times New Roman" w:hAnsi="Arial" w:cs="Arial"/>
                <w:sz w:val="20"/>
              </w:rPr>
              <w:t>,</w:t>
            </w:r>
            <w:r w:rsidRPr="00361437">
              <w:rPr>
                <w:rFonts w:ascii="Arial" w:eastAsia="Times New Roman" w:hAnsi="Arial" w:cs="Arial"/>
                <w:sz w:val="20"/>
              </w:rPr>
              <w:t>173</w:t>
            </w:r>
          </w:p>
        </w:tc>
        <w:tc>
          <w:tcPr>
            <w:tcW w:w="1117" w:type="dxa"/>
            <w:vAlign w:val="bottom"/>
          </w:tcPr>
          <w:p w14:paraId="3392EB6C" w14:textId="77777777" w:rsidR="00032E88" w:rsidRPr="00361437" w:rsidRDefault="00032E88" w:rsidP="00032E88">
            <w:pPr>
              <w:tabs>
                <w:tab w:val="decimal" w:pos="522"/>
              </w:tabs>
              <w:spacing w:before="100" w:beforeAutospacing="1" w:after="100" w:afterAutospacing="1" w:line="256" w:lineRule="auto"/>
              <w:contextualSpacing/>
              <w:rPr>
                <w:rFonts w:ascii="Arial" w:eastAsia="Calibri" w:hAnsi="Arial" w:cs="Arial"/>
                <w:color w:val="000000"/>
                <w:sz w:val="20"/>
              </w:rPr>
            </w:pPr>
          </w:p>
        </w:tc>
      </w:tr>
      <w:tr w:rsidR="00032E88" w:rsidRPr="00361437" w14:paraId="03129359" w14:textId="77777777" w:rsidTr="004F27B4">
        <w:trPr>
          <w:trHeight w:val="288"/>
        </w:trPr>
        <w:tc>
          <w:tcPr>
            <w:tcW w:w="4068" w:type="dxa"/>
            <w:tcBorders>
              <w:top w:val="nil"/>
              <w:left w:val="nil"/>
              <w:bottom w:val="single" w:sz="4" w:space="0" w:color="auto"/>
              <w:right w:val="nil"/>
            </w:tcBorders>
            <w:noWrap/>
            <w:vAlign w:val="center"/>
            <w:hideMark/>
          </w:tcPr>
          <w:p w14:paraId="0BD1B4D9" w14:textId="77777777" w:rsidR="00032E88" w:rsidRPr="00361437" w:rsidRDefault="00032E88" w:rsidP="00032E88">
            <w:pPr>
              <w:spacing w:line="256" w:lineRule="auto"/>
              <w:rPr>
                <w:rFonts w:ascii="Arial" w:eastAsia="Times New Roman" w:hAnsi="Arial" w:cs="Arial"/>
                <w:sz w:val="18"/>
              </w:rPr>
            </w:pPr>
            <w:r w:rsidRPr="00361437">
              <w:rPr>
                <w:rFonts w:ascii="Arial" w:eastAsia="Times New Roman" w:hAnsi="Arial" w:cs="Arial"/>
                <w:sz w:val="18"/>
              </w:rPr>
              <w:t>Adjusted R</w:t>
            </w:r>
            <w:r w:rsidRPr="00361437">
              <w:rPr>
                <w:rFonts w:ascii="Arial" w:eastAsia="Times New Roman" w:hAnsi="Arial" w:cs="Arial"/>
                <w:sz w:val="18"/>
                <w:vertAlign w:val="superscript"/>
              </w:rPr>
              <w:t>2</w:t>
            </w:r>
          </w:p>
        </w:tc>
        <w:tc>
          <w:tcPr>
            <w:tcW w:w="1165" w:type="dxa"/>
            <w:tcBorders>
              <w:top w:val="nil"/>
              <w:left w:val="nil"/>
              <w:bottom w:val="single" w:sz="4" w:space="0" w:color="auto"/>
              <w:right w:val="nil"/>
            </w:tcBorders>
            <w:vAlign w:val="center"/>
            <w:hideMark/>
          </w:tcPr>
          <w:p w14:paraId="0713ADC5" w14:textId="01FE0290" w:rsidR="00032E88" w:rsidRPr="00361437" w:rsidRDefault="00032E88"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0.8</w:t>
            </w:r>
            <w:r w:rsidR="001D2AF4" w:rsidRPr="00361437">
              <w:rPr>
                <w:rFonts w:ascii="Arial" w:eastAsia="Calibri" w:hAnsi="Arial" w:cs="Arial"/>
                <w:color w:val="000000"/>
                <w:sz w:val="20"/>
              </w:rPr>
              <w:t>427</w:t>
            </w:r>
          </w:p>
        </w:tc>
        <w:tc>
          <w:tcPr>
            <w:tcW w:w="1117" w:type="dxa"/>
            <w:tcBorders>
              <w:top w:val="nil"/>
              <w:left w:val="nil"/>
              <w:bottom w:val="single" w:sz="4" w:space="0" w:color="auto"/>
              <w:right w:val="nil"/>
            </w:tcBorders>
            <w:vAlign w:val="bottom"/>
          </w:tcPr>
          <w:p w14:paraId="18FE163E" w14:textId="77777777" w:rsidR="00032E88" w:rsidRPr="00361437" w:rsidRDefault="00032E88" w:rsidP="00032E88">
            <w:pPr>
              <w:tabs>
                <w:tab w:val="decimal" w:pos="338"/>
              </w:tabs>
              <w:spacing w:line="256" w:lineRule="auto"/>
              <w:rPr>
                <w:rFonts w:ascii="Arial" w:eastAsia="Calibri" w:hAnsi="Arial" w:cs="Arial"/>
                <w:color w:val="000000"/>
                <w:sz w:val="20"/>
              </w:rPr>
            </w:pPr>
          </w:p>
        </w:tc>
        <w:tc>
          <w:tcPr>
            <w:tcW w:w="328" w:type="dxa"/>
            <w:tcBorders>
              <w:top w:val="nil"/>
              <w:left w:val="nil"/>
              <w:bottom w:val="single" w:sz="4" w:space="0" w:color="auto"/>
              <w:right w:val="nil"/>
            </w:tcBorders>
            <w:vAlign w:val="bottom"/>
          </w:tcPr>
          <w:p w14:paraId="66A7FA6C" w14:textId="77777777" w:rsidR="00032E88" w:rsidRPr="00361437" w:rsidRDefault="00032E88" w:rsidP="00032E88">
            <w:pPr>
              <w:tabs>
                <w:tab w:val="decimal" w:pos="338"/>
              </w:tabs>
              <w:spacing w:line="256" w:lineRule="auto"/>
              <w:rPr>
                <w:rFonts w:ascii="Arial" w:eastAsia="Calibri" w:hAnsi="Arial" w:cs="Arial"/>
                <w:color w:val="000000"/>
                <w:sz w:val="20"/>
              </w:rPr>
            </w:pPr>
          </w:p>
        </w:tc>
        <w:tc>
          <w:tcPr>
            <w:tcW w:w="1240" w:type="dxa"/>
            <w:tcBorders>
              <w:top w:val="nil"/>
              <w:left w:val="nil"/>
              <w:bottom w:val="single" w:sz="4" w:space="0" w:color="auto"/>
              <w:right w:val="nil"/>
            </w:tcBorders>
            <w:vAlign w:val="bottom"/>
            <w:hideMark/>
          </w:tcPr>
          <w:p w14:paraId="553F0063" w14:textId="632D4868" w:rsidR="00032E88" w:rsidRPr="00361437" w:rsidRDefault="00032E88" w:rsidP="00032E88">
            <w:pPr>
              <w:spacing w:before="100" w:beforeAutospacing="1" w:after="100" w:afterAutospacing="1" w:line="256" w:lineRule="auto"/>
              <w:contextualSpacing/>
              <w:jc w:val="center"/>
              <w:rPr>
                <w:rFonts w:ascii="Arial" w:eastAsia="Calibri" w:hAnsi="Arial" w:cs="Arial"/>
                <w:color w:val="000000"/>
                <w:sz w:val="20"/>
              </w:rPr>
            </w:pPr>
            <w:r w:rsidRPr="00361437">
              <w:rPr>
                <w:rFonts w:ascii="Arial" w:eastAsia="Calibri" w:hAnsi="Arial" w:cs="Arial"/>
                <w:color w:val="000000"/>
                <w:sz w:val="20"/>
              </w:rPr>
              <w:t>0.8</w:t>
            </w:r>
            <w:r w:rsidR="001D2AF4" w:rsidRPr="00361437">
              <w:rPr>
                <w:rFonts w:ascii="Arial" w:eastAsia="Calibri" w:hAnsi="Arial" w:cs="Arial"/>
                <w:color w:val="000000"/>
                <w:sz w:val="20"/>
              </w:rPr>
              <w:t>430</w:t>
            </w:r>
          </w:p>
        </w:tc>
        <w:tc>
          <w:tcPr>
            <w:tcW w:w="1117" w:type="dxa"/>
            <w:tcBorders>
              <w:top w:val="nil"/>
              <w:left w:val="nil"/>
              <w:bottom w:val="single" w:sz="4" w:space="0" w:color="auto"/>
              <w:right w:val="nil"/>
            </w:tcBorders>
            <w:vAlign w:val="bottom"/>
          </w:tcPr>
          <w:p w14:paraId="6CFEB92B" w14:textId="77777777" w:rsidR="00032E88" w:rsidRPr="00361437" w:rsidRDefault="00032E88" w:rsidP="00032E88">
            <w:pPr>
              <w:tabs>
                <w:tab w:val="decimal" w:pos="522"/>
              </w:tabs>
              <w:spacing w:before="100" w:beforeAutospacing="1" w:after="100" w:afterAutospacing="1" w:line="256" w:lineRule="auto"/>
              <w:contextualSpacing/>
              <w:rPr>
                <w:rFonts w:ascii="Arial" w:eastAsia="Calibri" w:hAnsi="Arial" w:cs="Arial"/>
                <w:color w:val="000000"/>
                <w:sz w:val="20"/>
              </w:rPr>
            </w:pPr>
          </w:p>
        </w:tc>
      </w:tr>
    </w:tbl>
    <w:p w14:paraId="7AAB6005" w14:textId="77777777" w:rsidR="00032E88" w:rsidRPr="00361437" w:rsidRDefault="00032E88" w:rsidP="00032E88">
      <w:pPr>
        <w:rPr>
          <w:rFonts w:ascii="Arial" w:eastAsia="Calibri" w:hAnsi="Arial" w:cs="Arial"/>
          <w:sz w:val="6"/>
        </w:rPr>
      </w:pPr>
    </w:p>
    <w:p w14:paraId="1B8FA3D8" w14:textId="77777777" w:rsidR="00032E88" w:rsidRPr="00361437" w:rsidRDefault="00032E88" w:rsidP="00032E88">
      <w:pPr>
        <w:rPr>
          <w:rFonts w:ascii="Arial" w:eastAsia="Calibri" w:hAnsi="Arial" w:cs="Arial"/>
          <w:sz w:val="20"/>
        </w:rPr>
        <w:sectPr w:rsidR="00032E88" w:rsidRPr="00361437" w:rsidSect="000E77D9">
          <w:pgSz w:w="11906" w:h="16838"/>
          <w:pgMar w:top="1440" w:right="1440" w:bottom="1440" w:left="1440" w:header="706" w:footer="0" w:gutter="0"/>
          <w:cols w:space="720"/>
        </w:sectPr>
      </w:pPr>
    </w:p>
    <w:p w14:paraId="50B021D0" w14:textId="77777777" w:rsidR="006F39AD" w:rsidRPr="00361437" w:rsidRDefault="00032E88" w:rsidP="006F39AD">
      <w:pPr>
        <w:pBdr>
          <w:top w:val="single" w:sz="4" w:space="1" w:color="auto"/>
        </w:pBdr>
        <w:jc w:val="center"/>
        <w:rPr>
          <w:rFonts w:ascii="Arial" w:eastAsia="Calibri" w:hAnsi="Arial" w:cs="Arial"/>
          <w:sz w:val="24"/>
        </w:rPr>
      </w:pPr>
      <w:r w:rsidRPr="00361437">
        <w:rPr>
          <w:rFonts w:ascii="Arial" w:eastAsia="Calibri" w:hAnsi="Arial" w:cs="Arial"/>
          <w:sz w:val="24"/>
        </w:rPr>
        <w:lastRenderedPageBreak/>
        <w:t>T</w:t>
      </w:r>
      <w:r w:rsidR="006F39AD" w:rsidRPr="00361437">
        <w:rPr>
          <w:rFonts w:ascii="Arial" w:eastAsia="Calibri" w:hAnsi="Arial" w:cs="Arial"/>
          <w:sz w:val="24"/>
        </w:rPr>
        <w:t>ABLE</w:t>
      </w:r>
      <w:r w:rsidRPr="00361437">
        <w:rPr>
          <w:rFonts w:ascii="Arial" w:eastAsia="Calibri" w:hAnsi="Arial" w:cs="Arial"/>
          <w:sz w:val="24"/>
        </w:rPr>
        <w:t xml:space="preserve"> 8</w:t>
      </w:r>
    </w:p>
    <w:p w14:paraId="708D61F8" w14:textId="4A140F71" w:rsidR="00032E88" w:rsidRPr="00361437" w:rsidRDefault="00032E88" w:rsidP="006F39AD">
      <w:pPr>
        <w:pBdr>
          <w:bottom w:val="single" w:sz="4" w:space="1" w:color="auto"/>
        </w:pBdr>
        <w:jc w:val="center"/>
        <w:rPr>
          <w:rFonts w:ascii="Arial" w:eastAsia="Calibri" w:hAnsi="Arial" w:cs="Arial"/>
          <w:sz w:val="24"/>
        </w:rPr>
      </w:pPr>
      <w:r w:rsidRPr="00361437">
        <w:rPr>
          <w:rFonts w:ascii="Arial" w:eastAsia="Calibri" w:hAnsi="Arial" w:cs="Arial"/>
          <w:sz w:val="24"/>
        </w:rPr>
        <w:t xml:space="preserve">The </w:t>
      </w:r>
      <w:r w:rsidR="006F39AD" w:rsidRPr="00361437">
        <w:rPr>
          <w:rFonts w:ascii="Arial" w:eastAsia="Calibri" w:hAnsi="Arial" w:cs="Arial"/>
          <w:sz w:val="24"/>
        </w:rPr>
        <w:t>I</w:t>
      </w:r>
      <w:r w:rsidRPr="00361437">
        <w:rPr>
          <w:rFonts w:ascii="Arial" w:eastAsia="Calibri" w:hAnsi="Arial" w:cs="Arial"/>
          <w:sz w:val="24"/>
        </w:rPr>
        <w:t xml:space="preserve">mportance of </w:t>
      </w:r>
      <w:r w:rsidR="006F39AD" w:rsidRPr="00361437">
        <w:rPr>
          <w:rFonts w:ascii="Arial" w:eastAsia="Calibri" w:hAnsi="Arial" w:cs="Arial"/>
          <w:sz w:val="24"/>
        </w:rPr>
        <w:t>V</w:t>
      </w:r>
      <w:r w:rsidRPr="00361437">
        <w:rPr>
          <w:rFonts w:ascii="Arial" w:eastAsia="Calibri" w:hAnsi="Arial" w:cs="Arial"/>
          <w:sz w:val="24"/>
        </w:rPr>
        <w:t xml:space="preserve">oting </w:t>
      </w:r>
      <w:r w:rsidR="006F39AD" w:rsidRPr="00361437">
        <w:rPr>
          <w:rFonts w:ascii="Arial" w:eastAsia="Calibri" w:hAnsi="Arial" w:cs="Arial"/>
          <w:sz w:val="24"/>
        </w:rPr>
        <w:t>C</w:t>
      </w:r>
      <w:r w:rsidRPr="00361437">
        <w:rPr>
          <w:rFonts w:ascii="Arial" w:eastAsia="Calibri" w:hAnsi="Arial" w:cs="Arial"/>
          <w:sz w:val="24"/>
        </w:rPr>
        <w:t xml:space="preserve">hannel on </w:t>
      </w:r>
      <w:r w:rsidR="006F39AD" w:rsidRPr="00361437">
        <w:rPr>
          <w:rFonts w:ascii="Arial" w:eastAsia="Calibri" w:hAnsi="Arial" w:cs="Arial"/>
          <w:sz w:val="24"/>
        </w:rPr>
        <w:t>Firm Inve</w:t>
      </w:r>
      <w:r w:rsidRPr="00361437">
        <w:rPr>
          <w:rFonts w:ascii="Arial" w:eastAsia="Calibri" w:hAnsi="Arial" w:cs="Arial"/>
          <w:sz w:val="24"/>
        </w:rPr>
        <w:t xml:space="preserve">stment and </w:t>
      </w:r>
      <w:r w:rsidR="006F39AD" w:rsidRPr="00361437">
        <w:rPr>
          <w:rFonts w:ascii="Arial" w:eastAsia="Calibri" w:hAnsi="Arial" w:cs="Arial"/>
          <w:sz w:val="24"/>
        </w:rPr>
        <w:t>Payout P</w:t>
      </w:r>
      <w:r w:rsidRPr="00361437">
        <w:rPr>
          <w:rFonts w:ascii="Arial" w:eastAsia="Calibri" w:hAnsi="Arial" w:cs="Arial"/>
          <w:sz w:val="24"/>
        </w:rPr>
        <w:t>olicy</w:t>
      </w:r>
    </w:p>
    <w:p w14:paraId="7AF45263" w14:textId="77777777" w:rsidR="00032E88" w:rsidRPr="00361437" w:rsidRDefault="00032E88" w:rsidP="00032E88">
      <w:pPr>
        <w:jc w:val="both"/>
        <w:rPr>
          <w:rFonts w:ascii="Arial" w:eastAsia="Calibri" w:hAnsi="Arial" w:cs="Arial"/>
          <w:sz w:val="20"/>
        </w:rPr>
      </w:pPr>
    </w:p>
    <w:p w14:paraId="0A09A45E" w14:textId="05772059" w:rsidR="00032E88" w:rsidRPr="00361437" w:rsidRDefault="00032E88" w:rsidP="00032E88">
      <w:pPr>
        <w:jc w:val="both"/>
        <w:rPr>
          <w:rFonts w:ascii="Arial" w:eastAsia="Calibri" w:hAnsi="Arial" w:cs="Arial"/>
          <w:sz w:val="20"/>
        </w:rPr>
      </w:pPr>
      <w:r w:rsidRPr="00361437">
        <w:rPr>
          <w:rFonts w:ascii="Arial" w:eastAsia="Calibri" w:hAnsi="Arial" w:cs="Arial"/>
          <w:sz w:val="20"/>
        </w:rPr>
        <w:t xml:space="preserve">In this table, we report OLS regressions modelling firm investment and payout decisions in a given year. Panel A presents the summary statistics of our </w:t>
      </w:r>
      <w:r w:rsidR="00655474" w:rsidRPr="00361437">
        <w:rPr>
          <w:rFonts w:ascii="Arial" w:eastAsia="Calibri" w:hAnsi="Arial" w:cs="Arial"/>
          <w:sz w:val="20"/>
        </w:rPr>
        <w:t>12,327</w:t>
      </w:r>
      <w:r w:rsidRPr="00361437">
        <w:rPr>
          <w:rFonts w:ascii="Arial" w:eastAsia="Calibri" w:hAnsi="Arial" w:cs="Arial"/>
          <w:sz w:val="20"/>
        </w:rPr>
        <w:t xml:space="preserve"> firm-year sample described in Table 1. In models 1-</w:t>
      </w:r>
      <w:r w:rsidR="00B91B22" w:rsidRPr="00361437">
        <w:rPr>
          <w:rFonts w:ascii="Arial" w:eastAsia="Calibri" w:hAnsi="Arial" w:cs="Arial"/>
          <w:sz w:val="20"/>
        </w:rPr>
        <w:t>5</w:t>
      </w:r>
      <w:r w:rsidRPr="00361437">
        <w:rPr>
          <w:rFonts w:ascii="Arial" w:eastAsia="Calibri" w:hAnsi="Arial" w:cs="Arial"/>
          <w:sz w:val="20"/>
        </w:rPr>
        <w:t xml:space="preserve">, the dependent variables are different firm investment and payout variables defined in the </w:t>
      </w:r>
      <w:r w:rsidR="00CF655C" w:rsidRPr="00361437">
        <w:rPr>
          <w:rFonts w:ascii="Arial" w:eastAsia="Calibri" w:hAnsi="Arial" w:cs="Arial"/>
          <w:sz w:val="20"/>
        </w:rPr>
        <w:t>A</w:t>
      </w:r>
      <w:r w:rsidRPr="00361437">
        <w:rPr>
          <w:rFonts w:ascii="Arial" w:eastAsia="Calibri" w:hAnsi="Arial" w:cs="Arial"/>
          <w:sz w:val="20"/>
        </w:rPr>
        <w:t xml:space="preserve">ppendix. In Panel B, the key independent variable </w:t>
      </w:r>
      <w:r w:rsidR="00505A3D" w:rsidRPr="00361437">
        <w:rPr>
          <w:rFonts w:ascii="Arial" w:eastAsia="Calibri" w:hAnsi="Arial" w:cs="Arial"/>
          <w:iCs/>
          <w:sz w:val="20"/>
        </w:rPr>
        <w:t>VALUE_WEIGHTED_DEBT_FRACTION</w:t>
      </w:r>
      <w:r w:rsidRPr="00361437">
        <w:rPr>
          <w:rFonts w:ascii="Arial" w:eastAsia="Calibri" w:hAnsi="Arial" w:cs="Arial"/>
          <w:sz w:val="20"/>
        </w:rPr>
        <w:t xml:space="preserve"> is the value weighted debt fraction by all families in a firm in a year with the weight being the family’s investment (sum of both debt and equity) in the firm. Debt fraction at the family level is the proportion of investment in bonds in total investment in bonds and equity for all funds in the family. Panel C relates the overall voting policy by fund families on all conflict proposals to firm policy</w:t>
      </w:r>
      <w:r w:rsidRPr="00361437">
        <w:rPr>
          <w:rFonts w:ascii="Arial" w:eastAsia="Calibri" w:hAnsi="Arial" w:cs="Arial"/>
          <w:sz w:val="20"/>
          <w:lang w:val="vi-VN"/>
        </w:rPr>
        <w:t xml:space="preserve"> in each firm-year</w:t>
      </w:r>
      <w:r w:rsidRPr="00361437">
        <w:rPr>
          <w:rFonts w:ascii="Arial" w:eastAsia="Calibri" w:hAnsi="Arial" w:cs="Arial"/>
          <w:sz w:val="20"/>
        </w:rPr>
        <w:t>. To measure the fraction of votes in the interest of creditors on all conflict proposals, we calculate first the fraction of votes in the interest of creditors for each fund family across each conflict proposal category. We then average the fraction of votes in the interest of creditors for each fund family across all conflict proposal categories.  After calculating the fraction voted in the interest of creditors for a given fund family in a firm in a given year, we calculate an equity-value weighted average fraction of votes in the interest of creditors across fund families in a firm in a given year. This measure can then be related to the different types of firm investment and payout policy.</w:t>
      </w:r>
      <w:r w:rsidRPr="00361437">
        <w:rPr>
          <w:rFonts w:ascii="Arial" w:eastAsia="Times New Roman" w:hAnsi="Arial" w:cs="Arial"/>
          <w:sz w:val="20"/>
          <w:lang w:val="vi-VN"/>
        </w:rPr>
        <w:t xml:space="preserve"> </w:t>
      </w:r>
      <w:r w:rsidRPr="00361437">
        <w:rPr>
          <w:rFonts w:ascii="Arial" w:eastAsia="Calibri" w:hAnsi="Arial" w:cs="Arial"/>
          <w:sz w:val="20"/>
        </w:rPr>
        <w:t>All other variables are defined in</w:t>
      </w:r>
      <w:r w:rsidR="00D10EEF" w:rsidRPr="00361437">
        <w:rPr>
          <w:rFonts w:ascii="Arial" w:eastAsia="Calibri" w:hAnsi="Arial" w:cs="Arial"/>
          <w:sz w:val="20"/>
        </w:rPr>
        <w:t xml:space="preserve"> the</w:t>
      </w:r>
      <w:r w:rsidRPr="00361437">
        <w:rPr>
          <w:rFonts w:ascii="Arial" w:eastAsia="Calibri" w:hAnsi="Arial" w:cs="Arial"/>
          <w:sz w:val="20"/>
        </w:rPr>
        <w:t xml:space="preserve"> Appendix. All regressions control for (industry × year) fixed effects. Standard errors are clustered by firm.  </w:t>
      </w:r>
      <w:r w:rsidRPr="00361437">
        <w:rPr>
          <w:rFonts w:ascii="Arial" w:eastAsia="Calibri" w:hAnsi="Arial" w:cs="Arial"/>
          <w:sz w:val="20"/>
          <w:vertAlign w:val="superscript"/>
        </w:rPr>
        <w:t>*</w:t>
      </w:r>
      <w:r w:rsidRPr="00361437">
        <w:rPr>
          <w:rFonts w:ascii="Arial" w:eastAsia="Calibri" w:hAnsi="Arial" w:cs="Arial"/>
          <w:sz w:val="20"/>
        </w:rPr>
        <w:t xml:space="preserve">, </w:t>
      </w:r>
      <w:r w:rsidRPr="00361437">
        <w:rPr>
          <w:rFonts w:ascii="Arial" w:eastAsia="Calibri" w:hAnsi="Arial" w:cs="Arial"/>
          <w:sz w:val="20"/>
          <w:vertAlign w:val="superscript"/>
        </w:rPr>
        <w:t>**</w:t>
      </w:r>
      <w:r w:rsidRPr="00361437">
        <w:rPr>
          <w:rFonts w:ascii="Arial" w:eastAsia="Calibri" w:hAnsi="Arial" w:cs="Arial"/>
          <w:sz w:val="20"/>
        </w:rPr>
        <w:t xml:space="preserve">, and </w:t>
      </w:r>
      <w:r w:rsidRPr="00361437">
        <w:rPr>
          <w:rFonts w:ascii="Arial" w:eastAsia="Calibri" w:hAnsi="Arial" w:cs="Arial"/>
          <w:sz w:val="20"/>
          <w:vertAlign w:val="superscript"/>
        </w:rPr>
        <w:t>***</w:t>
      </w:r>
      <w:r w:rsidRPr="00361437">
        <w:rPr>
          <w:rFonts w:ascii="Arial" w:eastAsia="Calibri" w:hAnsi="Arial" w:cs="Arial"/>
          <w:sz w:val="20"/>
        </w:rPr>
        <w:t xml:space="preserve"> denote statistical significance at the 10%, 5%, and 1% level, respectively.</w:t>
      </w:r>
    </w:p>
    <w:p w14:paraId="2EF35C21" w14:textId="77777777" w:rsidR="00032E88" w:rsidRPr="00361437" w:rsidRDefault="00032E88" w:rsidP="00032E88">
      <w:pPr>
        <w:jc w:val="both"/>
        <w:rPr>
          <w:rFonts w:ascii="Arial" w:eastAsia="Calibri" w:hAnsi="Arial" w:cs="Arial"/>
          <w:sz w:val="20"/>
        </w:rPr>
      </w:pPr>
    </w:p>
    <w:tbl>
      <w:tblPr>
        <w:tblW w:w="5000" w:type="pct"/>
        <w:tblLook w:val="04A0" w:firstRow="1" w:lastRow="0" w:firstColumn="1" w:lastColumn="0" w:noHBand="0" w:noVBand="1"/>
      </w:tblPr>
      <w:tblGrid>
        <w:gridCol w:w="6929"/>
        <w:gridCol w:w="1139"/>
        <w:gridCol w:w="1178"/>
        <w:gridCol w:w="1178"/>
        <w:gridCol w:w="1178"/>
        <w:gridCol w:w="1178"/>
        <w:gridCol w:w="1178"/>
      </w:tblGrid>
      <w:tr w:rsidR="00032E88" w:rsidRPr="00361437" w14:paraId="3BE7E9B0" w14:textId="77777777" w:rsidTr="006F39AD">
        <w:trPr>
          <w:trHeight w:val="360"/>
        </w:trPr>
        <w:tc>
          <w:tcPr>
            <w:tcW w:w="5000" w:type="pct"/>
            <w:gridSpan w:val="7"/>
            <w:tcBorders>
              <w:left w:val="nil"/>
              <w:bottom w:val="single" w:sz="4" w:space="0" w:color="auto"/>
              <w:right w:val="nil"/>
            </w:tcBorders>
            <w:noWrap/>
            <w:vAlign w:val="center"/>
            <w:hideMark/>
          </w:tcPr>
          <w:p w14:paraId="49221762" w14:textId="77777777" w:rsidR="00032E88" w:rsidRPr="00361437" w:rsidRDefault="00032E88" w:rsidP="00032E88">
            <w:pPr>
              <w:spacing w:before="100" w:beforeAutospacing="1" w:after="100" w:afterAutospacing="1" w:line="256" w:lineRule="auto"/>
              <w:contextualSpacing/>
              <w:rPr>
                <w:rFonts w:ascii="Arial" w:eastAsia="Times New Roman" w:hAnsi="Arial" w:cs="Arial"/>
                <w:i/>
                <w:color w:val="000000"/>
                <w:sz w:val="20"/>
                <w:lang w:eastAsia="en-GB"/>
              </w:rPr>
            </w:pPr>
            <w:r w:rsidRPr="00361437">
              <w:rPr>
                <w:rFonts w:ascii="Arial" w:eastAsia="Times New Roman" w:hAnsi="Arial" w:cs="Arial"/>
                <w:i/>
                <w:color w:val="000000"/>
                <w:sz w:val="20"/>
                <w:lang w:eastAsia="en-GB"/>
              </w:rPr>
              <w:t>Panel A: Firm characteristics</w:t>
            </w:r>
          </w:p>
        </w:tc>
      </w:tr>
      <w:tr w:rsidR="00032E88" w:rsidRPr="00361437" w14:paraId="07509D58" w14:textId="77777777" w:rsidTr="00032E88">
        <w:trPr>
          <w:trHeight w:val="360"/>
        </w:trPr>
        <w:tc>
          <w:tcPr>
            <w:tcW w:w="2482" w:type="pct"/>
            <w:tcBorders>
              <w:top w:val="single" w:sz="4" w:space="0" w:color="auto"/>
              <w:left w:val="nil"/>
              <w:bottom w:val="single" w:sz="4" w:space="0" w:color="auto"/>
              <w:right w:val="nil"/>
            </w:tcBorders>
            <w:noWrap/>
            <w:vAlign w:val="center"/>
          </w:tcPr>
          <w:p w14:paraId="4AFCCBAB" w14:textId="77777777" w:rsidR="00032E88" w:rsidRPr="00361437" w:rsidRDefault="00032E88" w:rsidP="00032E88">
            <w:pPr>
              <w:spacing w:before="100" w:beforeAutospacing="1" w:after="100" w:afterAutospacing="1" w:line="256" w:lineRule="auto"/>
              <w:contextualSpacing/>
              <w:rPr>
                <w:rFonts w:ascii="Arial" w:eastAsia="Times New Roman" w:hAnsi="Arial" w:cs="Arial"/>
                <w:color w:val="000000"/>
                <w:sz w:val="20"/>
                <w:lang w:eastAsia="en-GB"/>
              </w:rPr>
            </w:pPr>
          </w:p>
        </w:tc>
        <w:tc>
          <w:tcPr>
            <w:tcW w:w="408" w:type="pct"/>
            <w:tcBorders>
              <w:top w:val="single" w:sz="4" w:space="0" w:color="auto"/>
              <w:left w:val="nil"/>
              <w:bottom w:val="single" w:sz="4" w:space="0" w:color="auto"/>
              <w:right w:val="nil"/>
            </w:tcBorders>
            <w:vAlign w:val="center"/>
            <w:hideMark/>
          </w:tcPr>
          <w:p w14:paraId="5F1E4AF1"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N</w:t>
            </w:r>
          </w:p>
        </w:tc>
        <w:tc>
          <w:tcPr>
            <w:tcW w:w="422" w:type="pct"/>
            <w:tcBorders>
              <w:top w:val="single" w:sz="4" w:space="0" w:color="auto"/>
              <w:left w:val="nil"/>
              <w:bottom w:val="single" w:sz="4" w:space="0" w:color="auto"/>
              <w:right w:val="nil"/>
            </w:tcBorders>
            <w:noWrap/>
            <w:vAlign w:val="center"/>
            <w:hideMark/>
          </w:tcPr>
          <w:p w14:paraId="282DE801"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Mean</w:t>
            </w:r>
          </w:p>
        </w:tc>
        <w:tc>
          <w:tcPr>
            <w:tcW w:w="422" w:type="pct"/>
            <w:tcBorders>
              <w:top w:val="single" w:sz="4" w:space="0" w:color="auto"/>
              <w:left w:val="nil"/>
              <w:bottom w:val="single" w:sz="4" w:space="0" w:color="auto"/>
              <w:right w:val="nil"/>
            </w:tcBorders>
            <w:vAlign w:val="center"/>
            <w:hideMark/>
          </w:tcPr>
          <w:p w14:paraId="042A29C9"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Median</w:t>
            </w:r>
          </w:p>
        </w:tc>
        <w:tc>
          <w:tcPr>
            <w:tcW w:w="422" w:type="pct"/>
            <w:tcBorders>
              <w:top w:val="single" w:sz="4" w:space="0" w:color="auto"/>
              <w:left w:val="nil"/>
              <w:bottom w:val="single" w:sz="4" w:space="0" w:color="auto"/>
              <w:right w:val="nil"/>
            </w:tcBorders>
            <w:vAlign w:val="center"/>
            <w:hideMark/>
          </w:tcPr>
          <w:p w14:paraId="6091B911"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Q1</w:t>
            </w:r>
          </w:p>
        </w:tc>
        <w:tc>
          <w:tcPr>
            <w:tcW w:w="422" w:type="pct"/>
            <w:tcBorders>
              <w:top w:val="single" w:sz="4" w:space="0" w:color="auto"/>
              <w:left w:val="nil"/>
              <w:bottom w:val="single" w:sz="4" w:space="0" w:color="auto"/>
              <w:right w:val="nil"/>
            </w:tcBorders>
            <w:vAlign w:val="center"/>
            <w:hideMark/>
          </w:tcPr>
          <w:p w14:paraId="5175B218"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Q3</w:t>
            </w:r>
          </w:p>
        </w:tc>
        <w:tc>
          <w:tcPr>
            <w:tcW w:w="422" w:type="pct"/>
            <w:tcBorders>
              <w:top w:val="single" w:sz="4" w:space="0" w:color="auto"/>
              <w:left w:val="nil"/>
              <w:bottom w:val="single" w:sz="4" w:space="0" w:color="auto"/>
              <w:right w:val="nil"/>
            </w:tcBorders>
            <w:noWrap/>
            <w:vAlign w:val="center"/>
            <w:hideMark/>
          </w:tcPr>
          <w:p w14:paraId="2B3E124B"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Std dev</w:t>
            </w:r>
          </w:p>
        </w:tc>
      </w:tr>
      <w:tr w:rsidR="00DE522C" w:rsidRPr="00361437" w14:paraId="782BC15E" w14:textId="77777777" w:rsidTr="00DE522C">
        <w:trPr>
          <w:trHeight w:val="300"/>
        </w:trPr>
        <w:tc>
          <w:tcPr>
            <w:tcW w:w="2482" w:type="pct"/>
            <w:noWrap/>
            <w:vAlign w:val="center"/>
            <w:hideMark/>
          </w:tcPr>
          <w:p w14:paraId="3AB0E122" w14:textId="0806A223" w:rsidR="00DE522C" w:rsidRPr="00361437" w:rsidRDefault="00DE522C" w:rsidP="00DE522C">
            <w:pPr>
              <w:spacing w:before="100" w:beforeAutospacing="1" w:after="100" w:afterAutospacing="1" w:line="256" w:lineRule="auto"/>
              <w:contextualSpacing/>
              <w:rPr>
                <w:rFonts w:ascii="Arial" w:eastAsia="Times New Roman" w:hAnsi="Arial" w:cs="Arial"/>
                <w:color w:val="000000"/>
                <w:sz w:val="18"/>
                <w:lang w:eastAsia="en-GB"/>
              </w:rPr>
            </w:pPr>
            <w:r w:rsidRPr="00361437">
              <w:rPr>
                <w:rFonts w:ascii="Arial" w:eastAsia="Times New Roman" w:hAnsi="Arial" w:cs="Arial"/>
                <w:color w:val="000000"/>
                <w:sz w:val="18"/>
                <w:lang w:eastAsia="en-GB"/>
              </w:rPr>
              <w:t>M</w:t>
            </w:r>
            <w:r w:rsidR="00505A3D" w:rsidRPr="00361437">
              <w:rPr>
                <w:rFonts w:ascii="Arial" w:eastAsia="Times New Roman" w:hAnsi="Arial" w:cs="Arial"/>
                <w:color w:val="000000"/>
                <w:sz w:val="18"/>
                <w:lang w:eastAsia="en-GB"/>
              </w:rPr>
              <w:t>ARKET_CAP</w:t>
            </w:r>
            <w:r w:rsidRPr="00361437">
              <w:rPr>
                <w:rFonts w:ascii="Arial" w:eastAsia="Times New Roman" w:hAnsi="Arial" w:cs="Arial"/>
                <w:color w:val="000000"/>
                <w:sz w:val="18"/>
                <w:lang w:eastAsia="en-GB"/>
              </w:rPr>
              <w:t xml:space="preserve"> ($US billion)</w:t>
            </w:r>
          </w:p>
        </w:tc>
        <w:tc>
          <w:tcPr>
            <w:tcW w:w="408" w:type="pct"/>
            <w:vAlign w:val="center"/>
            <w:hideMark/>
          </w:tcPr>
          <w:p w14:paraId="2EB9969E" w14:textId="1DBE5CC2"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sz w:val="20"/>
              </w:rPr>
              <w:t>12,327</w:t>
            </w:r>
          </w:p>
        </w:tc>
        <w:tc>
          <w:tcPr>
            <w:tcW w:w="422" w:type="pct"/>
            <w:noWrap/>
            <w:vAlign w:val="center"/>
            <w:hideMark/>
          </w:tcPr>
          <w:p w14:paraId="20D3E6E5" w14:textId="2CD11B13"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14.6256</w:t>
            </w:r>
          </w:p>
        </w:tc>
        <w:tc>
          <w:tcPr>
            <w:tcW w:w="422" w:type="pct"/>
            <w:vAlign w:val="center"/>
            <w:hideMark/>
          </w:tcPr>
          <w:p w14:paraId="7C4D9B35" w14:textId="7A54E878"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1.5320</w:t>
            </w:r>
          </w:p>
        </w:tc>
        <w:tc>
          <w:tcPr>
            <w:tcW w:w="422" w:type="pct"/>
            <w:vAlign w:val="center"/>
            <w:hideMark/>
          </w:tcPr>
          <w:p w14:paraId="48482D0D" w14:textId="6084532B"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1.0384</w:t>
            </w:r>
          </w:p>
        </w:tc>
        <w:tc>
          <w:tcPr>
            <w:tcW w:w="422" w:type="pct"/>
            <w:vAlign w:val="center"/>
            <w:hideMark/>
          </w:tcPr>
          <w:p w14:paraId="13F51BAD" w14:textId="3688725B"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12.9148</w:t>
            </w:r>
          </w:p>
        </w:tc>
        <w:tc>
          <w:tcPr>
            <w:tcW w:w="422" w:type="pct"/>
            <w:noWrap/>
            <w:vAlign w:val="center"/>
            <w:hideMark/>
          </w:tcPr>
          <w:p w14:paraId="3D33680E" w14:textId="7CEF3DD2"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27.4401</w:t>
            </w:r>
          </w:p>
        </w:tc>
      </w:tr>
      <w:tr w:rsidR="00DE522C" w:rsidRPr="00361437" w14:paraId="45DD7E17" w14:textId="77777777" w:rsidTr="00DE522C">
        <w:trPr>
          <w:trHeight w:val="300"/>
        </w:trPr>
        <w:tc>
          <w:tcPr>
            <w:tcW w:w="2482" w:type="pct"/>
            <w:noWrap/>
            <w:vAlign w:val="center"/>
            <w:hideMark/>
          </w:tcPr>
          <w:p w14:paraId="41A61CA6" w14:textId="7FBC321B" w:rsidR="00DE522C" w:rsidRPr="00361437" w:rsidRDefault="00231197" w:rsidP="00DE522C">
            <w:pPr>
              <w:spacing w:before="100" w:beforeAutospacing="1" w:after="100" w:afterAutospacing="1" w:line="256" w:lineRule="auto"/>
              <w:contextualSpacing/>
              <w:rPr>
                <w:rFonts w:ascii="Arial" w:eastAsia="Times New Roman" w:hAnsi="Arial" w:cs="Arial"/>
                <w:color w:val="000000"/>
                <w:sz w:val="18"/>
                <w:lang w:eastAsia="en-GB"/>
              </w:rPr>
            </w:pPr>
            <w:r w:rsidRPr="00361437">
              <w:rPr>
                <w:rFonts w:ascii="Arial" w:eastAsia="Times New Roman" w:hAnsi="Arial" w:cs="Arial"/>
                <w:color w:val="000000"/>
                <w:sz w:val="18"/>
                <w:lang w:eastAsia="en-GB"/>
              </w:rPr>
              <w:t>MARKET_TO_BOOK</w:t>
            </w:r>
          </w:p>
        </w:tc>
        <w:tc>
          <w:tcPr>
            <w:tcW w:w="408" w:type="pct"/>
            <w:vAlign w:val="center"/>
            <w:hideMark/>
          </w:tcPr>
          <w:p w14:paraId="1CA5DC8E" w14:textId="37EF4D6E"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sz w:val="20"/>
              </w:rPr>
              <w:t>12,327</w:t>
            </w:r>
          </w:p>
        </w:tc>
        <w:tc>
          <w:tcPr>
            <w:tcW w:w="422" w:type="pct"/>
            <w:noWrap/>
            <w:vAlign w:val="center"/>
            <w:hideMark/>
          </w:tcPr>
          <w:p w14:paraId="220AFBAB" w14:textId="4BE673E7"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1.5884</w:t>
            </w:r>
          </w:p>
        </w:tc>
        <w:tc>
          <w:tcPr>
            <w:tcW w:w="422" w:type="pct"/>
            <w:vAlign w:val="center"/>
            <w:hideMark/>
          </w:tcPr>
          <w:p w14:paraId="1A659EEC" w14:textId="0D0F2AF4"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1.3394</w:t>
            </w:r>
          </w:p>
        </w:tc>
        <w:tc>
          <w:tcPr>
            <w:tcW w:w="422" w:type="pct"/>
            <w:vAlign w:val="center"/>
            <w:hideMark/>
          </w:tcPr>
          <w:p w14:paraId="478E885E" w14:textId="17DE9D35"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1.0079</w:t>
            </w:r>
          </w:p>
        </w:tc>
        <w:tc>
          <w:tcPr>
            <w:tcW w:w="422" w:type="pct"/>
            <w:vAlign w:val="center"/>
            <w:hideMark/>
          </w:tcPr>
          <w:p w14:paraId="421266AC" w14:textId="3E451E80"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1.7707</w:t>
            </w:r>
          </w:p>
        </w:tc>
        <w:tc>
          <w:tcPr>
            <w:tcW w:w="422" w:type="pct"/>
            <w:noWrap/>
            <w:vAlign w:val="center"/>
            <w:hideMark/>
          </w:tcPr>
          <w:p w14:paraId="56F9BD3C" w14:textId="040C94A5"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0.9675</w:t>
            </w:r>
          </w:p>
        </w:tc>
      </w:tr>
      <w:tr w:rsidR="00DE522C" w:rsidRPr="00361437" w14:paraId="7F82FE02" w14:textId="77777777" w:rsidTr="00DE522C">
        <w:trPr>
          <w:trHeight w:val="300"/>
        </w:trPr>
        <w:tc>
          <w:tcPr>
            <w:tcW w:w="2482" w:type="pct"/>
            <w:noWrap/>
            <w:vAlign w:val="center"/>
            <w:hideMark/>
          </w:tcPr>
          <w:p w14:paraId="5D3B0348" w14:textId="2C6DF8CD" w:rsidR="00DE522C" w:rsidRPr="00361437" w:rsidRDefault="00505A3D" w:rsidP="00DE522C">
            <w:pPr>
              <w:spacing w:before="100" w:beforeAutospacing="1" w:after="100" w:afterAutospacing="1" w:line="256" w:lineRule="auto"/>
              <w:contextualSpacing/>
              <w:rPr>
                <w:rFonts w:ascii="Arial" w:eastAsia="Times New Roman" w:hAnsi="Arial" w:cs="Arial"/>
                <w:color w:val="000000"/>
                <w:sz w:val="18"/>
                <w:lang w:eastAsia="en-GB"/>
              </w:rPr>
            </w:pPr>
            <w:r w:rsidRPr="00361437">
              <w:rPr>
                <w:rFonts w:ascii="Arial" w:eastAsia="Times New Roman" w:hAnsi="Arial" w:cs="Arial"/>
                <w:color w:val="000000"/>
                <w:sz w:val="18"/>
                <w:lang w:eastAsia="en-GB"/>
              </w:rPr>
              <w:t>LEVERAGE</w:t>
            </w:r>
          </w:p>
        </w:tc>
        <w:tc>
          <w:tcPr>
            <w:tcW w:w="408" w:type="pct"/>
            <w:vAlign w:val="center"/>
            <w:hideMark/>
          </w:tcPr>
          <w:p w14:paraId="3BF9D393" w14:textId="5847EA7D"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sz w:val="20"/>
              </w:rPr>
              <w:t>12,327</w:t>
            </w:r>
          </w:p>
        </w:tc>
        <w:tc>
          <w:tcPr>
            <w:tcW w:w="422" w:type="pct"/>
            <w:noWrap/>
            <w:vAlign w:val="center"/>
            <w:hideMark/>
          </w:tcPr>
          <w:p w14:paraId="7A366FE3" w14:textId="67C5B606"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0.2341</w:t>
            </w:r>
          </w:p>
        </w:tc>
        <w:tc>
          <w:tcPr>
            <w:tcW w:w="422" w:type="pct"/>
            <w:vAlign w:val="center"/>
            <w:hideMark/>
          </w:tcPr>
          <w:p w14:paraId="156F4E3B" w14:textId="3B0873B9"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0.2230</w:t>
            </w:r>
          </w:p>
        </w:tc>
        <w:tc>
          <w:tcPr>
            <w:tcW w:w="422" w:type="pct"/>
            <w:vAlign w:val="center"/>
            <w:hideMark/>
          </w:tcPr>
          <w:p w14:paraId="6A18DD29" w14:textId="606CA3F2"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0.1010</w:t>
            </w:r>
          </w:p>
        </w:tc>
        <w:tc>
          <w:tcPr>
            <w:tcW w:w="422" w:type="pct"/>
            <w:vAlign w:val="center"/>
            <w:hideMark/>
          </w:tcPr>
          <w:p w14:paraId="56E962C8" w14:textId="50001E9C"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0.3236</w:t>
            </w:r>
          </w:p>
        </w:tc>
        <w:tc>
          <w:tcPr>
            <w:tcW w:w="422" w:type="pct"/>
            <w:noWrap/>
            <w:vAlign w:val="center"/>
            <w:hideMark/>
          </w:tcPr>
          <w:p w14:paraId="527F7A48" w14:textId="1ECFE286"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0.1492</w:t>
            </w:r>
          </w:p>
        </w:tc>
      </w:tr>
      <w:tr w:rsidR="00DE522C" w:rsidRPr="00361437" w14:paraId="2F866E52" w14:textId="77777777" w:rsidTr="00DE522C">
        <w:trPr>
          <w:trHeight w:val="300"/>
        </w:trPr>
        <w:tc>
          <w:tcPr>
            <w:tcW w:w="2482" w:type="pct"/>
            <w:noWrap/>
            <w:vAlign w:val="center"/>
            <w:hideMark/>
          </w:tcPr>
          <w:p w14:paraId="5F579B78" w14:textId="77777777" w:rsidR="00DE522C" w:rsidRPr="00361437" w:rsidRDefault="00DE522C" w:rsidP="00DE522C">
            <w:pPr>
              <w:spacing w:before="100" w:beforeAutospacing="1" w:after="100" w:afterAutospacing="1" w:line="256" w:lineRule="auto"/>
              <w:contextualSpacing/>
              <w:rPr>
                <w:rFonts w:ascii="Arial" w:eastAsia="Times New Roman" w:hAnsi="Arial" w:cs="Arial"/>
                <w:color w:val="000000"/>
                <w:sz w:val="18"/>
                <w:lang w:eastAsia="en-GB"/>
              </w:rPr>
            </w:pPr>
            <w:r w:rsidRPr="00361437">
              <w:rPr>
                <w:rFonts w:ascii="Arial" w:eastAsia="Times New Roman" w:hAnsi="Arial" w:cs="Arial"/>
                <w:color w:val="000000"/>
                <w:sz w:val="18"/>
                <w:lang w:eastAsia="en-GB"/>
              </w:rPr>
              <w:t>ROA</w:t>
            </w:r>
          </w:p>
        </w:tc>
        <w:tc>
          <w:tcPr>
            <w:tcW w:w="408" w:type="pct"/>
            <w:vAlign w:val="center"/>
            <w:hideMark/>
          </w:tcPr>
          <w:p w14:paraId="3EF43777" w14:textId="27449D20"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sz w:val="20"/>
              </w:rPr>
              <w:t>12,327</w:t>
            </w:r>
          </w:p>
        </w:tc>
        <w:tc>
          <w:tcPr>
            <w:tcW w:w="422" w:type="pct"/>
            <w:noWrap/>
            <w:vAlign w:val="center"/>
            <w:hideMark/>
          </w:tcPr>
          <w:p w14:paraId="3A00A726" w14:textId="208F3E3C"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0.1352</w:t>
            </w:r>
          </w:p>
        </w:tc>
        <w:tc>
          <w:tcPr>
            <w:tcW w:w="422" w:type="pct"/>
            <w:vAlign w:val="center"/>
            <w:hideMark/>
          </w:tcPr>
          <w:p w14:paraId="46192B41" w14:textId="40286B53"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0.1149</w:t>
            </w:r>
          </w:p>
        </w:tc>
        <w:tc>
          <w:tcPr>
            <w:tcW w:w="422" w:type="pct"/>
            <w:vAlign w:val="center"/>
            <w:hideMark/>
          </w:tcPr>
          <w:p w14:paraId="4E9D3D45" w14:textId="3CA0903A"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0.0522</w:t>
            </w:r>
          </w:p>
        </w:tc>
        <w:tc>
          <w:tcPr>
            <w:tcW w:w="422" w:type="pct"/>
            <w:vAlign w:val="center"/>
            <w:hideMark/>
          </w:tcPr>
          <w:p w14:paraId="0144660C" w14:textId="37A3BC8B"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0.1559</w:t>
            </w:r>
          </w:p>
        </w:tc>
        <w:tc>
          <w:tcPr>
            <w:tcW w:w="422" w:type="pct"/>
            <w:noWrap/>
            <w:vAlign w:val="center"/>
            <w:hideMark/>
          </w:tcPr>
          <w:p w14:paraId="380B9601" w14:textId="4A6513D9"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0.0925</w:t>
            </w:r>
          </w:p>
        </w:tc>
      </w:tr>
      <w:tr w:rsidR="00DE522C" w:rsidRPr="00361437" w14:paraId="27A00F4D" w14:textId="77777777" w:rsidTr="00DE522C">
        <w:trPr>
          <w:trHeight w:val="300"/>
        </w:trPr>
        <w:tc>
          <w:tcPr>
            <w:tcW w:w="2482" w:type="pct"/>
            <w:noWrap/>
            <w:vAlign w:val="center"/>
            <w:hideMark/>
          </w:tcPr>
          <w:p w14:paraId="53430971" w14:textId="31C29DFC" w:rsidR="00DE522C" w:rsidRPr="00361437" w:rsidRDefault="00231197" w:rsidP="00DE522C">
            <w:pPr>
              <w:spacing w:before="100" w:beforeAutospacing="1" w:after="100" w:afterAutospacing="1" w:line="256" w:lineRule="auto"/>
              <w:contextualSpacing/>
              <w:rPr>
                <w:rFonts w:ascii="Arial" w:eastAsia="Times New Roman" w:hAnsi="Arial" w:cs="Arial"/>
                <w:color w:val="000000"/>
                <w:sz w:val="18"/>
                <w:lang w:eastAsia="en-GB"/>
              </w:rPr>
            </w:pPr>
            <w:r w:rsidRPr="00361437">
              <w:rPr>
                <w:rFonts w:ascii="Arial" w:eastAsia="Times New Roman" w:hAnsi="Arial" w:cs="Arial"/>
                <w:color w:val="000000"/>
                <w:sz w:val="18"/>
                <w:lang w:eastAsia="en-GB"/>
              </w:rPr>
              <w:t>FIRM_AGE</w:t>
            </w:r>
          </w:p>
        </w:tc>
        <w:tc>
          <w:tcPr>
            <w:tcW w:w="408" w:type="pct"/>
            <w:vAlign w:val="center"/>
            <w:hideMark/>
          </w:tcPr>
          <w:p w14:paraId="4DCE2318" w14:textId="2D6F2CAE"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sz w:val="20"/>
              </w:rPr>
              <w:t>12,327</w:t>
            </w:r>
          </w:p>
        </w:tc>
        <w:tc>
          <w:tcPr>
            <w:tcW w:w="422" w:type="pct"/>
            <w:noWrap/>
            <w:vAlign w:val="center"/>
            <w:hideMark/>
          </w:tcPr>
          <w:p w14:paraId="782530E6" w14:textId="6A6BFB00"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28.7210</w:t>
            </w:r>
          </w:p>
        </w:tc>
        <w:tc>
          <w:tcPr>
            <w:tcW w:w="422" w:type="pct"/>
            <w:vAlign w:val="center"/>
            <w:hideMark/>
          </w:tcPr>
          <w:p w14:paraId="45D1D7F2" w14:textId="67D0BBFA"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23.0959</w:t>
            </w:r>
          </w:p>
        </w:tc>
        <w:tc>
          <w:tcPr>
            <w:tcW w:w="422" w:type="pct"/>
            <w:vAlign w:val="center"/>
            <w:hideMark/>
          </w:tcPr>
          <w:p w14:paraId="1E564A70" w14:textId="17F9B427"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11.7616</w:t>
            </w:r>
          </w:p>
        </w:tc>
        <w:tc>
          <w:tcPr>
            <w:tcW w:w="422" w:type="pct"/>
            <w:vAlign w:val="center"/>
            <w:hideMark/>
          </w:tcPr>
          <w:p w14:paraId="6F727743" w14:textId="2D05C121"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37.7726</w:t>
            </w:r>
          </w:p>
        </w:tc>
        <w:tc>
          <w:tcPr>
            <w:tcW w:w="422" w:type="pct"/>
            <w:noWrap/>
            <w:vAlign w:val="center"/>
            <w:hideMark/>
          </w:tcPr>
          <w:p w14:paraId="1556379C" w14:textId="29E1400E"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17.3709</w:t>
            </w:r>
          </w:p>
        </w:tc>
      </w:tr>
      <w:tr w:rsidR="00DE522C" w:rsidRPr="00361437" w14:paraId="66FEE102" w14:textId="77777777" w:rsidTr="00DE522C">
        <w:trPr>
          <w:trHeight w:val="300"/>
        </w:trPr>
        <w:tc>
          <w:tcPr>
            <w:tcW w:w="2482" w:type="pct"/>
            <w:noWrap/>
            <w:vAlign w:val="center"/>
            <w:hideMark/>
          </w:tcPr>
          <w:p w14:paraId="4277B638" w14:textId="651A581A" w:rsidR="00DE522C" w:rsidRPr="00361437" w:rsidRDefault="00231197" w:rsidP="00DE522C">
            <w:pPr>
              <w:spacing w:before="100" w:beforeAutospacing="1" w:after="100" w:afterAutospacing="1" w:line="256" w:lineRule="auto"/>
              <w:contextualSpacing/>
              <w:rPr>
                <w:rFonts w:ascii="Arial" w:eastAsia="Times New Roman" w:hAnsi="Arial" w:cs="Arial"/>
                <w:color w:val="000000"/>
                <w:sz w:val="18"/>
                <w:lang w:eastAsia="en-GB"/>
              </w:rPr>
            </w:pPr>
            <w:r w:rsidRPr="00361437">
              <w:rPr>
                <w:rFonts w:ascii="Arial" w:eastAsia="Calibri" w:hAnsi="Arial" w:cs="Arial"/>
                <w:sz w:val="18"/>
              </w:rPr>
              <w:t>INSTITUTIONAL_BLOCK_OWNERSHIP</w:t>
            </w:r>
          </w:p>
        </w:tc>
        <w:tc>
          <w:tcPr>
            <w:tcW w:w="408" w:type="pct"/>
            <w:vAlign w:val="center"/>
            <w:hideMark/>
          </w:tcPr>
          <w:p w14:paraId="0596537F" w14:textId="53B06330"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sz w:val="20"/>
              </w:rPr>
              <w:t>12,327</w:t>
            </w:r>
          </w:p>
        </w:tc>
        <w:tc>
          <w:tcPr>
            <w:tcW w:w="422" w:type="pct"/>
            <w:noWrap/>
            <w:vAlign w:val="center"/>
            <w:hideMark/>
          </w:tcPr>
          <w:p w14:paraId="730DD7BF" w14:textId="13F0936E"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0.2038</w:t>
            </w:r>
          </w:p>
        </w:tc>
        <w:tc>
          <w:tcPr>
            <w:tcW w:w="422" w:type="pct"/>
            <w:vAlign w:val="center"/>
            <w:hideMark/>
          </w:tcPr>
          <w:p w14:paraId="751AA575" w14:textId="3CEDC369"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0.1803</w:t>
            </w:r>
          </w:p>
        </w:tc>
        <w:tc>
          <w:tcPr>
            <w:tcW w:w="422" w:type="pct"/>
            <w:vAlign w:val="center"/>
            <w:hideMark/>
          </w:tcPr>
          <w:p w14:paraId="1A4A6913" w14:textId="0CF66CA4"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0.0693</w:t>
            </w:r>
          </w:p>
        </w:tc>
        <w:tc>
          <w:tcPr>
            <w:tcW w:w="422" w:type="pct"/>
            <w:vAlign w:val="center"/>
            <w:hideMark/>
          </w:tcPr>
          <w:p w14:paraId="33ADC336" w14:textId="2DFBD189"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0.3040</w:t>
            </w:r>
          </w:p>
        </w:tc>
        <w:tc>
          <w:tcPr>
            <w:tcW w:w="422" w:type="pct"/>
            <w:noWrap/>
            <w:vAlign w:val="center"/>
            <w:hideMark/>
          </w:tcPr>
          <w:p w14:paraId="2C26C922" w14:textId="5E388222"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0.2652</w:t>
            </w:r>
          </w:p>
        </w:tc>
      </w:tr>
      <w:tr w:rsidR="00DE522C" w:rsidRPr="00361437" w14:paraId="0894DE16" w14:textId="77777777" w:rsidTr="00DE522C">
        <w:trPr>
          <w:trHeight w:val="300"/>
        </w:trPr>
        <w:tc>
          <w:tcPr>
            <w:tcW w:w="2482" w:type="pct"/>
            <w:noWrap/>
            <w:vAlign w:val="center"/>
            <w:hideMark/>
          </w:tcPr>
          <w:p w14:paraId="5B0B0AC0" w14:textId="518D6F41" w:rsidR="00DE522C" w:rsidRPr="00361437" w:rsidRDefault="00DE522C" w:rsidP="00DE522C">
            <w:pPr>
              <w:spacing w:before="100" w:beforeAutospacing="1" w:after="100" w:afterAutospacing="1" w:line="256" w:lineRule="auto"/>
              <w:contextualSpacing/>
              <w:rPr>
                <w:rFonts w:ascii="Arial" w:eastAsia="Times New Roman" w:hAnsi="Arial" w:cs="Arial"/>
                <w:color w:val="000000"/>
                <w:sz w:val="18"/>
                <w:lang w:eastAsia="en-GB"/>
              </w:rPr>
            </w:pPr>
            <w:r w:rsidRPr="00361437">
              <w:rPr>
                <w:rFonts w:ascii="Arial" w:eastAsia="Times New Roman" w:hAnsi="Arial" w:cs="Arial"/>
                <w:color w:val="000000"/>
                <w:sz w:val="18"/>
                <w:lang w:eastAsia="en-GB"/>
              </w:rPr>
              <w:t>C</w:t>
            </w:r>
            <w:r w:rsidR="00505A3D" w:rsidRPr="00361437">
              <w:rPr>
                <w:rFonts w:ascii="Arial" w:eastAsia="Times New Roman" w:hAnsi="Arial" w:cs="Arial"/>
                <w:color w:val="000000"/>
                <w:sz w:val="18"/>
                <w:lang w:eastAsia="en-GB"/>
              </w:rPr>
              <w:t>APEX</w:t>
            </w:r>
          </w:p>
        </w:tc>
        <w:tc>
          <w:tcPr>
            <w:tcW w:w="408" w:type="pct"/>
            <w:vAlign w:val="center"/>
            <w:hideMark/>
          </w:tcPr>
          <w:p w14:paraId="51A85FB6" w14:textId="359EFA96"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sz w:val="20"/>
              </w:rPr>
              <w:t>12,327</w:t>
            </w:r>
          </w:p>
        </w:tc>
        <w:tc>
          <w:tcPr>
            <w:tcW w:w="422" w:type="pct"/>
            <w:noWrap/>
            <w:vAlign w:val="center"/>
            <w:hideMark/>
          </w:tcPr>
          <w:p w14:paraId="436C9B8A" w14:textId="4FA5AE61"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0.0396</w:t>
            </w:r>
          </w:p>
        </w:tc>
        <w:tc>
          <w:tcPr>
            <w:tcW w:w="422" w:type="pct"/>
            <w:vAlign w:val="center"/>
            <w:hideMark/>
          </w:tcPr>
          <w:p w14:paraId="3897CF7B" w14:textId="328DD6F0"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0.0216</w:t>
            </w:r>
          </w:p>
        </w:tc>
        <w:tc>
          <w:tcPr>
            <w:tcW w:w="422" w:type="pct"/>
            <w:vAlign w:val="center"/>
            <w:hideMark/>
          </w:tcPr>
          <w:p w14:paraId="32FF6D10" w14:textId="4A733083"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0.0053</w:t>
            </w:r>
          </w:p>
        </w:tc>
        <w:tc>
          <w:tcPr>
            <w:tcW w:w="422" w:type="pct"/>
            <w:vAlign w:val="center"/>
            <w:hideMark/>
          </w:tcPr>
          <w:p w14:paraId="0C07CE51" w14:textId="16F5ADAC"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0.0493</w:t>
            </w:r>
          </w:p>
        </w:tc>
        <w:tc>
          <w:tcPr>
            <w:tcW w:w="422" w:type="pct"/>
            <w:noWrap/>
            <w:vAlign w:val="center"/>
            <w:hideMark/>
          </w:tcPr>
          <w:p w14:paraId="2282A230" w14:textId="27DF4321"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0.0574</w:t>
            </w:r>
          </w:p>
        </w:tc>
      </w:tr>
      <w:tr w:rsidR="00DE522C" w:rsidRPr="00361437" w14:paraId="6707520E" w14:textId="77777777" w:rsidTr="00DE522C">
        <w:trPr>
          <w:trHeight w:val="300"/>
        </w:trPr>
        <w:tc>
          <w:tcPr>
            <w:tcW w:w="2482" w:type="pct"/>
            <w:noWrap/>
            <w:vAlign w:val="center"/>
            <w:hideMark/>
          </w:tcPr>
          <w:p w14:paraId="3145BF24" w14:textId="39F1F218" w:rsidR="00DE522C" w:rsidRPr="00361437" w:rsidRDefault="00DE522C" w:rsidP="00DE522C">
            <w:pPr>
              <w:spacing w:before="100" w:beforeAutospacing="1" w:after="100" w:afterAutospacing="1" w:line="256" w:lineRule="auto"/>
              <w:contextualSpacing/>
              <w:rPr>
                <w:rFonts w:ascii="Arial" w:eastAsia="Times New Roman" w:hAnsi="Arial" w:cs="Arial"/>
                <w:color w:val="000000"/>
                <w:sz w:val="18"/>
                <w:lang w:eastAsia="en-GB"/>
              </w:rPr>
            </w:pPr>
            <w:r w:rsidRPr="00361437">
              <w:rPr>
                <w:rFonts w:ascii="Arial" w:eastAsia="Times New Roman" w:hAnsi="Arial" w:cs="Arial"/>
                <w:color w:val="000000"/>
                <w:sz w:val="18"/>
                <w:lang w:eastAsia="en-GB"/>
              </w:rPr>
              <w:t>SEO</w:t>
            </w:r>
          </w:p>
        </w:tc>
        <w:tc>
          <w:tcPr>
            <w:tcW w:w="408" w:type="pct"/>
            <w:vAlign w:val="center"/>
            <w:hideMark/>
          </w:tcPr>
          <w:p w14:paraId="5BC2879E" w14:textId="71C3BAC7"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sz w:val="20"/>
              </w:rPr>
              <w:t>12,327</w:t>
            </w:r>
          </w:p>
        </w:tc>
        <w:tc>
          <w:tcPr>
            <w:tcW w:w="422" w:type="pct"/>
            <w:noWrap/>
            <w:vAlign w:val="center"/>
            <w:hideMark/>
          </w:tcPr>
          <w:p w14:paraId="50D99370" w14:textId="30E49A97"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0.0179</w:t>
            </w:r>
          </w:p>
        </w:tc>
        <w:tc>
          <w:tcPr>
            <w:tcW w:w="422" w:type="pct"/>
            <w:vAlign w:val="center"/>
            <w:hideMark/>
          </w:tcPr>
          <w:p w14:paraId="45F9FDC3" w14:textId="4925080B"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422" w:type="pct"/>
            <w:vAlign w:val="center"/>
            <w:hideMark/>
          </w:tcPr>
          <w:p w14:paraId="22890605" w14:textId="556E3595"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422" w:type="pct"/>
            <w:vAlign w:val="center"/>
            <w:hideMark/>
          </w:tcPr>
          <w:p w14:paraId="7DB8C208" w14:textId="2D6699B6"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422" w:type="pct"/>
            <w:noWrap/>
            <w:vAlign w:val="center"/>
            <w:hideMark/>
          </w:tcPr>
          <w:p w14:paraId="33F8B367" w14:textId="78ED79CB"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0.0824</w:t>
            </w:r>
          </w:p>
        </w:tc>
      </w:tr>
      <w:tr w:rsidR="00DE522C" w:rsidRPr="00361437" w14:paraId="13037916" w14:textId="77777777" w:rsidTr="00DE522C">
        <w:trPr>
          <w:trHeight w:val="300"/>
        </w:trPr>
        <w:tc>
          <w:tcPr>
            <w:tcW w:w="2482" w:type="pct"/>
            <w:noWrap/>
            <w:vAlign w:val="center"/>
            <w:hideMark/>
          </w:tcPr>
          <w:p w14:paraId="1EE3C28C" w14:textId="2084AD6A" w:rsidR="00DE522C" w:rsidRPr="00361437" w:rsidRDefault="00505A3D" w:rsidP="00DE522C">
            <w:pPr>
              <w:spacing w:before="100" w:beforeAutospacing="1" w:after="100" w:afterAutospacing="1" w:line="256" w:lineRule="auto"/>
              <w:contextualSpacing/>
              <w:rPr>
                <w:rFonts w:ascii="Arial" w:eastAsia="Times New Roman" w:hAnsi="Arial" w:cs="Arial"/>
                <w:color w:val="000000"/>
                <w:sz w:val="18"/>
                <w:lang w:eastAsia="en-GB"/>
              </w:rPr>
            </w:pPr>
            <w:r w:rsidRPr="00361437">
              <w:rPr>
                <w:rFonts w:ascii="Arial" w:eastAsia="Times New Roman" w:hAnsi="Arial" w:cs="Arial"/>
                <w:color w:val="000000"/>
                <w:sz w:val="18"/>
                <w:lang w:eastAsia="en-GB"/>
              </w:rPr>
              <w:t>NON-CORE_</w:t>
            </w:r>
            <w:r w:rsidR="00DE522C" w:rsidRPr="00361437">
              <w:rPr>
                <w:rFonts w:ascii="Arial" w:eastAsia="Times New Roman" w:hAnsi="Arial" w:cs="Arial"/>
                <w:color w:val="000000"/>
                <w:sz w:val="18"/>
                <w:lang w:eastAsia="en-GB"/>
              </w:rPr>
              <w:t>M&amp;A</w:t>
            </w:r>
          </w:p>
        </w:tc>
        <w:tc>
          <w:tcPr>
            <w:tcW w:w="408" w:type="pct"/>
            <w:vAlign w:val="center"/>
            <w:hideMark/>
          </w:tcPr>
          <w:p w14:paraId="22AB3812" w14:textId="6DC22EEA"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sz w:val="20"/>
              </w:rPr>
              <w:t>12,327</w:t>
            </w:r>
          </w:p>
        </w:tc>
        <w:tc>
          <w:tcPr>
            <w:tcW w:w="422" w:type="pct"/>
            <w:noWrap/>
            <w:vAlign w:val="center"/>
            <w:hideMark/>
          </w:tcPr>
          <w:p w14:paraId="1D92E1C2" w14:textId="756EB55E"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0.0204</w:t>
            </w:r>
          </w:p>
        </w:tc>
        <w:tc>
          <w:tcPr>
            <w:tcW w:w="422" w:type="pct"/>
            <w:vAlign w:val="center"/>
            <w:hideMark/>
          </w:tcPr>
          <w:p w14:paraId="26EB9370" w14:textId="750CFAA4"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422" w:type="pct"/>
            <w:vAlign w:val="center"/>
            <w:hideMark/>
          </w:tcPr>
          <w:p w14:paraId="3683FFDD" w14:textId="0D629B9C"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422" w:type="pct"/>
            <w:vAlign w:val="center"/>
            <w:hideMark/>
          </w:tcPr>
          <w:p w14:paraId="00FB8267" w14:textId="48A3FC16"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422" w:type="pct"/>
            <w:noWrap/>
            <w:vAlign w:val="center"/>
            <w:hideMark/>
          </w:tcPr>
          <w:p w14:paraId="4BC656F9" w14:textId="71DC7AFD"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0.1415</w:t>
            </w:r>
          </w:p>
        </w:tc>
      </w:tr>
      <w:tr w:rsidR="00DE522C" w:rsidRPr="00361437" w14:paraId="6748A7E9" w14:textId="77777777" w:rsidTr="00DE522C">
        <w:trPr>
          <w:trHeight w:val="300"/>
        </w:trPr>
        <w:tc>
          <w:tcPr>
            <w:tcW w:w="2482" w:type="pct"/>
            <w:noWrap/>
            <w:vAlign w:val="center"/>
            <w:hideMark/>
          </w:tcPr>
          <w:p w14:paraId="0748EBC8" w14:textId="50BF330A" w:rsidR="00DE522C" w:rsidRPr="00361437" w:rsidRDefault="00505A3D" w:rsidP="00DE522C">
            <w:pPr>
              <w:spacing w:before="100" w:beforeAutospacing="1" w:after="100" w:afterAutospacing="1" w:line="256" w:lineRule="auto"/>
              <w:contextualSpacing/>
              <w:rPr>
                <w:rFonts w:ascii="Arial" w:eastAsia="Times New Roman" w:hAnsi="Arial" w:cs="Arial"/>
                <w:color w:val="000000"/>
                <w:sz w:val="18"/>
                <w:lang w:eastAsia="en-GB"/>
              </w:rPr>
            </w:pPr>
            <w:r w:rsidRPr="00361437">
              <w:rPr>
                <w:rFonts w:ascii="Arial" w:eastAsia="Times New Roman" w:hAnsi="Arial" w:cs="Arial"/>
                <w:color w:val="000000"/>
                <w:sz w:val="18"/>
                <w:lang w:eastAsia="en-GB"/>
              </w:rPr>
              <w:t>DIVIDEND</w:t>
            </w:r>
          </w:p>
        </w:tc>
        <w:tc>
          <w:tcPr>
            <w:tcW w:w="408" w:type="pct"/>
            <w:vAlign w:val="center"/>
            <w:hideMark/>
          </w:tcPr>
          <w:p w14:paraId="138A0045" w14:textId="79AB324B"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sz w:val="20"/>
              </w:rPr>
              <w:t>12,327</w:t>
            </w:r>
          </w:p>
        </w:tc>
        <w:tc>
          <w:tcPr>
            <w:tcW w:w="422" w:type="pct"/>
            <w:noWrap/>
            <w:vAlign w:val="center"/>
            <w:hideMark/>
          </w:tcPr>
          <w:p w14:paraId="30391BC7" w14:textId="3DD31259"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0.0102</w:t>
            </w:r>
          </w:p>
        </w:tc>
        <w:tc>
          <w:tcPr>
            <w:tcW w:w="422" w:type="pct"/>
            <w:vAlign w:val="center"/>
            <w:hideMark/>
          </w:tcPr>
          <w:p w14:paraId="19EB6A6D" w14:textId="23D99A3C"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0.0007</w:t>
            </w:r>
          </w:p>
        </w:tc>
        <w:tc>
          <w:tcPr>
            <w:tcW w:w="422" w:type="pct"/>
            <w:vAlign w:val="center"/>
            <w:hideMark/>
          </w:tcPr>
          <w:p w14:paraId="775E95DC" w14:textId="616DB0B0"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422" w:type="pct"/>
            <w:vAlign w:val="center"/>
            <w:hideMark/>
          </w:tcPr>
          <w:p w14:paraId="02A816F5" w14:textId="18875F95"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0.0104</w:t>
            </w:r>
          </w:p>
        </w:tc>
        <w:tc>
          <w:tcPr>
            <w:tcW w:w="422" w:type="pct"/>
            <w:noWrap/>
            <w:vAlign w:val="center"/>
            <w:hideMark/>
          </w:tcPr>
          <w:p w14:paraId="05855633" w14:textId="41DAC55F"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0.0306</w:t>
            </w:r>
          </w:p>
        </w:tc>
      </w:tr>
      <w:tr w:rsidR="00DE522C" w:rsidRPr="00361437" w14:paraId="4ED9CD31" w14:textId="77777777" w:rsidTr="00DE522C">
        <w:trPr>
          <w:trHeight w:val="300"/>
        </w:trPr>
        <w:tc>
          <w:tcPr>
            <w:tcW w:w="2482" w:type="pct"/>
            <w:noWrap/>
            <w:vAlign w:val="center"/>
            <w:hideMark/>
          </w:tcPr>
          <w:p w14:paraId="695E8E1E" w14:textId="2AA2FF2E" w:rsidR="00DE522C" w:rsidRPr="00361437" w:rsidRDefault="00505A3D" w:rsidP="00DE522C">
            <w:pPr>
              <w:spacing w:before="100" w:beforeAutospacing="1" w:after="100" w:afterAutospacing="1" w:line="256" w:lineRule="auto"/>
              <w:contextualSpacing/>
              <w:rPr>
                <w:rFonts w:ascii="Arial" w:eastAsia="Times New Roman" w:hAnsi="Arial" w:cs="Arial"/>
                <w:color w:val="000000"/>
                <w:sz w:val="18"/>
                <w:lang w:eastAsia="en-GB"/>
              </w:rPr>
            </w:pPr>
            <w:r w:rsidRPr="00361437">
              <w:rPr>
                <w:rFonts w:ascii="Arial" w:eastAsia="Times New Roman" w:hAnsi="Arial" w:cs="Arial"/>
                <w:color w:val="000000"/>
                <w:sz w:val="18"/>
                <w:lang w:eastAsia="en-GB"/>
              </w:rPr>
              <w:t>REPURCHASE</w:t>
            </w:r>
          </w:p>
        </w:tc>
        <w:tc>
          <w:tcPr>
            <w:tcW w:w="408" w:type="pct"/>
            <w:vAlign w:val="center"/>
            <w:hideMark/>
          </w:tcPr>
          <w:p w14:paraId="6B7F08CF" w14:textId="4226BCF1"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sz w:val="20"/>
              </w:rPr>
              <w:t>12,327</w:t>
            </w:r>
          </w:p>
        </w:tc>
        <w:tc>
          <w:tcPr>
            <w:tcW w:w="422" w:type="pct"/>
            <w:noWrap/>
            <w:vAlign w:val="center"/>
            <w:hideMark/>
          </w:tcPr>
          <w:p w14:paraId="0381ED55" w14:textId="2DE6684C"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0.0139</w:t>
            </w:r>
          </w:p>
        </w:tc>
        <w:tc>
          <w:tcPr>
            <w:tcW w:w="422" w:type="pct"/>
            <w:vAlign w:val="center"/>
            <w:hideMark/>
          </w:tcPr>
          <w:p w14:paraId="2A7A7A5F" w14:textId="479036A0"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422" w:type="pct"/>
            <w:vAlign w:val="center"/>
            <w:hideMark/>
          </w:tcPr>
          <w:p w14:paraId="37B55399" w14:textId="60676920"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422" w:type="pct"/>
            <w:vAlign w:val="center"/>
            <w:hideMark/>
          </w:tcPr>
          <w:p w14:paraId="4254DA31" w14:textId="730939E1"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0.0064</w:t>
            </w:r>
          </w:p>
        </w:tc>
        <w:tc>
          <w:tcPr>
            <w:tcW w:w="422" w:type="pct"/>
            <w:noWrap/>
            <w:vAlign w:val="center"/>
            <w:hideMark/>
          </w:tcPr>
          <w:p w14:paraId="4C4359D3" w14:textId="13A31FEB"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0.0418</w:t>
            </w:r>
          </w:p>
        </w:tc>
      </w:tr>
      <w:tr w:rsidR="00DE522C" w:rsidRPr="00361437" w14:paraId="1BC1B97A" w14:textId="77777777" w:rsidTr="00DE522C">
        <w:trPr>
          <w:trHeight w:val="300"/>
        </w:trPr>
        <w:tc>
          <w:tcPr>
            <w:tcW w:w="2482" w:type="pct"/>
            <w:noWrap/>
            <w:vAlign w:val="center"/>
            <w:hideMark/>
          </w:tcPr>
          <w:p w14:paraId="14A1ACF7" w14:textId="6D35B8A1" w:rsidR="00DE522C" w:rsidRPr="00361437" w:rsidRDefault="00505A3D" w:rsidP="00DE522C">
            <w:pPr>
              <w:spacing w:before="100" w:beforeAutospacing="1" w:after="100" w:afterAutospacing="1" w:line="256" w:lineRule="auto"/>
              <w:contextualSpacing/>
              <w:rPr>
                <w:rFonts w:ascii="Arial" w:eastAsia="Times New Roman" w:hAnsi="Arial" w:cs="Arial"/>
                <w:color w:val="000000"/>
                <w:sz w:val="18"/>
                <w:lang w:eastAsia="en-GB"/>
              </w:rPr>
            </w:pPr>
            <w:r w:rsidRPr="00361437">
              <w:rPr>
                <w:rFonts w:ascii="Arial" w:eastAsia="Calibri" w:hAnsi="Arial" w:cs="Arial"/>
                <w:iCs/>
                <w:sz w:val="18"/>
              </w:rPr>
              <w:t>VALUE_WEIGHTED_DEBT_FRACTION</w:t>
            </w:r>
          </w:p>
        </w:tc>
        <w:tc>
          <w:tcPr>
            <w:tcW w:w="408" w:type="pct"/>
            <w:vAlign w:val="center"/>
            <w:hideMark/>
          </w:tcPr>
          <w:p w14:paraId="1975433E" w14:textId="0B1BE3A7"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Calibri" w:hAnsi="Arial" w:cs="Arial"/>
                <w:sz w:val="20"/>
              </w:rPr>
              <w:t>12,327</w:t>
            </w:r>
          </w:p>
        </w:tc>
        <w:tc>
          <w:tcPr>
            <w:tcW w:w="422" w:type="pct"/>
            <w:noWrap/>
            <w:vAlign w:val="center"/>
            <w:hideMark/>
          </w:tcPr>
          <w:p w14:paraId="42A16E40" w14:textId="1666A00B"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0.0499</w:t>
            </w:r>
          </w:p>
        </w:tc>
        <w:tc>
          <w:tcPr>
            <w:tcW w:w="422" w:type="pct"/>
            <w:vAlign w:val="center"/>
            <w:hideMark/>
          </w:tcPr>
          <w:p w14:paraId="460F6717" w14:textId="4E808320"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422" w:type="pct"/>
            <w:vAlign w:val="center"/>
            <w:hideMark/>
          </w:tcPr>
          <w:p w14:paraId="57F2AF07" w14:textId="4EB1FDC4"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0.0000</w:t>
            </w:r>
          </w:p>
        </w:tc>
        <w:tc>
          <w:tcPr>
            <w:tcW w:w="422" w:type="pct"/>
            <w:vAlign w:val="center"/>
            <w:hideMark/>
          </w:tcPr>
          <w:p w14:paraId="143178EF" w14:textId="327510E5"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0.0269</w:t>
            </w:r>
          </w:p>
        </w:tc>
        <w:tc>
          <w:tcPr>
            <w:tcW w:w="422" w:type="pct"/>
            <w:noWrap/>
            <w:vAlign w:val="center"/>
            <w:hideMark/>
          </w:tcPr>
          <w:p w14:paraId="48F9370D" w14:textId="72865F07" w:rsidR="00DE522C" w:rsidRPr="00361437" w:rsidRDefault="00DE522C" w:rsidP="00DE522C">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hAnsi="Arial" w:cs="Arial"/>
                <w:color w:val="000000"/>
                <w:sz w:val="20"/>
              </w:rPr>
              <w:t>0.1514</w:t>
            </w:r>
          </w:p>
        </w:tc>
      </w:tr>
      <w:tr w:rsidR="00032E88" w:rsidRPr="00361437" w14:paraId="188846E7" w14:textId="77777777" w:rsidTr="00845236">
        <w:trPr>
          <w:trHeight w:val="300"/>
        </w:trPr>
        <w:tc>
          <w:tcPr>
            <w:tcW w:w="2482" w:type="pct"/>
            <w:noWrap/>
            <w:vAlign w:val="center"/>
            <w:hideMark/>
          </w:tcPr>
          <w:p w14:paraId="71F5494B" w14:textId="77777777" w:rsidR="00032E88" w:rsidRPr="00361437" w:rsidRDefault="00032E88" w:rsidP="00032E88">
            <w:pPr>
              <w:spacing w:before="100" w:beforeAutospacing="1" w:after="100" w:afterAutospacing="1" w:line="256" w:lineRule="auto"/>
              <w:contextualSpacing/>
              <w:rPr>
                <w:rFonts w:ascii="Arial" w:eastAsia="Times New Roman" w:hAnsi="Arial" w:cs="Arial"/>
                <w:color w:val="000000"/>
                <w:sz w:val="20"/>
                <w:lang w:eastAsia="en-GB"/>
              </w:rPr>
            </w:pPr>
            <w:r w:rsidRPr="00361437">
              <w:rPr>
                <w:rFonts w:ascii="Arial" w:eastAsia="Times New Roman" w:hAnsi="Arial" w:cs="Arial"/>
                <w:i/>
                <w:color w:val="000000"/>
                <w:sz w:val="20"/>
                <w:lang w:eastAsia="en-GB"/>
              </w:rPr>
              <w:t xml:space="preserve">Conditional on family holding debt in the firm-year </w:t>
            </w:r>
          </w:p>
        </w:tc>
        <w:tc>
          <w:tcPr>
            <w:tcW w:w="408" w:type="pct"/>
            <w:vAlign w:val="center"/>
          </w:tcPr>
          <w:p w14:paraId="6A09C97D"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p>
        </w:tc>
        <w:tc>
          <w:tcPr>
            <w:tcW w:w="422" w:type="pct"/>
            <w:noWrap/>
            <w:vAlign w:val="center"/>
          </w:tcPr>
          <w:p w14:paraId="1483BB5F"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p>
        </w:tc>
        <w:tc>
          <w:tcPr>
            <w:tcW w:w="422" w:type="pct"/>
            <w:vAlign w:val="center"/>
          </w:tcPr>
          <w:p w14:paraId="1CB7E1C3"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p>
        </w:tc>
        <w:tc>
          <w:tcPr>
            <w:tcW w:w="422" w:type="pct"/>
            <w:vAlign w:val="center"/>
          </w:tcPr>
          <w:p w14:paraId="555CBCCC"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p>
        </w:tc>
        <w:tc>
          <w:tcPr>
            <w:tcW w:w="422" w:type="pct"/>
            <w:vAlign w:val="center"/>
          </w:tcPr>
          <w:p w14:paraId="61C3B879"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p>
        </w:tc>
        <w:tc>
          <w:tcPr>
            <w:tcW w:w="422" w:type="pct"/>
            <w:noWrap/>
            <w:vAlign w:val="center"/>
          </w:tcPr>
          <w:p w14:paraId="2C88D60C" w14:textId="77777777"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p>
        </w:tc>
      </w:tr>
      <w:tr w:rsidR="00032E88" w:rsidRPr="00361437" w14:paraId="3D34D58C" w14:textId="77777777" w:rsidTr="00845236">
        <w:trPr>
          <w:trHeight w:val="300"/>
        </w:trPr>
        <w:tc>
          <w:tcPr>
            <w:tcW w:w="2482" w:type="pct"/>
            <w:tcBorders>
              <w:top w:val="nil"/>
              <w:left w:val="nil"/>
              <w:bottom w:val="single" w:sz="4" w:space="0" w:color="auto"/>
              <w:right w:val="nil"/>
            </w:tcBorders>
            <w:noWrap/>
            <w:vAlign w:val="center"/>
            <w:hideMark/>
          </w:tcPr>
          <w:p w14:paraId="3F14DCC4" w14:textId="29699BA2" w:rsidR="00032E88" w:rsidRPr="00361437" w:rsidRDefault="00505A3D" w:rsidP="00032E88">
            <w:pPr>
              <w:spacing w:before="100" w:beforeAutospacing="1" w:after="100" w:afterAutospacing="1" w:line="256" w:lineRule="auto"/>
              <w:contextualSpacing/>
              <w:rPr>
                <w:rFonts w:ascii="Arial" w:eastAsia="Times New Roman" w:hAnsi="Arial" w:cs="Arial"/>
                <w:color w:val="000000"/>
                <w:sz w:val="18"/>
                <w:lang w:eastAsia="en-GB"/>
              </w:rPr>
            </w:pPr>
            <w:r w:rsidRPr="00361437">
              <w:rPr>
                <w:rFonts w:ascii="Arial" w:eastAsia="Calibri" w:hAnsi="Arial" w:cs="Arial"/>
                <w:iCs/>
                <w:sz w:val="18"/>
              </w:rPr>
              <w:t>VALUE_WEIGHTED_DEBT_FRACTION</w:t>
            </w:r>
          </w:p>
        </w:tc>
        <w:tc>
          <w:tcPr>
            <w:tcW w:w="408" w:type="pct"/>
            <w:tcBorders>
              <w:top w:val="nil"/>
              <w:left w:val="nil"/>
              <w:bottom w:val="single" w:sz="4" w:space="0" w:color="auto"/>
              <w:right w:val="nil"/>
            </w:tcBorders>
            <w:vAlign w:val="center"/>
            <w:hideMark/>
          </w:tcPr>
          <w:p w14:paraId="1E6624AB" w14:textId="4AD8EABC" w:rsidR="00032E88" w:rsidRPr="00361437" w:rsidRDefault="00DE522C"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3</w:t>
            </w:r>
            <w:r w:rsidR="00032E88" w:rsidRPr="00361437">
              <w:rPr>
                <w:rFonts w:ascii="Arial" w:eastAsia="Times New Roman" w:hAnsi="Arial" w:cs="Arial"/>
                <w:color w:val="000000"/>
                <w:sz w:val="20"/>
                <w:lang w:eastAsia="en-GB"/>
              </w:rPr>
              <w:t>,</w:t>
            </w:r>
            <w:r w:rsidRPr="00361437">
              <w:rPr>
                <w:rFonts w:ascii="Arial" w:eastAsia="Times New Roman" w:hAnsi="Arial" w:cs="Arial"/>
                <w:color w:val="000000"/>
                <w:sz w:val="20"/>
                <w:lang w:eastAsia="en-GB"/>
              </w:rPr>
              <w:t>851</w:t>
            </w:r>
          </w:p>
        </w:tc>
        <w:tc>
          <w:tcPr>
            <w:tcW w:w="422" w:type="pct"/>
            <w:tcBorders>
              <w:top w:val="nil"/>
              <w:left w:val="nil"/>
              <w:bottom w:val="single" w:sz="4" w:space="0" w:color="auto"/>
              <w:right w:val="nil"/>
            </w:tcBorders>
            <w:noWrap/>
            <w:vAlign w:val="center"/>
            <w:hideMark/>
          </w:tcPr>
          <w:p w14:paraId="4F998950" w14:textId="5AB13AC0"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0.</w:t>
            </w:r>
            <w:r w:rsidR="00DE522C" w:rsidRPr="00361437">
              <w:rPr>
                <w:rFonts w:ascii="Arial" w:eastAsia="Times New Roman" w:hAnsi="Arial" w:cs="Arial"/>
                <w:color w:val="000000"/>
                <w:sz w:val="20"/>
                <w:lang w:eastAsia="en-GB"/>
              </w:rPr>
              <w:t>2597</w:t>
            </w:r>
          </w:p>
        </w:tc>
        <w:tc>
          <w:tcPr>
            <w:tcW w:w="422" w:type="pct"/>
            <w:tcBorders>
              <w:top w:val="nil"/>
              <w:left w:val="nil"/>
              <w:bottom w:val="single" w:sz="4" w:space="0" w:color="auto"/>
              <w:right w:val="nil"/>
            </w:tcBorders>
            <w:vAlign w:val="center"/>
            <w:hideMark/>
          </w:tcPr>
          <w:p w14:paraId="5035B00E" w14:textId="52A25252"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0.</w:t>
            </w:r>
            <w:r w:rsidR="00DE522C" w:rsidRPr="00361437">
              <w:rPr>
                <w:rFonts w:ascii="Arial" w:eastAsia="Times New Roman" w:hAnsi="Arial" w:cs="Arial"/>
                <w:color w:val="000000"/>
                <w:sz w:val="20"/>
                <w:lang w:eastAsia="en-GB"/>
              </w:rPr>
              <w:t>1831</w:t>
            </w:r>
          </w:p>
        </w:tc>
        <w:tc>
          <w:tcPr>
            <w:tcW w:w="422" w:type="pct"/>
            <w:tcBorders>
              <w:top w:val="nil"/>
              <w:left w:val="nil"/>
              <w:bottom w:val="single" w:sz="4" w:space="0" w:color="auto"/>
              <w:right w:val="nil"/>
            </w:tcBorders>
            <w:vAlign w:val="center"/>
            <w:hideMark/>
          </w:tcPr>
          <w:p w14:paraId="36AFFBCD" w14:textId="3379D569"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0.</w:t>
            </w:r>
            <w:r w:rsidR="00DE522C" w:rsidRPr="00361437">
              <w:rPr>
                <w:rFonts w:ascii="Arial" w:eastAsia="Times New Roman" w:hAnsi="Arial" w:cs="Arial"/>
                <w:color w:val="000000"/>
                <w:sz w:val="20"/>
                <w:lang w:eastAsia="en-GB"/>
              </w:rPr>
              <w:t>0335</w:t>
            </w:r>
          </w:p>
        </w:tc>
        <w:tc>
          <w:tcPr>
            <w:tcW w:w="422" w:type="pct"/>
            <w:tcBorders>
              <w:top w:val="nil"/>
              <w:left w:val="nil"/>
              <w:bottom w:val="single" w:sz="4" w:space="0" w:color="auto"/>
              <w:right w:val="nil"/>
            </w:tcBorders>
            <w:vAlign w:val="center"/>
            <w:hideMark/>
          </w:tcPr>
          <w:p w14:paraId="185BC4D6" w14:textId="43D4C534"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0.</w:t>
            </w:r>
            <w:r w:rsidR="00DE522C" w:rsidRPr="00361437">
              <w:rPr>
                <w:rFonts w:ascii="Arial" w:eastAsia="Times New Roman" w:hAnsi="Arial" w:cs="Arial"/>
                <w:color w:val="000000"/>
                <w:sz w:val="20"/>
                <w:lang w:eastAsia="en-GB"/>
              </w:rPr>
              <w:t>3</w:t>
            </w:r>
            <w:r w:rsidR="00C53B8B" w:rsidRPr="00361437">
              <w:rPr>
                <w:rFonts w:ascii="Arial" w:eastAsia="Times New Roman" w:hAnsi="Arial" w:cs="Arial"/>
                <w:color w:val="000000"/>
                <w:sz w:val="20"/>
                <w:lang w:eastAsia="en-GB"/>
              </w:rPr>
              <w:t>9</w:t>
            </w:r>
            <w:r w:rsidR="00DE522C" w:rsidRPr="00361437">
              <w:rPr>
                <w:rFonts w:ascii="Arial" w:eastAsia="Times New Roman" w:hAnsi="Arial" w:cs="Arial"/>
                <w:color w:val="000000"/>
                <w:sz w:val="20"/>
                <w:lang w:eastAsia="en-GB"/>
              </w:rPr>
              <w:t>62</w:t>
            </w:r>
          </w:p>
        </w:tc>
        <w:tc>
          <w:tcPr>
            <w:tcW w:w="422" w:type="pct"/>
            <w:tcBorders>
              <w:top w:val="nil"/>
              <w:left w:val="nil"/>
              <w:bottom w:val="single" w:sz="4" w:space="0" w:color="auto"/>
              <w:right w:val="nil"/>
            </w:tcBorders>
            <w:noWrap/>
            <w:vAlign w:val="center"/>
            <w:hideMark/>
          </w:tcPr>
          <w:p w14:paraId="139B05A9" w14:textId="56F2BC69" w:rsidR="00032E88" w:rsidRPr="00361437" w:rsidRDefault="00032E88" w:rsidP="00032E88">
            <w:pPr>
              <w:spacing w:before="100" w:beforeAutospacing="1" w:after="100" w:afterAutospacing="1" w:line="256" w:lineRule="auto"/>
              <w:contextualSpacing/>
              <w:jc w:val="right"/>
              <w:rPr>
                <w:rFonts w:ascii="Arial" w:eastAsia="Times New Roman" w:hAnsi="Arial" w:cs="Arial"/>
                <w:color w:val="000000"/>
                <w:sz w:val="20"/>
                <w:lang w:eastAsia="en-GB"/>
              </w:rPr>
            </w:pPr>
            <w:r w:rsidRPr="00361437">
              <w:rPr>
                <w:rFonts w:ascii="Arial" w:eastAsia="Times New Roman" w:hAnsi="Arial" w:cs="Arial"/>
                <w:color w:val="000000"/>
                <w:sz w:val="20"/>
                <w:lang w:eastAsia="en-GB"/>
              </w:rPr>
              <w:t>0.</w:t>
            </w:r>
            <w:r w:rsidR="00C53B8B" w:rsidRPr="00361437">
              <w:rPr>
                <w:rFonts w:ascii="Arial" w:eastAsia="Times New Roman" w:hAnsi="Arial" w:cs="Arial"/>
                <w:color w:val="000000"/>
                <w:sz w:val="20"/>
                <w:lang w:eastAsia="en-GB"/>
              </w:rPr>
              <w:t>2</w:t>
            </w:r>
            <w:r w:rsidR="00DE522C" w:rsidRPr="00361437">
              <w:rPr>
                <w:rFonts w:ascii="Arial" w:eastAsia="Times New Roman" w:hAnsi="Arial" w:cs="Arial"/>
                <w:color w:val="000000"/>
                <w:sz w:val="20"/>
                <w:lang w:eastAsia="en-GB"/>
              </w:rPr>
              <w:t>943</w:t>
            </w:r>
          </w:p>
        </w:tc>
      </w:tr>
    </w:tbl>
    <w:p w14:paraId="2EF13BB2" w14:textId="364A1B64" w:rsidR="00032E88" w:rsidRPr="00361437" w:rsidRDefault="00032E88" w:rsidP="00032E88">
      <w:pPr>
        <w:jc w:val="both"/>
        <w:rPr>
          <w:rFonts w:ascii="Arial" w:eastAsia="Calibri" w:hAnsi="Arial" w:cs="Arial"/>
          <w:sz w:val="20"/>
        </w:rPr>
      </w:pPr>
    </w:p>
    <w:p w14:paraId="54098D30" w14:textId="00789DDE" w:rsidR="00C3479E" w:rsidRPr="00361437" w:rsidRDefault="00C3479E" w:rsidP="00032E88">
      <w:pPr>
        <w:jc w:val="both"/>
        <w:rPr>
          <w:rFonts w:ascii="Arial" w:eastAsia="Calibri" w:hAnsi="Arial" w:cs="Arial"/>
          <w:sz w:val="20"/>
        </w:rPr>
      </w:pPr>
    </w:p>
    <w:p w14:paraId="2E4D0938" w14:textId="5C676C54" w:rsidR="0019714B" w:rsidRPr="00361437" w:rsidRDefault="0019714B" w:rsidP="00032E88">
      <w:pPr>
        <w:jc w:val="both"/>
        <w:rPr>
          <w:rFonts w:ascii="Arial" w:eastAsia="Calibri" w:hAnsi="Arial" w:cs="Arial"/>
          <w:sz w:val="20"/>
        </w:rPr>
      </w:pPr>
    </w:p>
    <w:tbl>
      <w:tblPr>
        <w:tblW w:w="4967" w:type="pct"/>
        <w:tblLook w:val="04A0" w:firstRow="1" w:lastRow="0" w:firstColumn="1" w:lastColumn="0" w:noHBand="0" w:noVBand="1"/>
      </w:tblPr>
      <w:tblGrid>
        <w:gridCol w:w="3485"/>
        <w:gridCol w:w="1052"/>
        <w:gridCol w:w="825"/>
        <w:gridCol w:w="240"/>
        <w:gridCol w:w="1052"/>
        <w:gridCol w:w="825"/>
        <w:gridCol w:w="240"/>
        <w:gridCol w:w="1052"/>
        <w:gridCol w:w="825"/>
        <w:gridCol w:w="240"/>
        <w:gridCol w:w="1052"/>
        <w:gridCol w:w="825"/>
        <w:gridCol w:w="241"/>
        <w:gridCol w:w="1053"/>
        <w:gridCol w:w="859"/>
      </w:tblGrid>
      <w:tr w:rsidR="0019714B" w:rsidRPr="00361437" w14:paraId="7FBA804A" w14:textId="77777777" w:rsidTr="006F39AD">
        <w:trPr>
          <w:trHeight w:val="360"/>
        </w:trPr>
        <w:tc>
          <w:tcPr>
            <w:tcW w:w="5000" w:type="pct"/>
            <w:gridSpan w:val="15"/>
            <w:tcBorders>
              <w:left w:val="nil"/>
              <w:bottom w:val="nil"/>
              <w:right w:val="nil"/>
            </w:tcBorders>
            <w:noWrap/>
            <w:vAlign w:val="center"/>
            <w:hideMark/>
          </w:tcPr>
          <w:p w14:paraId="27C30599" w14:textId="77777777" w:rsidR="0019714B" w:rsidRPr="00361437" w:rsidRDefault="0019714B" w:rsidP="0019714B">
            <w:pPr>
              <w:spacing w:line="256" w:lineRule="auto"/>
              <w:rPr>
                <w:rFonts w:ascii="Arial" w:eastAsia="Calibri" w:hAnsi="Arial" w:cs="Arial"/>
                <w:bCs/>
                <w:i/>
                <w:sz w:val="20"/>
              </w:rPr>
            </w:pPr>
            <w:r w:rsidRPr="00361437">
              <w:rPr>
                <w:rFonts w:ascii="Arial" w:eastAsia="Times New Roman" w:hAnsi="Arial" w:cs="Arial"/>
                <w:bCs/>
                <w:i/>
                <w:sz w:val="20"/>
              </w:rPr>
              <w:t xml:space="preserve">Panel B: The effects of debt holdings on </w:t>
            </w:r>
            <w:r w:rsidRPr="00361437">
              <w:rPr>
                <w:rFonts w:ascii="Arial" w:eastAsia="Calibri" w:hAnsi="Arial" w:cs="Arial"/>
                <w:bCs/>
                <w:i/>
                <w:sz w:val="20"/>
              </w:rPr>
              <w:t>firm investment and payout policy</w:t>
            </w:r>
          </w:p>
        </w:tc>
      </w:tr>
      <w:tr w:rsidR="00505A3D" w:rsidRPr="00361437" w14:paraId="3B3BF789" w14:textId="77777777" w:rsidTr="00505A3D">
        <w:tc>
          <w:tcPr>
            <w:tcW w:w="1096" w:type="pct"/>
            <w:tcBorders>
              <w:top w:val="single" w:sz="4" w:space="0" w:color="auto"/>
              <w:left w:val="nil"/>
              <w:bottom w:val="nil"/>
              <w:right w:val="nil"/>
            </w:tcBorders>
            <w:noWrap/>
            <w:tcMar>
              <w:left w:w="72" w:type="dxa"/>
              <w:right w:w="72" w:type="dxa"/>
            </w:tcMar>
            <w:vAlign w:val="center"/>
          </w:tcPr>
          <w:p w14:paraId="4B91DFF8" w14:textId="77777777" w:rsidR="00B91B22" w:rsidRPr="00361437" w:rsidRDefault="00B91B22" w:rsidP="00032E88">
            <w:pPr>
              <w:spacing w:line="256" w:lineRule="auto"/>
              <w:rPr>
                <w:rFonts w:ascii="Arial" w:eastAsia="Times New Roman" w:hAnsi="Arial" w:cs="Arial"/>
                <w:sz w:val="20"/>
              </w:rPr>
            </w:pPr>
          </w:p>
          <w:p w14:paraId="61393064" w14:textId="542FDF2F" w:rsidR="00B91B22" w:rsidRPr="00361437" w:rsidRDefault="00B91B22" w:rsidP="00032E88">
            <w:pPr>
              <w:spacing w:line="256" w:lineRule="auto"/>
              <w:rPr>
                <w:rFonts w:ascii="Arial" w:eastAsia="Times New Roman" w:hAnsi="Arial" w:cs="Arial"/>
                <w:sz w:val="20"/>
              </w:rPr>
            </w:pPr>
          </w:p>
        </w:tc>
        <w:tc>
          <w:tcPr>
            <w:tcW w:w="699" w:type="pct"/>
            <w:gridSpan w:val="2"/>
            <w:tcBorders>
              <w:top w:val="single" w:sz="4" w:space="0" w:color="auto"/>
              <w:left w:val="nil"/>
              <w:bottom w:val="single" w:sz="4" w:space="0" w:color="auto"/>
              <w:right w:val="nil"/>
            </w:tcBorders>
            <w:tcMar>
              <w:top w:w="0" w:type="dxa"/>
              <w:left w:w="72" w:type="dxa"/>
              <w:bottom w:w="0" w:type="dxa"/>
              <w:right w:w="72" w:type="dxa"/>
            </w:tcMar>
            <w:vAlign w:val="center"/>
            <w:hideMark/>
          </w:tcPr>
          <w:p w14:paraId="6A025839" w14:textId="77777777" w:rsidR="00B91B22" w:rsidRPr="00361437" w:rsidRDefault="00B91B22" w:rsidP="00032E88">
            <w:pPr>
              <w:spacing w:line="256" w:lineRule="auto"/>
              <w:jc w:val="center"/>
              <w:rPr>
                <w:rFonts w:ascii="Arial" w:eastAsia="Times New Roman" w:hAnsi="Arial" w:cs="Arial"/>
                <w:sz w:val="20"/>
              </w:rPr>
            </w:pPr>
            <w:r w:rsidRPr="00361437">
              <w:rPr>
                <w:rFonts w:ascii="Arial" w:eastAsia="Times New Roman" w:hAnsi="Arial" w:cs="Arial"/>
                <w:sz w:val="20"/>
              </w:rPr>
              <w:t>Model 1</w:t>
            </w:r>
          </w:p>
          <w:p w14:paraId="76FF721F" w14:textId="2DC6F5D7" w:rsidR="00B91B22" w:rsidRPr="00361437" w:rsidRDefault="00B91B22" w:rsidP="00032E88">
            <w:pPr>
              <w:spacing w:line="256" w:lineRule="auto"/>
              <w:jc w:val="center"/>
              <w:rPr>
                <w:rFonts w:ascii="Arial" w:eastAsia="Times New Roman" w:hAnsi="Arial" w:cs="Arial"/>
                <w:sz w:val="20"/>
              </w:rPr>
            </w:pPr>
            <w:r w:rsidRPr="00361437">
              <w:rPr>
                <w:rFonts w:ascii="Arial" w:eastAsia="Times New Roman" w:hAnsi="Arial" w:cs="Arial"/>
                <w:sz w:val="20"/>
              </w:rPr>
              <w:t>C</w:t>
            </w:r>
            <w:r w:rsidR="00505A3D" w:rsidRPr="00361437">
              <w:rPr>
                <w:rFonts w:ascii="Arial" w:eastAsia="Times New Roman" w:hAnsi="Arial" w:cs="Arial"/>
                <w:sz w:val="20"/>
              </w:rPr>
              <w:t>APEX</w:t>
            </w:r>
          </w:p>
        </w:tc>
        <w:tc>
          <w:tcPr>
            <w:tcW w:w="99" w:type="pct"/>
            <w:tcBorders>
              <w:top w:val="single" w:sz="4" w:space="0" w:color="auto"/>
              <w:left w:val="nil"/>
              <w:bottom w:val="nil"/>
              <w:right w:val="nil"/>
            </w:tcBorders>
            <w:tcMar>
              <w:top w:w="0" w:type="dxa"/>
              <w:left w:w="72" w:type="dxa"/>
              <w:bottom w:w="0" w:type="dxa"/>
              <w:right w:w="72" w:type="dxa"/>
            </w:tcMar>
            <w:vAlign w:val="center"/>
          </w:tcPr>
          <w:p w14:paraId="40CA1349" w14:textId="77777777" w:rsidR="00B91B22" w:rsidRPr="00361437" w:rsidRDefault="00B91B22" w:rsidP="00032E88">
            <w:pPr>
              <w:spacing w:line="256" w:lineRule="auto"/>
              <w:jc w:val="center"/>
              <w:rPr>
                <w:rFonts w:ascii="Arial" w:eastAsia="Times New Roman" w:hAnsi="Arial" w:cs="Arial"/>
                <w:sz w:val="20"/>
              </w:rPr>
            </w:pPr>
          </w:p>
        </w:tc>
        <w:tc>
          <w:tcPr>
            <w:tcW w:w="699" w:type="pct"/>
            <w:gridSpan w:val="2"/>
            <w:tcBorders>
              <w:top w:val="single" w:sz="4" w:space="0" w:color="auto"/>
              <w:left w:val="nil"/>
              <w:bottom w:val="single" w:sz="4" w:space="0" w:color="auto"/>
              <w:right w:val="nil"/>
            </w:tcBorders>
            <w:tcMar>
              <w:top w:w="0" w:type="dxa"/>
              <w:left w:w="72" w:type="dxa"/>
              <w:bottom w:w="0" w:type="dxa"/>
              <w:right w:w="72" w:type="dxa"/>
            </w:tcMar>
            <w:vAlign w:val="center"/>
            <w:hideMark/>
          </w:tcPr>
          <w:p w14:paraId="7C875812" w14:textId="4DDF7D0F" w:rsidR="00B91B22" w:rsidRPr="00361437" w:rsidRDefault="00B91B22" w:rsidP="00032E88">
            <w:pPr>
              <w:spacing w:line="256" w:lineRule="auto"/>
              <w:jc w:val="center"/>
              <w:rPr>
                <w:rFonts w:ascii="Arial" w:eastAsia="Times New Roman" w:hAnsi="Arial" w:cs="Arial"/>
                <w:sz w:val="20"/>
              </w:rPr>
            </w:pPr>
            <w:r w:rsidRPr="00361437">
              <w:rPr>
                <w:rFonts w:ascii="Arial" w:eastAsia="Times New Roman" w:hAnsi="Arial" w:cs="Arial"/>
                <w:sz w:val="20"/>
              </w:rPr>
              <w:t>Model 2</w:t>
            </w:r>
          </w:p>
          <w:p w14:paraId="6F4AAD23" w14:textId="77777777" w:rsidR="00B91B22" w:rsidRPr="00361437" w:rsidRDefault="00B91B22" w:rsidP="00032E88">
            <w:pPr>
              <w:spacing w:line="256" w:lineRule="auto"/>
              <w:jc w:val="center"/>
              <w:rPr>
                <w:rFonts w:ascii="Arial" w:eastAsia="Times New Roman" w:hAnsi="Arial" w:cs="Arial"/>
                <w:sz w:val="20"/>
              </w:rPr>
            </w:pPr>
            <w:r w:rsidRPr="00361437">
              <w:rPr>
                <w:rFonts w:ascii="Arial" w:eastAsia="Times New Roman" w:hAnsi="Arial" w:cs="Arial"/>
                <w:sz w:val="20"/>
              </w:rPr>
              <w:t>SEO</w:t>
            </w:r>
          </w:p>
        </w:tc>
        <w:tc>
          <w:tcPr>
            <w:tcW w:w="99" w:type="pct"/>
            <w:tcBorders>
              <w:top w:val="single" w:sz="4" w:space="0" w:color="auto"/>
              <w:left w:val="nil"/>
              <w:bottom w:val="nil"/>
              <w:right w:val="nil"/>
            </w:tcBorders>
            <w:tcMar>
              <w:top w:w="0" w:type="dxa"/>
              <w:left w:w="72" w:type="dxa"/>
              <w:bottom w:w="0" w:type="dxa"/>
              <w:right w:w="72" w:type="dxa"/>
            </w:tcMar>
            <w:vAlign w:val="center"/>
          </w:tcPr>
          <w:p w14:paraId="1EE108A2" w14:textId="77777777" w:rsidR="00B91B22" w:rsidRPr="00361437" w:rsidRDefault="00B91B22" w:rsidP="00032E88">
            <w:pPr>
              <w:spacing w:line="256" w:lineRule="auto"/>
              <w:jc w:val="center"/>
              <w:rPr>
                <w:rFonts w:ascii="Arial" w:eastAsia="Times New Roman" w:hAnsi="Arial" w:cs="Arial"/>
                <w:sz w:val="20"/>
              </w:rPr>
            </w:pPr>
          </w:p>
        </w:tc>
        <w:tc>
          <w:tcPr>
            <w:tcW w:w="699" w:type="pct"/>
            <w:gridSpan w:val="2"/>
            <w:tcBorders>
              <w:top w:val="single" w:sz="4" w:space="0" w:color="auto"/>
              <w:left w:val="nil"/>
              <w:bottom w:val="single" w:sz="4" w:space="0" w:color="auto"/>
              <w:right w:val="nil"/>
            </w:tcBorders>
            <w:tcMar>
              <w:top w:w="0" w:type="dxa"/>
              <w:left w:w="72" w:type="dxa"/>
              <w:bottom w:w="0" w:type="dxa"/>
              <w:right w:w="72" w:type="dxa"/>
            </w:tcMar>
            <w:vAlign w:val="center"/>
            <w:hideMark/>
          </w:tcPr>
          <w:p w14:paraId="3A14FE80" w14:textId="153CD4D9" w:rsidR="00B91B22" w:rsidRPr="00361437" w:rsidRDefault="00B91B22" w:rsidP="00032E88">
            <w:pPr>
              <w:spacing w:line="256" w:lineRule="auto"/>
              <w:jc w:val="center"/>
              <w:rPr>
                <w:rFonts w:ascii="Arial" w:eastAsia="Times New Roman" w:hAnsi="Arial" w:cs="Arial"/>
                <w:sz w:val="20"/>
              </w:rPr>
            </w:pPr>
            <w:r w:rsidRPr="00361437">
              <w:rPr>
                <w:rFonts w:ascii="Arial" w:eastAsia="Times New Roman" w:hAnsi="Arial" w:cs="Arial"/>
                <w:sz w:val="20"/>
              </w:rPr>
              <w:t>Model 3</w:t>
            </w:r>
          </w:p>
          <w:p w14:paraId="5274518F" w14:textId="40509E1E" w:rsidR="00B91B22" w:rsidRPr="00361437" w:rsidRDefault="00505A3D" w:rsidP="00032E88">
            <w:pPr>
              <w:spacing w:line="256" w:lineRule="auto"/>
              <w:jc w:val="center"/>
              <w:rPr>
                <w:rFonts w:ascii="Arial" w:eastAsia="Times New Roman" w:hAnsi="Arial" w:cs="Arial"/>
                <w:sz w:val="20"/>
              </w:rPr>
            </w:pPr>
            <w:r w:rsidRPr="00361437">
              <w:rPr>
                <w:rFonts w:ascii="Arial" w:eastAsia="Times New Roman" w:hAnsi="Arial" w:cs="Arial"/>
                <w:sz w:val="20"/>
              </w:rPr>
              <w:t>NON-CORE_</w:t>
            </w:r>
            <w:r w:rsidR="00B91B22" w:rsidRPr="00361437">
              <w:rPr>
                <w:rFonts w:ascii="Arial" w:eastAsia="Times New Roman" w:hAnsi="Arial" w:cs="Arial"/>
                <w:sz w:val="20"/>
              </w:rPr>
              <w:t>M&amp;A</w:t>
            </w:r>
          </w:p>
        </w:tc>
        <w:tc>
          <w:tcPr>
            <w:tcW w:w="99" w:type="pct"/>
            <w:tcBorders>
              <w:top w:val="single" w:sz="4" w:space="0" w:color="auto"/>
              <w:left w:val="nil"/>
              <w:bottom w:val="nil"/>
              <w:right w:val="nil"/>
            </w:tcBorders>
            <w:tcMar>
              <w:top w:w="0" w:type="dxa"/>
              <w:left w:w="72" w:type="dxa"/>
              <w:bottom w:w="0" w:type="dxa"/>
              <w:right w:w="72" w:type="dxa"/>
            </w:tcMar>
            <w:vAlign w:val="center"/>
          </w:tcPr>
          <w:p w14:paraId="5369CBB7" w14:textId="77777777" w:rsidR="00B91B22" w:rsidRPr="00361437" w:rsidRDefault="00B91B22" w:rsidP="00032E88">
            <w:pPr>
              <w:spacing w:line="256" w:lineRule="auto"/>
              <w:jc w:val="center"/>
              <w:rPr>
                <w:rFonts w:ascii="Arial" w:eastAsia="Times New Roman" w:hAnsi="Arial" w:cs="Arial"/>
                <w:sz w:val="20"/>
              </w:rPr>
            </w:pPr>
          </w:p>
        </w:tc>
        <w:tc>
          <w:tcPr>
            <w:tcW w:w="699" w:type="pct"/>
            <w:gridSpan w:val="2"/>
            <w:tcBorders>
              <w:top w:val="single" w:sz="4" w:space="0" w:color="auto"/>
              <w:left w:val="nil"/>
              <w:bottom w:val="single" w:sz="4" w:space="0" w:color="auto"/>
              <w:right w:val="nil"/>
            </w:tcBorders>
            <w:noWrap/>
            <w:tcMar>
              <w:top w:w="0" w:type="dxa"/>
              <w:left w:w="72" w:type="dxa"/>
              <w:bottom w:w="0" w:type="dxa"/>
              <w:right w:w="72" w:type="dxa"/>
            </w:tcMar>
            <w:vAlign w:val="center"/>
            <w:hideMark/>
          </w:tcPr>
          <w:p w14:paraId="1CB9137C" w14:textId="7591CC89" w:rsidR="00B91B22" w:rsidRPr="00361437" w:rsidRDefault="00B91B22" w:rsidP="00032E88">
            <w:pPr>
              <w:spacing w:line="256" w:lineRule="auto"/>
              <w:jc w:val="center"/>
              <w:rPr>
                <w:rFonts w:ascii="Arial" w:eastAsia="Times New Roman" w:hAnsi="Arial" w:cs="Arial"/>
                <w:sz w:val="20"/>
              </w:rPr>
            </w:pPr>
            <w:r w:rsidRPr="00361437">
              <w:rPr>
                <w:rFonts w:ascii="Arial" w:eastAsia="Times New Roman" w:hAnsi="Arial" w:cs="Arial"/>
                <w:sz w:val="20"/>
              </w:rPr>
              <w:t>Model 4</w:t>
            </w:r>
          </w:p>
          <w:p w14:paraId="032D3406" w14:textId="6955ABE2" w:rsidR="00B91B22" w:rsidRPr="00361437" w:rsidRDefault="00B91B22" w:rsidP="00032E88">
            <w:pPr>
              <w:spacing w:line="256" w:lineRule="auto"/>
              <w:jc w:val="center"/>
              <w:rPr>
                <w:rFonts w:ascii="Arial" w:eastAsia="Times New Roman" w:hAnsi="Arial" w:cs="Arial"/>
                <w:sz w:val="20"/>
              </w:rPr>
            </w:pPr>
            <w:r w:rsidRPr="00361437">
              <w:rPr>
                <w:rFonts w:ascii="Arial" w:eastAsia="Times New Roman" w:hAnsi="Arial" w:cs="Arial"/>
                <w:sz w:val="20"/>
              </w:rPr>
              <w:t>D</w:t>
            </w:r>
            <w:r w:rsidR="00505A3D" w:rsidRPr="00361437">
              <w:rPr>
                <w:rFonts w:ascii="Arial" w:eastAsia="Times New Roman" w:hAnsi="Arial" w:cs="Arial"/>
                <w:sz w:val="20"/>
              </w:rPr>
              <w:t>IVIDEND</w:t>
            </w:r>
          </w:p>
        </w:tc>
        <w:tc>
          <w:tcPr>
            <w:tcW w:w="99" w:type="pct"/>
            <w:tcBorders>
              <w:top w:val="single" w:sz="4" w:space="0" w:color="auto"/>
              <w:left w:val="nil"/>
              <w:bottom w:val="nil"/>
              <w:right w:val="nil"/>
            </w:tcBorders>
            <w:tcMar>
              <w:top w:w="0" w:type="dxa"/>
              <w:left w:w="72" w:type="dxa"/>
              <w:bottom w:w="0" w:type="dxa"/>
              <w:right w:w="72" w:type="dxa"/>
            </w:tcMar>
            <w:vAlign w:val="center"/>
          </w:tcPr>
          <w:p w14:paraId="78317197" w14:textId="77777777" w:rsidR="00B91B22" w:rsidRPr="00361437" w:rsidRDefault="00B91B22" w:rsidP="00032E88">
            <w:pPr>
              <w:spacing w:line="256" w:lineRule="auto"/>
              <w:jc w:val="center"/>
              <w:rPr>
                <w:rFonts w:ascii="Arial" w:eastAsia="Times New Roman" w:hAnsi="Arial" w:cs="Arial"/>
                <w:sz w:val="20"/>
              </w:rPr>
            </w:pPr>
          </w:p>
        </w:tc>
        <w:tc>
          <w:tcPr>
            <w:tcW w:w="712" w:type="pct"/>
            <w:gridSpan w:val="2"/>
            <w:tcBorders>
              <w:top w:val="single" w:sz="4" w:space="0" w:color="auto"/>
              <w:left w:val="nil"/>
              <w:bottom w:val="single" w:sz="4" w:space="0" w:color="auto"/>
              <w:right w:val="nil"/>
            </w:tcBorders>
            <w:noWrap/>
            <w:tcMar>
              <w:top w:w="0" w:type="dxa"/>
              <w:left w:w="72" w:type="dxa"/>
              <w:bottom w:w="0" w:type="dxa"/>
              <w:right w:w="72" w:type="dxa"/>
            </w:tcMar>
            <w:vAlign w:val="center"/>
            <w:hideMark/>
          </w:tcPr>
          <w:p w14:paraId="1BDF9C88" w14:textId="16EF9FAC" w:rsidR="00B91B22" w:rsidRPr="00361437" w:rsidRDefault="00B91B22" w:rsidP="00032E88">
            <w:pPr>
              <w:spacing w:line="256" w:lineRule="auto"/>
              <w:jc w:val="center"/>
              <w:rPr>
                <w:rFonts w:ascii="Arial" w:eastAsia="Times New Roman" w:hAnsi="Arial" w:cs="Arial"/>
                <w:sz w:val="20"/>
              </w:rPr>
            </w:pPr>
            <w:r w:rsidRPr="00361437">
              <w:rPr>
                <w:rFonts w:ascii="Arial" w:eastAsia="Times New Roman" w:hAnsi="Arial" w:cs="Arial"/>
                <w:sz w:val="20"/>
              </w:rPr>
              <w:t>Model 5</w:t>
            </w:r>
          </w:p>
          <w:p w14:paraId="6C84BC62" w14:textId="74739A99" w:rsidR="00B91B22" w:rsidRPr="00361437" w:rsidRDefault="00B91B22" w:rsidP="00032E88">
            <w:pPr>
              <w:spacing w:line="256" w:lineRule="auto"/>
              <w:jc w:val="center"/>
              <w:rPr>
                <w:rFonts w:ascii="Arial" w:eastAsia="Times New Roman" w:hAnsi="Arial" w:cs="Arial"/>
                <w:sz w:val="20"/>
              </w:rPr>
            </w:pPr>
            <w:r w:rsidRPr="00361437">
              <w:rPr>
                <w:rFonts w:ascii="Arial" w:eastAsia="Times New Roman" w:hAnsi="Arial" w:cs="Arial"/>
                <w:sz w:val="20"/>
              </w:rPr>
              <w:t>R</w:t>
            </w:r>
            <w:r w:rsidR="00505A3D" w:rsidRPr="00361437">
              <w:rPr>
                <w:rFonts w:ascii="Arial" w:eastAsia="Times New Roman" w:hAnsi="Arial" w:cs="Arial"/>
                <w:sz w:val="20"/>
              </w:rPr>
              <w:t>EPURCHASE</w:t>
            </w:r>
          </w:p>
        </w:tc>
      </w:tr>
      <w:tr w:rsidR="00505A3D" w:rsidRPr="00361437" w14:paraId="6B647AF4" w14:textId="77777777" w:rsidTr="004F27B4">
        <w:trPr>
          <w:trHeight w:val="288"/>
        </w:trPr>
        <w:tc>
          <w:tcPr>
            <w:tcW w:w="1096" w:type="pct"/>
            <w:tcBorders>
              <w:top w:val="nil"/>
              <w:left w:val="nil"/>
              <w:bottom w:val="single" w:sz="4" w:space="0" w:color="auto"/>
              <w:right w:val="nil"/>
            </w:tcBorders>
            <w:noWrap/>
            <w:tcMar>
              <w:left w:w="72" w:type="dxa"/>
              <w:right w:w="72" w:type="dxa"/>
            </w:tcMar>
            <w:vAlign w:val="center"/>
          </w:tcPr>
          <w:p w14:paraId="06940708" w14:textId="77777777" w:rsidR="0019714B" w:rsidRPr="00361437" w:rsidRDefault="0019714B" w:rsidP="0019714B">
            <w:pPr>
              <w:spacing w:line="256" w:lineRule="auto"/>
              <w:rPr>
                <w:rFonts w:ascii="Arial" w:eastAsia="Times New Roman" w:hAnsi="Arial" w:cs="Arial"/>
                <w:sz w:val="20"/>
              </w:rPr>
            </w:pPr>
          </w:p>
        </w:tc>
        <w:tc>
          <w:tcPr>
            <w:tcW w:w="391" w:type="pct"/>
            <w:tcBorders>
              <w:top w:val="single" w:sz="4" w:space="0" w:color="auto"/>
              <w:left w:val="nil"/>
              <w:bottom w:val="single" w:sz="4" w:space="0" w:color="auto"/>
              <w:right w:val="nil"/>
            </w:tcBorders>
            <w:tcMar>
              <w:top w:w="0" w:type="dxa"/>
              <w:left w:w="72" w:type="dxa"/>
              <w:bottom w:w="0" w:type="dxa"/>
              <w:right w:w="72" w:type="dxa"/>
            </w:tcMar>
            <w:vAlign w:val="center"/>
            <w:hideMark/>
          </w:tcPr>
          <w:p w14:paraId="77DE8396" w14:textId="12E97921"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sz w:val="18"/>
              </w:rPr>
              <w:t>Coefficient</w:t>
            </w:r>
          </w:p>
        </w:tc>
        <w:tc>
          <w:tcPr>
            <w:tcW w:w="308" w:type="pct"/>
            <w:tcBorders>
              <w:top w:val="single" w:sz="4" w:space="0" w:color="auto"/>
              <w:left w:val="nil"/>
              <w:bottom w:val="single" w:sz="4" w:space="0" w:color="auto"/>
              <w:right w:val="nil"/>
            </w:tcBorders>
            <w:tcMar>
              <w:top w:w="0" w:type="dxa"/>
              <w:left w:w="72" w:type="dxa"/>
              <w:bottom w:w="0" w:type="dxa"/>
              <w:right w:w="72" w:type="dxa"/>
            </w:tcMar>
            <w:vAlign w:val="center"/>
            <w:hideMark/>
          </w:tcPr>
          <w:p w14:paraId="2E6B0ED9" w14:textId="0F5CA561"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i/>
                <w:sz w:val="18"/>
              </w:rPr>
              <w:t>p</w:t>
            </w:r>
            <w:r w:rsidRPr="00361437">
              <w:rPr>
                <w:rFonts w:ascii="Arial" w:eastAsia="Times New Roman" w:hAnsi="Arial" w:cs="Arial"/>
                <w:sz w:val="18"/>
              </w:rPr>
              <w:t>-value</w:t>
            </w:r>
          </w:p>
        </w:tc>
        <w:tc>
          <w:tcPr>
            <w:tcW w:w="99" w:type="pct"/>
            <w:tcBorders>
              <w:top w:val="nil"/>
              <w:left w:val="nil"/>
              <w:bottom w:val="single" w:sz="4" w:space="0" w:color="auto"/>
              <w:right w:val="nil"/>
            </w:tcBorders>
            <w:tcMar>
              <w:top w:w="0" w:type="dxa"/>
              <w:left w:w="72" w:type="dxa"/>
              <w:bottom w:w="0" w:type="dxa"/>
              <w:right w:w="72" w:type="dxa"/>
            </w:tcMar>
            <w:vAlign w:val="center"/>
          </w:tcPr>
          <w:p w14:paraId="5C257053" w14:textId="77777777" w:rsidR="0019714B" w:rsidRPr="00361437" w:rsidRDefault="0019714B" w:rsidP="0019714B">
            <w:pPr>
              <w:spacing w:line="256" w:lineRule="auto"/>
              <w:jc w:val="center"/>
              <w:rPr>
                <w:rFonts w:ascii="Arial" w:eastAsia="Times New Roman" w:hAnsi="Arial" w:cs="Arial"/>
                <w:sz w:val="20"/>
              </w:rPr>
            </w:pPr>
          </w:p>
        </w:tc>
        <w:tc>
          <w:tcPr>
            <w:tcW w:w="391" w:type="pct"/>
            <w:tcBorders>
              <w:top w:val="nil"/>
              <w:left w:val="nil"/>
              <w:bottom w:val="single" w:sz="4" w:space="0" w:color="auto"/>
              <w:right w:val="nil"/>
            </w:tcBorders>
            <w:tcMar>
              <w:top w:w="0" w:type="dxa"/>
              <w:left w:w="72" w:type="dxa"/>
              <w:bottom w:w="0" w:type="dxa"/>
              <w:right w:w="72" w:type="dxa"/>
            </w:tcMar>
            <w:vAlign w:val="center"/>
            <w:hideMark/>
          </w:tcPr>
          <w:p w14:paraId="77E8F7B7" w14:textId="508A4E4D"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sz w:val="18"/>
              </w:rPr>
              <w:t>Coefficient</w:t>
            </w:r>
          </w:p>
        </w:tc>
        <w:tc>
          <w:tcPr>
            <w:tcW w:w="308" w:type="pct"/>
            <w:tcBorders>
              <w:top w:val="nil"/>
              <w:left w:val="nil"/>
              <w:bottom w:val="single" w:sz="4" w:space="0" w:color="auto"/>
              <w:right w:val="nil"/>
            </w:tcBorders>
            <w:tcMar>
              <w:top w:w="0" w:type="dxa"/>
              <w:left w:w="72" w:type="dxa"/>
              <w:bottom w:w="0" w:type="dxa"/>
              <w:right w:w="72" w:type="dxa"/>
            </w:tcMar>
            <w:vAlign w:val="center"/>
            <w:hideMark/>
          </w:tcPr>
          <w:p w14:paraId="3F741FAA" w14:textId="1B183B8C"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i/>
                <w:sz w:val="18"/>
              </w:rPr>
              <w:t>p</w:t>
            </w:r>
            <w:r w:rsidRPr="00361437">
              <w:rPr>
                <w:rFonts w:ascii="Arial" w:eastAsia="Times New Roman" w:hAnsi="Arial" w:cs="Arial"/>
                <w:sz w:val="18"/>
              </w:rPr>
              <w:t>-value</w:t>
            </w:r>
          </w:p>
        </w:tc>
        <w:tc>
          <w:tcPr>
            <w:tcW w:w="99" w:type="pct"/>
            <w:tcBorders>
              <w:top w:val="nil"/>
              <w:left w:val="nil"/>
              <w:bottom w:val="single" w:sz="4" w:space="0" w:color="auto"/>
              <w:right w:val="nil"/>
            </w:tcBorders>
            <w:tcMar>
              <w:top w:w="0" w:type="dxa"/>
              <w:left w:w="72" w:type="dxa"/>
              <w:bottom w:w="0" w:type="dxa"/>
              <w:right w:w="72" w:type="dxa"/>
            </w:tcMar>
            <w:vAlign w:val="center"/>
          </w:tcPr>
          <w:p w14:paraId="64EFA415" w14:textId="77777777" w:rsidR="0019714B" w:rsidRPr="00361437" w:rsidRDefault="0019714B" w:rsidP="0019714B">
            <w:pPr>
              <w:spacing w:line="256" w:lineRule="auto"/>
              <w:jc w:val="center"/>
              <w:rPr>
                <w:rFonts w:ascii="Arial" w:eastAsia="Times New Roman" w:hAnsi="Arial" w:cs="Arial"/>
                <w:sz w:val="20"/>
              </w:rPr>
            </w:pPr>
          </w:p>
        </w:tc>
        <w:tc>
          <w:tcPr>
            <w:tcW w:w="391" w:type="pct"/>
            <w:tcBorders>
              <w:top w:val="nil"/>
              <w:left w:val="nil"/>
              <w:bottom w:val="single" w:sz="4" w:space="0" w:color="auto"/>
              <w:right w:val="nil"/>
            </w:tcBorders>
            <w:tcMar>
              <w:top w:w="0" w:type="dxa"/>
              <w:left w:w="72" w:type="dxa"/>
              <w:bottom w:w="0" w:type="dxa"/>
              <w:right w:w="72" w:type="dxa"/>
            </w:tcMar>
            <w:vAlign w:val="center"/>
            <w:hideMark/>
          </w:tcPr>
          <w:p w14:paraId="5876A5F9" w14:textId="3D038974"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sz w:val="18"/>
              </w:rPr>
              <w:t>Coefficient</w:t>
            </w:r>
          </w:p>
        </w:tc>
        <w:tc>
          <w:tcPr>
            <w:tcW w:w="308" w:type="pct"/>
            <w:tcBorders>
              <w:top w:val="nil"/>
              <w:left w:val="nil"/>
              <w:bottom w:val="single" w:sz="4" w:space="0" w:color="auto"/>
              <w:right w:val="nil"/>
            </w:tcBorders>
            <w:tcMar>
              <w:top w:w="0" w:type="dxa"/>
              <w:left w:w="72" w:type="dxa"/>
              <w:bottom w:w="0" w:type="dxa"/>
              <w:right w:w="72" w:type="dxa"/>
            </w:tcMar>
            <w:vAlign w:val="center"/>
            <w:hideMark/>
          </w:tcPr>
          <w:p w14:paraId="5ACA3452" w14:textId="2D7987BE"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i/>
                <w:sz w:val="18"/>
              </w:rPr>
              <w:t>p</w:t>
            </w:r>
            <w:r w:rsidRPr="00361437">
              <w:rPr>
                <w:rFonts w:ascii="Arial" w:eastAsia="Times New Roman" w:hAnsi="Arial" w:cs="Arial"/>
                <w:sz w:val="18"/>
              </w:rPr>
              <w:t>-value</w:t>
            </w:r>
          </w:p>
        </w:tc>
        <w:tc>
          <w:tcPr>
            <w:tcW w:w="99" w:type="pct"/>
            <w:tcBorders>
              <w:top w:val="nil"/>
              <w:left w:val="nil"/>
              <w:bottom w:val="single" w:sz="4" w:space="0" w:color="auto"/>
              <w:right w:val="nil"/>
            </w:tcBorders>
            <w:tcMar>
              <w:top w:w="0" w:type="dxa"/>
              <w:left w:w="72" w:type="dxa"/>
              <w:bottom w:w="0" w:type="dxa"/>
              <w:right w:w="72" w:type="dxa"/>
            </w:tcMar>
            <w:vAlign w:val="center"/>
          </w:tcPr>
          <w:p w14:paraId="1A461917" w14:textId="77777777" w:rsidR="0019714B" w:rsidRPr="00361437" w:rsidRDefault="0019714B" w:rsidP="0019714B">
            <w:pPr>
              <w:spacing w:line="256" w:lineRule="auto"/>
              <w:jc w:val="center"/>
              <w:rPr>
                <w:rFonts w:ascii="Arial" w:eastAsia="Times New Roman" w:hAnsi="Arial" w:cs="Arial"/>
                <w:sz w:val="20"/>
              </w:rPr>
            </w:pPr>
          </w:p>
        </w:tc>
        <w:tc>
          <w:tcPr>
            <w:tcW w:w="391" w:type="pct"/>
            <w:tcBorders>
              <w:top w:val="single" w:sz="4" w:space="0" w:color="auto"/>
              <w:left w:val="nil"/>
              <w:bottom w:val="single" w:sz="4" w:space="0" w:color="auto"/>
              <w:right w:val="nil"/>
            </w:tcBorders>
            <w:noWrap/>
            <w:tcMar>
              <w:top w:w="0" w:type="dxa"/>
              <w:left w:w="72" w:type="dxa"/>
              <w:bottom w:w="0" w:type="dxa"/>
              <w:right w:w="72" w:type="dxa"/>
            </w:tcMar>
            <w:vAlign w:val="center"/>
            <w:hideMark/>
          </w:tcPr>
          <w:p w14:paraId="0E3D3F08" w14:textId="3A8A85DA"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sz w:val="18"/>
              </w:rPr>
              <w:t>Coefficient</w:t>
            </w:r>
          </w:p>
        </w:tc>
        <w:tc>
          <w:tcPr>
            <w:tcW w:w="308" w:type="pct"/>
            <w:tcBorders>
              <w:top w:val="single" w:sz="4" w:space="0" w:color="auto"/>
              <w:left w:val="nil"/>
              <w:bottom w:val="single" w:sz="4" w:space="0" w:color="auto"/>
              <w:right w:val="nil"/>
            </w:tcBorders>
            <w:noWrap/>
            <w:tcMar>
              <w:top w:w="0" w:type="dxa"/>
              <w:left w:w="72" w:type="dxa"/>
              <w:bottom w:w="0" w:type="dxa"/>
              <w:right w:w="72" w:type="dxa"/>
            </w:tcMar>
            <w:vAlign w:val="center"/>
            <w:hideMark/>
          </w:tcPr>
          <w:p w14:paraId="5EA7C7CF" w14:textId="2F29CCE5"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i/>
                <w:sz w:val="18"/>
              </w:rPr>
              <w:t>p</w:t>
            </w:r>
            <w:r w:rsidRPr="00361437">
              <w:rPr>
                <w:rFonts w:ascii="Arial" w:eastAsia="Times New Roman" w:hAnsi="Arial" w:cs="Arial"/>
                <w:sz w:val="18"/>
              </w:rPr>
              <w:t>-value</w:t>
            </w:r>
          </w:p>
        </w:tc>
        <w:tc>
          <w:tcPr>
            <w:tcW w:w="99" w:type="pct"/>
            <w:tcBorders>
              <w:top w:val="nil"/>
              <w:left w:val="nil"/>
              <w:bottom w:val="single" w:sz="4" w:space="0" w:color="auto"/>
              <w:right w:val="nil"/>
            </w:tcBorders>
            <w:tcMar>
              <w:top w:w="0" w:type="dxa"/>
              <w:left w:w="72" w:type="dxa"/>
              <w:bottom w:w="0" w:type="dxa"/>
              <w:right w:w="72" w:type="dxa"/>
            </w:tcMar>
            <w:vAlign w:val="center"/>
          </w:tcPr>
          <w:p w14:paraId="65A928FD" w14:textId="77777777" w:rsidR="0019714B" w:rsidRPr="00361437" w:rsidRDefault="0019714B" w:rsidP="0019714B">
            <w:pPr>
              <w:spacing w:line="256" w:lineRule="auto"/>
              <w:jc w:val="center"/>
              <w:rPr>
                <w:rFonts w:ascii="Arial" w:eastAsia="Times New Roman" w:hAnsi="Arial" w:cs="Arial"/>
                <w:sz w:val="20"/>
              </w:rPr>
            </w:pPr>
          </w:p>
        </w:tc>
        <w:tc>
          <w:tcPr>
            <w:tcW w:w="391" w:type="pct"/>
            <w:tcBorders>
              <w:top w:val="nil"/>
              <w:left w:val="nil"/>
              <w:bottom w:val="single" w:sz="4" w:space="0" w:color="auto"/>
              <w:right w:val="nil"/>
            </w:tcBorders>
            <w:noWrap/>
            <w:tcMar>
              <w:top w:w="0" w:type="dxa"/>
              <w:left w:w="72" w:type="dxa"/>
              <w:bottom w:w="0" w:type="dxa"/>
              <w:right w:w="72" w:type="dxa"/>
            </w:tcMar>
            <w:vAlign w:val="center"/>
            <w:hideMark/>
          </w:tcPr>
          <w:p w14:paraId="2596551E" w14:textId="48185985"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sz w:val="18"/>
              </w:rPr>
              <w:t>Coefficient</w:t>
            </w:r>
          </w:p>
        </w:tc>
        <w:tc>
          <w:tcPr>
            <w:tcW w:w="321" w:type="pct"/>
            <w:tcBorders>
              <w:top w:val="nil"/>
              <w:left w:val="nil"/>
              <w:bottom w:val="single" w:sz="4" w:space="0" w:color="auto"/>
              <w:right w:val="nil"/>
            </w:tcBorders>
            <w:noWrap/>
            <w:tcMar>
              <w:left w:w="72" w:type="dxa"/>
              <w:right w:w="72" w:type="dxa"/>
            </w:tcMar>
            <w:vAlign w:val="center"/>
            <w:hideMark/>
          </w:tcPr>
          <w:p w14:paraId="134C2642" w14:textId="50786DF3"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i/>
                <w:sz w:val="18"/>
              </w:rPr>
              <w:t>p</w:t>
            </w:r>
            <w:r w:rsidRPr="00361437">
              <w:rPr>
                <w:rFonts w:ascii="Arial" w:eastAsia="Times New Roman" w:hAnsi="Arial" w:cs="Arial"/>
                <w:sz w:val="18"/>
              </w:rPr>
              <w:t>-value</w:t>
            </w:r>
          </w:p>
        </w:tc>
      </w:tr>
      <w:tr w:rsidR="00505A3D" w:rsidRPr="00361437" w14:paraId="522D8D50" w14:textId="77777777" w:rsidTr="004F27B4">
        <w:trPr>
          <w:trHeight w:val="288"/>
        </w:trPr>
        <w:tc>
          <w:tcPr>
            <w:tcW w:w="1096" w:type="pct"/>
            <w:noWrap/>
            <w:tcMar>
              <w:left w:w="72" w:type="dxa"/>
              <w:right w:w="72" w:type="dxa"/>
            </w:tcMar>
            <w:vAlign w:val="center"/>
            <w:hideMark/>
          </w:tcPr>
          <w:p w14:paraId="08CDDFB3" w14:textId="47A6EA0E" w:rsidR="00AD2C01" w:rsidRPr="00361437" w:rsidRDefault="00505A3D" w:rsidP="00AD2C01">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VALUE_WEIGHTED_DEBT_FRACTION</w:t>
            </w:r>
          </w:p>
        </w:tc>
        <w:tc>
          <w:tcPr>
            <w:tcW w:w="391" w:type="pct"/>
            <w:tcMar>
              <w:top w:w="0" w:type="dxa"/>
              <w:left w:w="72" w:type="dxa"/>
              <w:bottom w:w="0" w:type="dxa"/>
              <w:right w:w="72" w:type="dxa"/>
            </w:tcMar>
            <w:vAlign w:val="center"/>
            <w:hideMark/>
          </w:tcPr>
          <w:p w14:paraId="5D0B8FA5" w14:textId="5E395DD7"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0.0141</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1F92A0EF" w14:textId="5A9EE862"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0.0048</w:t>
            </w:r>
          </w:p>
        </w:tc>
        <w:tc>
          <w:tcPr>
            <w:tcW w:w="99" w:type="pct"/>
            <w:tcMar>
              <w:top w:w="0" w:type="dxa"/>
              <w:left w:w="72" w:type="dxa"/>
              <w:bottom w:w="0" w:type="dxa"/>
              <w:right w:w="72" w:type="dxa"/>
            </w:tcMar>
            <w:vAlign w:val="center"/>
          </w:tcPr>
          <w:p w14:paraId="5734AB31"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4A56D282" w14:textId="1DE1E6CC"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0.0067</w:t>
            </w:r>
          </w:p>
        </w:tc>
        <w:tc>
          <w:tcPr>
            <w:tcW w:w="308" w:type="pct"/>
            <w:tcMar>
              <w:top w:w="0" w:type="dxa"/>
              <w:left w:w="72" w:type="dxa"/>
              <w:bottom w:w="0" w:type="dxa"/>
              <w:right w:w="72" w:type="dxa"/>
            </w:tcMar>
            <w:vAlign w:val="center"/>
            <w:hideMark/>
          </w:tcPr>
          <w:p w14:paraId="7FD6A7AE" w14:textId="4107E7D7"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0.2730</w:t>
            </w:r>
          </w:p>
        </w:tc>
        <w:tc>
          <w:tcPr>
            <w:tcW w:w="99" w:type="pct"/>
            <w:tcMar>
              <w:top w:w="0" w:type="dxa"/>
              <w:left w:w="72" w:type="dxa"/>
              <w:bottom w:w="0" w:type="dxa"/>
              <w:right w:w="72" w:type="dxa"/>
            </w:tcMar>
            <w:vAlign w:val="center"/>
          </w:tcPr>
          <w:p w14:paraId="68EBB1F9"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35178FB9" w14:textId="68DB6153"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0.0115</w:t>
            </w:r>
          </w:p>
        </w:tc>
        <w:tc>
          <w:tcPr>
            <w:tcW w:w="308" w:type="pct"/>
            <w:tcMar>
              <w:top w:w="0" w:type="dxa"/>
              <w:left w:w="72" w:type="dxa"/>
              <w:bottom w:w="0" w:type="dxa"/>
              <w:right w:w="72" w:type="dxa"/>
            </w:tcMar>
            <w:vAlign w:val="center"/>
            <w:hideMark/>
          </w:tcPr>
          <w:p w14:paraId="63F1861E" w14:textId="6286DCBB"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0.4610</w:t>
            </w:r>
          </w:p>
        </w:tc>
        <w:tc>
          <w:tcPr>
            <w:tcW w:w="99" w:type="pct"/>
            <w:tcMar>
              <w:top w:w="0" w:type="dxa"/>
              <w:left w:w="72" w:type="dxa"/>
              <w:bottom w:w="0" w:type="dxa"/>
              <w:right w:w="72" w:type="dxa"/>
            </w:tcMar>
            <w:vAlign w:val="center"/>
          </w:tcPr>
          <w:p w14:paraId="43B32BE7"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4BA81230" w14:textId="5D86BEE7"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-0.0100</w:t>
            </w:r>
            <w:r w:rsidRPr="00361437">
              <w:rPr>
                <w:rFonts w:ascii="Arial" w:hAnsi="Arial" w:cs="Arial"/>
                <w:color w:val="000000"/>
                <w:sz w:val="20"/>
                <w:vertAlign w:val="superscript"/>
              </w:rPr>
              <w:t>***</w:t>
            </w:r>
          </w:p>
        </w:tc>
        <w:tc>
          <w:tcPr>
            <w:tcW w:w="308" w:type="pct"/>
            <w:noWrap/>
            <w:tcMar>
              <w:top w:w="0" w:type="dxa"/>
              <w:left w:w="72" w:type="dxa"/>
              <w:bottom w:w="0" w:type="dxa"/>
              <w:right w:w="72" w:type="dxa"/>
            </w:tcMar>
            <w:vAlign w:val="center"/>
            <w:hideMark/>
          </w:tcPr>
          <w:p w14:paraId="09CE8A0A" w14:textId="2E2BF51B"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c>
          <w:tcPr>
            <w:tcW w:w="99" w:type="pct"/>
            <w:tcMar>
              <w:top w:w="0" w:type="dxa"/>
              <w:left w:w="72" w:type="dxa"/>
              <w:bottom w:w="0" w:type="dxa"/>
              <w:right w:w="72" w:type="dxa"/>
            </w:tcMar>
            <w:vAlign w:val="center"/>
          </w:tcPr>
          <w:p w14:paraId="539269DD"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32F42106" w14:textId="06C91C77"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-0.0122</w:t>
            </w:r>
            <w:r w:rsidRPr="00361437">
              <w:rPr>
                <w:rFonts w:ascii="Arial" w:hAnsi="Arial" w:cs="Arial"/>
                <w:color w:val="000000"/>
                <w:sz w:val="20"/>
                <w:vertAlign w:val="superscript"/>
              </w:rPr>
              <w:t>***</w:t>
            </w:r>
          </w:p>
        </w:tc>
        <w:tc>
          <w:tcPr>
            <w:tcW w:w="321" w:type="pct"/>
            <w:noWrap/>
            <w:tcMar>
              <w:top w:w="0" w:type="dxa"/>
              <w:left w:w="72" w:type="dxa"/>
              <w:bottom w:w="0" w:type="dxa"/>
              <w:right w:w="72" w:type="dxa"/>
            </w:tcMar>
            <w:vAlign w:val="center"/>
            <w:hideMark/>
          </w:tcPr>
          <w:p w14:paraId="5AA39F92" w14:textId="76DE5B09"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r>
      <w:tr w:rsidR="00505A3D" w:rsidRPr="00361437" w14:paraId="28AAC1B5" w14:textId="77777777" w:rsidTr="004F27B4">
        <w:trPr>
          <w:trHeight w:val="288"/>
        </w:trPr>
        <w:tc>
          <w:tcPr>
            <w:tcW w:w="1096" w:type="pct"/>
            <w:noWrap/>
            <w:tcMar>
              <w:left w:w="72" w:type="dxa"/>
              <w:right w:w="72" w:type="dxa"/>
            </w:tcMar>
            <w:vAlign w:val="center"/>
            <w:hideMark/>
          </w:tcPr>
          <w:p w14:paraId="283ADA92" w14:textId="77777777" w:rsidR="00505A3D" w:rsidRPr="00361437" w:rsidRDefault="00505A3D" w:rsidP="00505A3D">
            <w:pPr>
              <w:spacing w:line="256" w:lineRule="auto"/>
              <w:ind w:left="180" w:hanging="180"/>
              <w:contextualSpacing/>
              <w:rPr>
                <w:rFonts w:ascii="Arial" w:eastAsia="Calibri" w:hAnsi="Arial" w:cs="Arial"/>
                <w:color w:val="000000"/>
                <w:sz w:val="18"/>
              </w:rPr>
            </w:pPr>
            <w:r w:rsidRPr="00361437">
              <w:rPr>
                <w:rFonts w:ascii="Arial" w:eastAsia="Times New Roman" w:hAnsi="Arial" w:cs="Arial"/>
                <w:color w:val="000000"/>
                <w:sz w:val="18"/>
              </w:rPr>
              <w:t>VALUE_WEIGHTED_DEBT_FRACTION</w:t>
            </w:r>
            <w:r w:rsidRPr="00361437">
              <w:rPr>
                <w:rFonts w:ascii="Arial" w:eastAsia="Calibri" w:hAnsi="Arial" w:cs="Arial"/>
                <w:color w:val="000000"/>
                <w:sz w:val="18"/>
              </w:rPr>
              <w:t xml:space="preserve"> </w:t>
            </w:r>
          </w:p>
          <w:p w14:paraId="7E03B502" w14:textId="791B528D" w:rsidR="00AD2C01" w:rsidRPr="00361437" w:rsidRDefault="00505A3D" w:rsidP="00505A3D">
            <w:pPr>
              <w:spacing w:line="256" w:lineRule="auto"/>
              <w:ind w:left="180" w:hanging="180"/>
              <w:contextualSpacing/>
              <w:rPr>
                <w:rFonts w:ascii="Arial" w:eastAsia="Times New Roman" w:hAnsi="Arial" w:cs="Arial"/>
                <w:color w:val="000000"/>
                <w:sz w:val="18"/>
              </w:rPr>
            </w:pPr>
            <w:r w:rsidRPr="00361437">
              <w:rPr>
                <w:rFonts w:ascii="Arial" w:eastAsia="Calibri" w:hAnsi="Arial" w:cs="Arial"/>
                <w:color w:val="000000"/>
                <w:sz w:val="18"/>
              </w:rPr>
              <w:t>×</w:t>
            </w:r>
            <w:r w:rsidRPr="00361437">
              <w:rPr>
                <w:rFonts w:ascii="Arial" w:eastAsia="Times New Roman" w:hAnsi="Arial" w:cs="Arial"/>
                <w:color w:val="000000"/>
                <w:sz w:val="18"/>
              </w:rPr>
              <w:t xml:space="preserve"> DISTRESS_(0,1)</w:t>
            </w:r>
          </w:p>
        </w:tc>
        <w:tc>
          <w:tcPr>
            <w:tcW w:w="391" w:type="pct"/>
            <w:tcMar>
              <w:top w:w="0" w:type="dxa"/>
              <w:left w:w="72" w:type="dxa"/>
              <w:bottom w:w="0" w:type="dxa"/>
              <w:right w:w="72" w:type="dxa"/>
            </w:tcMar>
            <w:vAlign w:val="center"/>
            <w:hideMark/>
          </w:tcPr>
          <w:p w14:paraId="6F4402C3" w14:textId="357ED836"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0.0361</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1F2AE88E" w14:textId="41ABD33D"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0.0109</w:t>
            </w:r>
          </w:p>
        </w:tc>
        <w:tc>
          <w:tcPr>
            <w:tcW w:w="99" w:type="pct"/>
            <w:tcMar>
              <w:top w:w="0" w:type="dxa"/>
              <w:left w:w="72" w:type="dxa"/>
              <w:bottom w:w="0" w:type="dxa"/>
              <w:right w:w="72" w:type="dxa"/>
            </w:tcMar>
            <w:vAlign w:val="center"/>
          </w:tcPr>
          <w:p w14:paraId="4C2850D9"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2DC94AA8" w14:textId="3D767D1E"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0.0167</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1E41E19B" w14:textId="085B6C04"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0.0428</w:t>
            </w:r>
          </w:p>
        </w:tc>
        <w:tc>
          <w:tcPr>
            <w:tcW w:w="99" w:type="pct"/>
            <w:tcMar>
              <w:top w:w="0" w:type="dxa"/>
              <w:left w:w="72" w:type="dxa"/>
              <w:bottom w:w="0" w:type="dxa"/>
              <w:right w:w="72" w:type="dxa"/>
            </w:tcMar>
            <w:vAlign w:val="center"/>
          </w:tcPr>
          <w:p w14:paraId="6078B13A"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1133E793" w14:textId="7FE08709"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-0.0322</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0F479C4A" w14:textId="738EB151"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0.0229</w:t>
            </w:r>
          </w:p>
        </w:tc>
        <w:tc>
          <w:tcPr>
            <w:tcW w:w="99" w:type="pct"/>
            <w:tcMar>
              <w:top w:w="0" w:type="dxa"/>
              <w:left w:w="72" w:type="dxa"/>
              <w:bottom w:w="0" w:type="dxa"/>
              <w:right w:w="72" w:type="dxa"/>
            </w:tcMar>
            <w:vAlign w:val="center"/>
          </w:tcPr>
          <w:p w14:paraId="49438AF7"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3F36F588" w14:textId="5C485236"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-0.0074</w:t>
            </w:r>
            <w:r w:rsidRPr="00361437">
              <w:rPr>
                <w:rFonts w:ascii="Arial" w:hAnsi="Arial" w:cs="Arial"/>
                <w:color w:val="000000"/>
                <w:sz w:val="20"/>
                <w:vertAlign w:val="superscript"/>
              </w:rPr>
              <w:t>***</w:t>
            </w:r>
          </w:p>
        </w:tc>
        <w:tc>
          <w:tcPr>
            <w:tcW w:w="308" w:type="pct"/>
            <w:noWrap/>
            <w:tcMar>
              <w:top w:w="0" w:type="dxa"/>
              <w:left w:w="72" w:type="dxa"/>
              <w:bottom w:w="0" w:type="dxa"/>
              <w:right w:w="72" w:type="dxa"/>
            </w:tcMar>
            <w:vAlign w:val="center"/>
            <w:hideMark/>
          </w:tcPr>
          <w:p w14:paraId="3A76270B" w14:textId="54E89395"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0.0018</w:t>
            </w:r>
          </w:p>
        </w:tc>
        <w:tc>
          <w:tcPr>
            <w:tcW w:w="99" w:type="pct"/>
            <w:tcMar>
              <w:top w:w="0" w:type="dxa"/>
              <w:left w:w="72" w:type="dxa"/>
              <w:bottom w:w="0" w:type="dxa"/>
              <w:right w:w="72" w:type="dxa"/>
            </w:tcMar>
            <w:vAlign w:val="center"/>
          </w:tcPr>
          <w:p w14:paraId="61C49328"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4D4E4E48" w14:textId="6DDE5E00"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-0.0096</w:t>
            </w:r>
            <w:r w:rsidRPr="00361437">
              <w:rPr>
                <w:rFonts w:ascii="Arial" w:hAnsi="Arial" w:cs="Arial"/>
                <w:color w:val="000000"/>
                <w:sz w:val="20"/>
                <w:vertAlign w:val="superscript"/>
              </w:rPr>
              <w:t>***</w:t>
            </w:r>
          </w:p>
        </w:tc>
        <w:tc>
          <w:tcPr>
            <w:tcW w:w="321" w:type="pct"/>
            <w:noWrap/>
            <w:tcMar>
              <w:top w:w="0" w:type="dxa"/>
              <w:left w:w="72" w:type="dxa"/>
              <w:bottom w:w="0" w:type="dxa"/>
              <w:right w:w="72" w:type="dxa"/>
            </w:tcMar>
            <w:vAlign w:val="center"/>
            <w:hideMark/>
          </w:tcPr>
          <w:p w14:paraId="501DF772" w14:textId="19670ADD"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0.0056</w:t>
            </w:r>
          </w:p>
        </w:tc>
      </w:tr>
      <w:tr w:rsidR="00505A3D" w:rsidRPr="00361437" w14:paraId="1F4759FD" w14:textId="77777777" w:rsidTr="004F27B4">
        <w:trPr>
          <w:trHeight w:val="288"/>
        </w:trPr>
        <w:tc>
          <w:tcPr>
            <w:tcW w:w="1096" w:type="pct"/>
            <w:noWrap/>
            <w:tcMar>
              <w:left w:w="72" w:type="dxa"/>
              <w:right w:w="72" w:type="dxa"/>
            </w:tcMar>
            <w:vAlign w:val="center"/>
            <w:hideMark/>
          </w:tcPr>
          <w:p w14:paraId="39D608CF" w14:textId="3E61326B" w:rsidR="00AD2C01" w:rsidRPr="00361437" w:rsidRDefault="00505A3D" w:rsidP="00AD2C01">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ln(MARKET_CAP)</w:t>
            </w:r>
          </w:p>
        </w:tc>
        <w:tc>
          <w:tcPr>
            <w:tcW w:w="391" w:type="pct"/>
            <w:tcMar>
              <w:top w:w="0" w:type="dxa"/>
              <w:left w:w="72" w:type="dxa"/>
              <w:bottom w:w="0" w:type="dxa"/>
              <w:right w:w="72" w:type="dxa"/>
            </w:tcMar>
            <w:vAlign w:val="center"/>
            <w:hideMark/>
          </w:tcPr>
          <w:p w14:paraId="631CAEAF" w14:textId="41269CA2"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-0.0005</w:t>
            </w:r>
          </w:p>
        </w:tc>
        <w:tc>
          <w:tcPr>
            <w:tcW w:w="308" w:type="pct"/>
            <w:tcMar>
              <w:top w:w="0" w:type="dxa"/>
              <w:left w:w="72" w:type="dxa"/>
              <w:bottom w:w="0" w:type="dxa"/>
              <w:right w:w="72" w:type="dxa"/>
            </w:tcMar>
            <w:vAlign w:val="center"/>
            <w:hideMark/>
          </w:tcPr>
          <w:p w14:paraId="5E666656" w14:textId="082DE4F9"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0.1339</w:t>
            </w:r>
          </w:p>
        </w:tc>
        <w:tc>
          <w:tcPr>
            <w:tcW w:w="99" w:type="pct"/>
            <w:tcMar>
              <w:top w:w="0" w:type="dxa"/>
              <w:left w:w="72" w:type="dxa"/>
              <w:bottom w:w="0" w:type="dxa"/>
              <w:right w:w="72" w:type="dxa"/>
            </w:tcMar>
            <w:vAlign w:val="center"/>
          </w:tcPr>
          <w:p w14:paraId="1970C743"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5A34A606" w14:textId="5531E614"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0.0008</w:t>
            </w:r>
          </w:p>
        </w:tc>
        <w:tc>
          <w:tcPr>
            <w:tcW w:w="308" w:type="pct"/>
            <w:tcMar>
              <w:top w:w="0" w:type="dxa"/>
              <w:left w:w="72" w:type="dxa"/>
              <w:bottom w:w="0" w:type="dxa"/>
              <w:right w:w="72" w:type="dxa"/>
            </w:tcMar>
            <w:vAlign w:val="center"/>
            <w:hideMark/>
          </w:tcPr>
          <w:p w14:paraId="30D20F38" w14:textId="211DD04C"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0.1683</w:t>
            </w:r>
          </w:p>
        </w:tc>
        <w:tc>
          <w:tcPr>
            <w:tcW w:w="99" w:type="pct"/>
            <w:tcMar>
              <w:top w:w="0" w:type="dxa"/>
              <w:left w:w="72" w:type="dxa"/>
              <w:bottom w:w="0" w:type="dxa"/>
              <w:right w:w="72" w:type="dxa"/>
            </w:tcMar>
            <w:vAlign w:val="center"/>
          </w:tcPr>
          <w:p w14:paraId="059EA56C"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323CDE0D" w14:textId="22922B87"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0.0041</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641F6CF1" w14:textId="3A906CB5"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c>
          <w:tcPr>
            <w:tcW w:w="99" w:type="pct"/>
            <w:tcMar>
              <w:top w:w="0" w:type="dxa"/>
              <w:left w:w="72" w:type="dxa"/>
              <w:bottom w:w="0" w:type="dxa"/>
              <w:right w:w="72" w:type="dxa"/>
            </w:tcMar>
            <w:vAlign w:val="center"/>
          </w:tcPr>
          <w:p w14:paraId="24A339B0"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24E8CA23" w14:textId="180D4AE4"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-0.0003</w:t>
            </w:r>
          </w:p>
        </w:tc>
        <w:tc>
          <w:tcPr>
            <w:tcW w:w="308" w:type="pct"/>
            <w:noWrap/>
            <w:tcMar>
              <w:top w:w="0" w:type="dxa"/>
              <w:left w:w="72" w:type="dxa"/>
              <w:bottom w:w="0" w:type="dxa"/>
              <w:right w:w="72" w:type="dxa"/>
            </w:tcMar>
            <w:vAlign w:val="center"/>
            <w:hideMark/>
          </w:tcPr>
          <w:p w14:paraId="119F7935" w14:textId="5B2C5F17"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0.2266</w:t>
            </w:r>
          </w:p>
        </w:tc>
        <w:tc>
          <w:tcPr>
            <w:tcW w:w="99" w:type="pct"/>
            <w:tcMar>
              <w:top w:w="0" w:type="dxa"/>
              <w:left w:w="72" w:type="dxa"/>
              <w:bottom w:w="0" w:type="dxa"/>
              <w:right w:w="72" w:type="dxa"/>
            </w:tcMar>
            <w:vAlign w:val="center"/>
          </w:tcPr>
          <w:p w14:paraId="2DF9AD96"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5E852A55" w14:textId="142A83E0"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c>
          <w:tcPr>
            <w:tcW w:w="321" w:type="pct"/>
            <w:noWrap/>
            <w:tcMar>
              <w:top w:w="0" w:type="dxa"/>
              <w:left w:w="72" w:type="dxa"/>
              <w:bottom w:w="0" w:type="dxa"/>
              <w:right w:w="72" w:type="dxa"/>
            </w:tcMar>
            <w:vAlign w:val="center"/>
            <w:hideMark/>
          </w:tcPr>
          <w:p w14:paraId="35B5ECBA" w14:textId="4D4BD5F4"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0.9027</w:t>
            </w:r>
          </w:p>
        </w:tc>
      </w:tr>
      <w:tr w:rsidR="00505A3D" w:rsidRPr="00361437" w14:paraId="1BA8F33D" w14:textId="77777777" w:rsidTr="004F27B4">
        <w:trPr>
          <w:trHeight w:val="288"/>
        </w:trPr>
        <w:tc>
          <w:tcPr>
            <w:tcW w:w="1096" w:type="pct"/>
            <w:noWrap/>
            <w:tcMar>
              <w:left w:w="72" w:type="dxa"/>
              <w:right w:w="72" w:type="dxa"/>
            </w:tcMar>
            <w:vAlign w:val="center"/>
            <w:hideMark/>
          </w:tcPr>
          <w:p w14:paraId="0F53FE27" w14:textId="06D6352A" w:rsidR="00AD2C01" w:rsidRPr="00361437" w:rsidRDefault="00505A3D" w:rsidP="00AD2C01">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MARKET_TO_BOOK</w:t>
            </w:r>
          </w:p>
        </w:tc>
        <w:tc>
          <w:tcPr>
            <w:tcW w:w="391" w:type="pct"/>
            <w:tcMar>
              <w:top w:w="0" w:type="dxa"/>
              <w:left w:w="72" w:type="dxa"/>
              <w:bottom w:w="0" w:type="dxa"/>
              <w:right w:w="72" w:type="dxa"/>
            </w:tcMar>
            <w:vAlign w:val="center"/>
            <w:hideMark/>
          </w:tcPr>
          <w:p w14:paraId="2449DD56" w14:textId="6BB6670A"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0.0005</w:t>
            </w:r>
          </w:p>
        </w:tc>
        <w:tc>
          <w:tcPr>
            <w:tcW w:w="308" w:type="pct"/>
            <w:tcMar>
              <w:top w:w="0" w:type="dxa"/>
              <w:left w:w="72" w:type="dxa"/>
              <w:bottom w:w="0" w:type="dxa"/>
              <w:right w:w="72" w:type="dxa"/>
            </w:tcMar>
            <w:vAlign w:val="center"/>
            <w:hideMark/>
          </w:tcPr>
          <w:p w14:paraId="40BCE470" w14:textId="2A61F2F1"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0.3174</w:t>
            </w:r>
          </w:p>
        </w:tc>
        <w:tc>
          <w:tcPr>
            <w:tcW w:w="99" w:type="pct"/>
            <w:tcMar>
              <w:top w:w="0" w:type="dxa"/>
              <w:left w:w="72" w:type="dxa"/>
              <w:bottom w:w="0" w:type="dxa"/>
              <w:right w:w="72" w:type="dxa"/>
            </w:tcMar>
            <w:vAlign w:val="center"/>
          </w:tcPr>
          <w:p w14:paraId="29947F5F"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18BCA99B" w14:textId="51333BEC"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0.0029</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18C36AB0" w14:textId="21B32E39"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c>
          <w:tcPr>
            <w:tcW w:w="99" w:type="pct"/>
            <w:tcMar>
              <w:top w:w="0" w:type="dxa"/>
              <w:left w:w="72" w:type="dxa"/>
              <w:bottom w:w="0" w:type="dxa"/>
              <w:right w:w="72" w:type="dxa"/>
            </w:tcMar>
            <w:vAlign w:val="center"/>
          </w:tcPr>
          <w:p w14:paraId="1BE0B170"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1603E4D1" w14:textId="2CE9121E"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-0.0013</w:t>
            </w:r>
          </w:p>
        </w:tc>
        <w:tc>
          <w:tcPr>
            <w:tcW w:w="308" w:type="pct"/>
            <w:tcMar>
              <w:top w:w="0" w:type="dxa"/>
              <w:left w:w="72" w:type="dxa"/>
              <w:bottom w:w="0" w:type="dxa"/>
              <w:right w:w="72" w:type="dxa"/>
            </w:tcMar>
            <w:vAlign w:val="center"/>
            <w:hideMark/>
          </w:tcPr>
          <w:p w14:paraId="2E6DD236" w14:textId="43E3DFF5"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0.2426</w:t>
            </w:r>
          </w:p>
        </w:tc>
        <w:tc>
          <w:tcPr>
            <w:tcW w:w="99" w:type="pct"/>
            <w:tcMar>
              <w:top w:w="0" w:type="dxa"/>
              <w:left w:w="72" w:type="dxa"/>
              <w:bottom w:w="0" w:type="dxa"/>
              <w:right w:w="72" w:type="dxa"/>
            </w:tcMar>
            <w:vAlign w:val="center"/>
          </w:tcPr>
          <w:p w14:paraId="46262281"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4006943E" w14:textId="27B8169D"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0.0027</w:t>
            </w:r>
            <w:r w:rsidRPr="00361437">
              <w:rPr>
                <w:rFonts w:ascii="Arial" w:hAnsi="Arial" w:cs="Arial"/>
                <w:color w:val="000000"/>
                <w:sz w:val="20"/>
                <w:vertAlign w:val="superscript"/>
              </w:rPr>
              <w:t>***</w:t>
            </w:r>
          </w:p>
        </w:tc>
        <w:tc>
          <w:tcPr>
            <w:tcW w:w="308" w:type="pct"/>
            <w:noWrap/>
            <w:tcMar>
              <w:top w:w="0" w:type="dxa"/>
              <w:left w:w="72" w:type="dxa"/>
              <w:bottom w:w="0" w:type="dxa"/>
              <w:right w:w="72" w:type="dxa"/>
            </w:tcMar>
            <w:vAlign w:val="center"/>
            <w:hideMark/>
          </w:tcPr>
          <w:p w14:paraId="5771DF25" w14:textId="0A92B64E"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c>
          <w:tcPr>
            <w:tcW w:w="99" w:type="pct"/>
            <w:tcMar>
              <w:top w:w="0" w:type="dxa"/>
              <w:left w:w="72" w:type="dxa"/>
              <w:bottom w:w="0" w:type="dxa"/>
              <w:right w:w="72" w:type="dxa"/>
            </w:tcMar>
            <w:vAlign w:val="center"/>
          </w:tcPr>
          <w:p w14:paraId="468A795D"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495EC657" w14:textId="0614FA98"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0.0041</w:t>
            </w:r>
            <w:r w:rsidRPr="00361437">
              <w:rPr>
                <w:rFonts w:ascii="Arial" w:hAnsi="Arial" w:cs="Arial"/>
                <w:color w:val="000000"/>
                <w:sz w:val="20"/>
                <w:vertAlign w:val="superscript"/>
              </w:rPr>
              <w:t>***</w:t>
            </w:r>
          </w:p>
        </w:tc>
        <w:tc>
          <w:tcPr>
            <w:tcW w:w="321" w:type="pct"/>
            <w:noWrap/>
            <w:tcMar>
              <w:top w:w="0" w:type="dxa"/>
              <w:left w:w="72" w:type="dxa"/>
              <w:bottom w:w="0" w:type="dxa"/>
              <w:right w:w="72" w:type="dxa"/>
            </w:tcMar>
            <w:vAlign w:val="center"/>
            <w:hideMark/>
          </w:tcPr>
          <w:p w14:paraId="53EBE47A" w14:textId="1198976F"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r>
      <w:tr w:rsidR="00505A3D" w:rsidRPr="00361437" w14:paraId="45CCC0D5" w14:textId="77777777" w:rsidTr="004F27B4">
        <w:trPr>
          <w:trHeight w:val="288"/>
        </w:trPr>
        <w:tc>
          <w:tcPr>
            <w:tcW w:w="1096" w:type="pct"/>
            <w:noWrap/>
            <w:tcMar>
              <w:left w:w="72" w:type="dxa"/>
              <w:right w:w="72" w:type="dxa"/>
            </w:tcMar>
            <w:vAlign w:val="center"/>
            <w:hideMark/>
          </w:tcPr>
          <w:p w14:paraId="3B88399C" w14:textId="502C7B61" w:rsidR="00AD2C01" w:rsidRPr="00361437" w:rsidRDefault="00505A3D" w:rsidP="00AD2C01">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LEVERAGE</w:t>
            </w:r>
          </w:p>
        </w:tc>
        <w:tc>
          <w:tcPr>
            <w:tcW w:w="391" w:type="pct"/>
            <w:tcMar>
              <w:top w:w="0" w:type="dxa"/>
              <w:left w:w="72" w:type="dxa"/>
              <w:bottom w:w="0" w:type="dxa"/>
              <w:right w:w="72" w:type="dxa"/>
            </w:tcMar>
            <w:vAlign w:val="center"/>
            <w:hideMark/>
          </w:tcPr>
          <w:p w14:paraId="7416F654" w14:textId="35ACE3A6"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0.0124</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2FF4DA7F" w14:textId="5B81B99D"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0.0001</w:t>
            </w:r>
          </w:p>
        </w:tc>
        <w:tc>
          <w:tcPr>
            <w:tcW w:w="99" w:type="pct"/>
            <w:tcMar>
              <w:top w:w="0" w:type="dxa"/>
              <w:left w:w="72" w:type="dxa"/>
              <w:bottom w:w="0" w:type="dxa"/>
              <w:right w:w="72" w:type="dxa"/>
            </w:tcMar>
            <w:vAlign w:val="center"/>
          </w:tcPr>
          <w:p w14:paraId="5F6EF5DA"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3EBB0177" w14:textId="02E3A640"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0.0074</w:t>
            </w:r>
          </w:p>
        </w:tc>
        <w:tc>
          <w:tcPr>
            <w:tcW w:w="308" w:type="pct"/>
            <w:tcMar>
              <w:top w:w="0" w:type="dxa"/>
              <w:left w:w="72" w:type="dxa"/>
              <w:bottom w:w="0" w:type="dxa"/>
              <w:right w:w="72" w:type="dxa"/>
            </w:tcMar>
            <w:vAlign w:val="center"/>
            <w:hideMark/>
          </w:tcPr>
          <w:p w14:paraId="2733FB23" w14:textId="7077D587"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0.1081</w:t>
            </w:r>
          </w:p>
        </w:tc>
        <w:tc>
          <w:tcPr>
            <w:tcW w:w="99" w:type="pct"/>
            <w:tcMar>
              <w:top w:w="0" w:type="dxa"/>
              <w:left w:w="72" w:type="dxa"/>
              <w:bottom w:w="0" w:type="dxa"/>
              <w:right w:w="72" w:type="dxa"/>
            </w:tcMar>
            <w:vAlign w:val="center"/>
          </w:tcPr>
          <w:p w14:paraId="10363D71"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0BDFD5B8" w14:textId="15113C58"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0.0146</w:t>
            </w:r>
          </w:p>
        </w:tc>
        <w:tc>
          <w:tcPr>
            <w:tcW w:w="308" w:type="pct"/>
            <w:tcMar>
              <w:top w:w="0" w:type="dxa"/>
              <w:left w:w="72" w:type="dxa"/>
              <w:bottom w:w="0" w:type="dxa"/>
              <w:right w:w="72" w:type="dxa"/>
            </w:tcMar>
            <w:vAlign w:val="center"/>
            <w:hideMark/>
          </w:tcPr>
          <w:p w14:paraId="2516BA21" w14:textId="563EB53A"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0.0878</w:t>
            </w:r>
          </w:p>
        </w:tc>
        <w:tc>
          <w:tcPr>
            <w:tcW w:w="99" w:type="pct"/>
            <w:tcMar>
              <w:top w:w="0" w:type="dxa"/>
              <w:left w:w="72" w:type="dxa"/>
              <w:bottom w:w="0" w:type="dxa"/>
              <w:right w:w="72" w:type="dxa"/>
            </w:tcMar>
            <w:vAlign w:val="center"/>
          </w:tcPr>
          <w:p w14:paraId="73EF45FF"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3D5D48D0" w14:textId="3481029E"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0.0055</w:t>
            </w:r>
          </w:p>
        </w:tc>
        <w:tc>
          <w:tcPr>
            <w:tcW w:w="308" w:type="pct"/>
            <w:noWrap/>
            <w:tcMar>
              <w:top w:w="0" w:type="dxa"/>
              <w:left w:w="72" w:type="dxa"/>
              <w:bottom w:w="0" w:type="dxa"/>
              <w:right w:w="72" w:type="dxa"/>
            </w:tcMar>
            <w:vAlign w:val="center"/>
            <w:hideMark/>
          </w:tcPr>
          <w:p w14:paraId="3EBF3319" w14:textId="561E95E1"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0.0103</w:t>
            </w:r>
          </w:p>
        </w:tc>
        <w:tc>
          <w:tcPr>
            <w:tcW w:w="99" w:type="pct"/>
            <w:tcMar>
              <w:top w:w="0" w:type="dxa"/>
              <w:left w:w="72" w:type="dxa"/>
              <w:bottom w:w="0" w:type="dxa"/>
              <w:right w:w="72" w:type="dxa"/>
            </w:tcMar>
            <w:vAlign w:val="center"/>
          </w:tcPr>
          <w:p w14:paraId="48181043"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5E34AD6F" w14:textId="422A42D8"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-0.0001</w:t>
            </w:r>
          </w:p>
        </w:tc>
        <w:tc>
          <w:tcPr>
            <w:tcW w:w="321" w:type="pct"/>
            <w:noWrap/>
            <w:tcMar>
              <w:top w:w="0" w:type="dxa"/>
              <w:left w:w="72" w:type="dxa"/>
              <w:bottom w:w="0" w:type="dxa"/>
              <w:right w:w="72" w:type="dxa"/>
            </w:tcMar>
            <w:vAlign w:val="center"/>
            <w:hideMark/>
          </w:tcPr>
          <w:p w14:paraId="25EE6606" w14:textId="11EF32B5"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0.9756</w:t>
            </w:r>
          </w:p>
        </w:tc>
      </w:tr>
      <w:tr w:rsidR="00505A3D" w:rsidRPr="00361437" w14:paraId="5BBA16C5" w14:textId="77777777" w:rsidTr="004F27B4">
        <w:trPr>
          <w:trHeight w:val="288"/>
        </w:trPr>
        <w:tc>
          <w:tcPr>
            <w:tcW w:w="1096" w:type="pct"/>
            <w:noWrap/>
            <w:tcMar>
              <w:left w:w="72" w:type="dxa"/>
              <w:right w:w="72" w:type="dxa"/>
            </w:tcMar>
            <w:vAlign w:val="center"/>
            <w:hideMark/>
          </w:tcPr>
          <w:p w14:paraId="5B0E7E40" w14:textId="1436B204" w:rsidR="00AD2C01" w:rsidRPr="00361437" w:rsidRDefault="00505A3D" w:rsidP="00AD2C01">
            <w:pPr>
              <w:spacing w:line="256" w:lineRule="auto"/>
              <w:ind w:left="180" w:hanging="180"/>
              <w:contextualSpacing/>
              <w:rPr>
                <w:rFonts w:ascii="Arial" w:eastAsia="Times New Roman" w:hAnsi="Arial" w:cs="Arial"/>
                <w:sz w:val="18"/>
              </w:rPr>
            </w:pPr>
            <w:r w:rsidRPr="00361437">
              <w:rPr>
                <w:rFonts w:ascii="Arial" w:eastAsia="Calibri" w:hAnsi="Arial" w:cs="Arial"/>
                <w:sz w:val="18"/>
              </w:rPr>
              <w:t>ROA</w:t>
            </w:r>
          </w:p>
        </w:tc>
        <w:tc>
          <w:tcPr>
            <w:tcW w:w="391" w:type="pct"/>
            <w:tcMar>
              <w:top w:w="0" w:type="dxa"/>
              <w:left w:w="72" w:type="dxa"/>
              <w:bottom w:w="0" w:type="dxa"/>
              <w:right w:w="72" w:type="dxa"/>
            </w:tcMar>
            <w:vAlign w:val="center"/>
            <w:hideMark/>
          </w:tcPr>
          <w:p w14:paraId="560E330B" w14:textId="5F90161B"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0.1069</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79C90602" w14:textId="72283587"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c>
          <w:tcPr>
            <w:tcW w:w="99" w:type="pct"/>
            <w:tcMar>
              <w:top w:w="0" w:type="dxa"/>
              <w:left w:w="72" w:type="dxa"/>
              <w:bottom w:w="0" w:type="dxa"/>
              <w:right w:w="72" w:type="dxa"/>
            </w:tcMar>
            <w:vAlign w:val="center"/>
          </w:tcPr>
          <w:p w14:paraId="2FF872D7"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1FD7E15B" w14:textId="05560CBC"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-0.0802</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37ED28D1" w14:textId="63E28849"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c>
          <w:tcPr>
            <w:tcW w:w="99" w:type="pct"/>
            <w:tcMar>
              <w:top w:w="0" w:type="dxa"/>
              <w:left w:w="72" w:type="dxa"/>
              <w:bottom w:w="0" w:type="dxa"/>
              <w:right w:w="72" w:type="dxa"/>
            </w:tcMar>
            <w:vAlign w:val="center"/>
          </w:tcPr>
          <w:p w14:paraId="20439BB7"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5CB98163" w14:textId="2DFB73B1"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0.0687</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53A59EDC" w14:textId="26CC74A7"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c>
          <w:tcPr>
            <w:tcW w:w="99" w:type="pct"/>
            <w:tcMar>
              <w:top w:w="0" w:type="dxa"/>
              <w:left w:w="72" w:type="dxa"/>
              <w:bottom w:w="0" w:type="dxa"/>
              <w:right w:w="72" w:type="dxa"/>
            </w:tcMar>
            <w:vAlign w:val="center"/>
          </w:tcPr>
          <w:p w14:paraId="13CC4D58"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1FBFE045" w14:textId="51899F7B"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0.0585</w:t>
            </w:r>
            <w:r w:rsidRPr="00361437">
              <w:rPr>
                <w:rFonts w:ascii="Arial" w:hAnsi="Arial" w:cs="Arial"/>
                <w:color w:val="000000"/>
                <w:sz w:val="20"/>
                <w:vertAlign w:val="superscript"/>
              </w:rPr>
              <w:t>***</w:t>
            </w:r>
          </w:p>
        </w:tc>
        <w:tc>
          <w:tcPr>
            <w:tcW w:w="308" w:type="pct"/>
            <w:noWrap/>
            <w:tcMar>
              <w:top w:w="0" w:type="dxa"/>
              <w:left w:w="72" w:type="dxa"/>
              <w:bottom w:w="0" w:type="dxa"/>
              <w:right w:w="72" w:type="dxa"/>
            </w:tcMar>
            <w:vAlign w:val="center"/>
            <w:hideMark/>
          </w:tcPr>
          <w:p w14:paraId="1F0B6C7E" w14:textId="46E20EA8"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c>
          <w:tcPr>
            <w:tcW w:w="99" w:type="pct"/>
            <w:tcMar>
              <w:top w:w="0" w:type="dxa"/>
              <w:left w:w="72" w:type="dxa"/>
              <w:bottom w:w="0" w:type="dxa"/>
              <w:right w:w="72" w:type="dxa"/>
            </w:tcMar>
            <w:vAlign w:val="center"/>
          </w:tcPr>
          <w:p w14:paraId="144DE4CF"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0B4F942C" w14:textId="41160D9C"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0.1093</w:t>
            </w:r>
            <w:r w:rsidRPr="00361437">
              <w:rPr>
                <w:rFonts w:ascii="Arial" w:hAnsi="Arial" w:cs="Arial"/>
                <w:color w:val="000000"/>
                <w:sz w:val="20"/>
                <w:vertAlign w:val="superscript"/>
              </w:rPr>
              <w:t>***</w:t>
            </w:r>
          </w:p>
        </w:tc>
        <w:tc>
          <w:tcPr>
            <w:tcW w:w="321" w:type="pct"/>
            <w:noWrap/>
            <w:tcMar>
              <w:top w:w="0" w:type="dxa"/>
              <w:left w:w="72" w:type="dxa"/>
              <w:bottom w:w="0" w:type="dxa"/>
              <w:right w:w="72" w:type="dxa"/>
            </w:tcMar>
            <w:vAlign w:val="center"/>
            <w:hideMark/>
          </w:tcPr>
          <w:p w14:paraId="06F40D97" w14:textId="44117487"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r>
      <w:tr w:rsidR="00505A3D" w:rsidRPr="00361437" w14:paraId="7A88173C" w14:textId="77777777" w:rsidTr="004F27B4">
        <w:trPr>
          <w:trHeight w:val="288"/>
        </w:trPr>
        <w:tc>
          <w:tcPr>
            <w:tcW w:w="1096" w:type="pct"/>
            <w:noWrap/>
            <w:tcMar>
              <w:left w:w="72" w:type="dxa"/>
              <w:right w:w="72" w:type="dxa"/>
            </w:tcMar>
            <w:vAlign w:val="center"/>
            <w:hideMark/>
          </w:tcPr>
          <w:p w14:paraId="0D087742" w14:textId="79F8D3FA" w:rsidR="00AD2C01" w:rsidRPr="00361437" w:rsidRDefault="00505A3D" w:rsidP="00AD2C01">
            <w:pPr>
              <w:spacing w:line="256" w:lineRule="auto"/>
              <w:ind w:left="180" w:hanging="180"/>
              <w:contextualSpacing/>
              <w:rPr>
                <w:rFonts w:ascii="Arial" w:eastAsia="Times New Roman" w:hAnsi="Arial" w:cs="Arial"/>
                <w:sz w:val="18"/>
              </w:rPr>
            </w:pPr>
            <w:r w:rsidRPr="00361437">
              <w:rPr>
                <w:rFonts w:ascii="Arial" w:eastAsia="Calibri" w:hAnsi="Arial" w:cs="Arial"/>
                <w:sz w:val="18"/>
              </w:rPr>
              <w:t>FIRM_AGE</w:t>
            </w:r>
          </w:p>
        </w:tc>
        <w:tc>
          <w:tcPr>
            <w:tcW w:w="391" w:type="pct"/>
            <w:tcMar>
              <w:top w:w="0" w:type="dxa"/>
              <w:left w:w="72" w:type="dxa"/>
              <w:bottom w:w="0" w:type="dxa"/>
              <w:right w:w="72" w:type="dxa"/>
            </w:tcMar>
            <w:vAlign w:val="center"/>
            <w:hideMark/>
          </w:tcPr>
          <w:p w14:paraId="18D3E3D7" w14:textId="593EF6D4"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-0.0045</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13D85FD0" w14:textId="3576F9D2"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c>
          <w:tcPr>
            <w:tcW w:w="99" w:type="pct"/>
            <w:tcMar>
              <w:top w:w="0" w:type="dxa"/>
              <w:left w:w="72" w:type="dxa"/>
              <w:bottom w:w="0" w:type="dxa"/>
              <w:right w:w="72" w:type="dxa"/>
            </w:tcMar>
            <w:vAlign w:val="center"/>
          </w:tcPr>
          <w:p w14:paraId="6EE06495"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0492F969" w14:textId="4E8FFFD2"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-0.0114</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1576F316" w14:textId="4941EDBC"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c>
          <w:tcPr>
            <w:tcW w:w="99" w:type="pct"/>
            <w:tcMar>
              <w:top w:w="0" w:type="dxa"/>
              <w:left w:w="72" w:type="dxa"/>
              <w:bottom w:w="0" w:type="dxa"/>
              <w:right w:w="72" w:type="dxa"/>
            </w:tcMar>
            <w:vAlign w:val="center"/>
          </w:tcPr>
          <w:p w14:paraId="0F58407A"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47AE459D" w14:textId="11D8E791"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-0.0011</w:t>
            </w:r>
          </w:p>
        </w:tc>
        <w:tc>
          <w:tcPr>
            <w:tcW w:w="308" w:type="pct"/>
            <w:tcMar>
              <w:top w:w="0" w:type="dxa"/>
              <w:left w:w="72" w:type="dxa"/>
              <w:bottom w:w="0" w:type="dxa"/>
              <w:right w:w="72" w:type="dxa"/>
            </w:tcMar>
            <w:vAlign w:val="center"/>
            <w:hideMark/>
          </w:tcPr>
          <w:p w14:paraId="03B161D8" w14:textId="104B5B28"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0.5438</w:t>
            </w:r>
          </w:p>
        </w:tc>
        <w:tc>
          <w:tcPr>
            <w:tcW w:w="99" w:type="pct"/>
            <w:tcMar>
              <w:top w:w="0" w:type="dxa"/>
              <w:left w:w="72" w:type="dxa"/>
              <w:bottom w:w="0" w:type="dxa"/>
              <w:right w:w="72" w:type="dxa"/>
            </w:tcMar>
            <w:vAlign w:val="center"/>
          </w:tcPr>
          <w:p w14:paraId="47034BB9"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647CD125" w14:textId="0A4699DE"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0.0033</w:t>
            </w:r>
            <w:r w:rsidRPr="00361437">
              <w:rPr>
                <w:rFonts w:ascii="Arial" w:hAnsi="Arial" w:cs="Arial"/>
                <w:color w:val="000000"/>
                <w:sz w:val="20"/>
                <w:vertAlign w:val="superscript"/>
              </w:rPr>
              <w:t>***</w:t>
            </w:r>
          </w:p>
        </w:tc>
        <w:tc>
          <w:tcPr>
            <w:tcW w:w="308" w:type="pct"/>
            <w:noWrap/>
            <w:tcMar>
              <w:top w:w="0" w:type="dxa"/>
              <w:left w:w="72" w:type="dxa"/>
              <w:bottom w:w="0" w:type="dxa"/>
              <w:right w:w="72" w:type="dxa"/>
            </w:tcMar>
            <w:vAlign w:val="center"/>
            <w:hideMark/>
          </w:tcPr>
          <w:p w14:paraId="23706996" w14:textId="7B5E234F"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c>
          <w:tcPr>
            <w:tcW w:w="99" w:type="pct"/>
            <w:tcMar>
              <w:top w:w="0" w:type="dxa"/>
              <w:left w:w="72" w:type="dxa"/>
              <w:bottom w:w="0" w:type="dxa"/>
              <w:right w:w="72" w:type="dxa"/>
            </w:tcMar>
            <w:vAlign w:val="center"/>
          </w:tcPr>
          <w:p w14:paraId="2A8F5D9C"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5906F366" w14:textId="0FE0E0A0"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0.0011</w:t>
            </w:r>
            <w:r w:rsidRPr="00361437">
              <w:rPr>
                <w:rFonts w:ascii="Arial" w:hAnsi="Arial" w:cs="Arial"/>
                <w:color w:val="000000"/>
                <w:sz w:val="20"/>
                <w:vertAlign w:val="superscript"/>
              </w:rPr>
              <w:t>**</w:t>
            </w:r>
          </w:p>
        </w:tc>
        <w:tc>
          <w:tcPr>
            <w:tcW w:w="321" w:type="pct"/>
            <w:noWrap/>
            <w:tcMar>
              <w:top w:w="0" w:type="dxa"/>
              <w:left w:w="72" w:type="dxa"/>
              <w:bottom w:w="0" w:type="dxa"/>
              <w:right w:w="72" w:type="dxa"/>
            </w:tcMar>
            <w:vAlign w:val="center"/>
            <w:hideMark/>
          </w:tcPr>
          <w:p w14:paraId="7AB48610" w14:textId="2198F634"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0.0149</w:t>
            </w:r>
          </w:p>
        </w:tc>
      </w:tr>
      <w:tr w:rsidR="00505A3D" w:rsidRPr="00361437" w14:paraId="7EDE28DC" w14:textId="77777777" w:rsidTr="004F27B4">
        <w:trPr>
          <w:trHeight w:val="288"/>
        </w:trPr>
        <w:tc>
          <w:tcPr>
            <w:tcW w:w="1096" w:type="pct"/>
            <w:noWrap/>
            <w:tcMar>
              <w:left w:w="72" w:type="dxa"/>
              <w:right w:w="72" w:type="dxa"/>
            </w:tcMar>
            <w:vAlign w:val="center"/>
            <w:hideMark/>
          </w:tcPr>
          <w:p w14:paraId="51F049B7" w14:textId="48916F24" w:rsidR="00AD2C01" w:rsidRPr="00361437" w:rsidRDefault="00505A3D" w:rsidP="00AD2C01">
            <w:pPr>
              <w:spacing w:line="256" w:lineRule="auto"/>
              <w:ind w:left="180" w:hanging="180"/>
              <w:contextualSpacing/>
              <w:rPr>
                <w:rFonts w:ascii="Arial" w:eastAsia="Times New Roman" w:hAnsi="Arial" w:cs="Arial"/>
                <w:sz w:val="18"/>
              </w:rPr>
            </w:pPr>
            <w:r w:rsidRPr="00361437">
              <w:rPr>
                <w:rFonts w:ascii="Arial" w:eastAsia="Calibri" w:hAnsi="Arial" w:cs="Arial"/>
                <w:sz w:val="18"/>
              </w:rPr>
              <w:t>INSTITUTIONAL_BLOCK_OWNERSHIP</w:t>
            </w:r>
          </w:p>
        </w:tc>
        <w:tc>
          <w:tcPr>
            <w:tcW w:w="391" w:type="pct"/>
            <w:tcMar>
              <w:top w:w="0" w:type="dxa"/>
              <w:left w:w="72" w:type="dxa"/>
              <w:bottom w:w="0" w:type="dxa"/>
              <w:right w:w="72" w:type="dxa"/>
            </w:tcMar>
            <w:vAlign w:val="center"/>
            <w:hideMark/>
          </w:tcPr>
          <w:p w14:paraId="0A48C122" w14:textId="58E306AF"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-0.0014</w:t>
            </w:r>
          </w:p>
        </w:tc>
        <w:tc>
          <w:tcPr>
            <w:tcW w:w="308" w:type="pct"/>
            <w:tcMar>
              <w:top w:w="0" w:type="dxa"/>
              <w:left w:w="72" w:type="dxa"/>
              <w:bottom w:w="0" w:type="dxa"/>
              <w:right w:w="72" w:type="dxa"/>
            </w:tcMar>
            <w:vAlign w:val="center"/>
            <w:hideMark/>
          </w:tcPr>
          <w:p w14:paraId="2425EC0D" w14:textId="27AB5034"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0.6114</w:t>
            </w:r>
          </w:p>
        </w:tc>
        <w:tc>
          <w:tcPr>
            <w:tcW w:w="99" w:type="pct"/>
            <w:tcMar>
              <w:top w:w="0" w:type="dxa"/>
              <w:left w:w="72" w:type="dxa"/>
              <w:bottom w:w="0" w:type="dxa"/>
              <w:right w:w="72" w:type="dxa"/>
            </w:tcMar>
            <w:vAlign w:val="center"/>
          </w:tcPr>
          <w:p w14:paraId="5DDD7920"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68B56E3F" w14:textId="4F3F3660"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0.0049</w:t>
            </w:r>
          </w:p>
        </w:tc>
        <w:tc>
          <w:tcPr>
            <w:tcW w:w="308" w:type="pct"/>
            <w:tcMar>
              <w:top w:w="0" w:type="dxa"/>
              <w:left w:w="72" w:type="dxa"/>
              <w:bottom w:w="0" w:type="dxa"/>
              <w:right w:w="72" w:type="dxa"/>
            </w:tcMar>
            <w:vAlign w:val="center"/>
            <w:hideMark/>
          </w:tcPr>
          <w:p w14:paraId="13534B98" w14:textId="2DC1E127"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0.3901</w:t>
            </w:r>
          </w:p>
        </w:tc>
        <w:tc>
          <w:tcPr>
            <w:tcW w:w="99" w:type="pct"/>
            <w:tcMar>
              <w:top w:w="0" w:type="dxa"/>
              <w:left w:w="72" w:type="dxa"/>
              <w:bottom w:w="0" w:type="dxa"/>
              <w:right w:w="72" w:type="dxa"/>
            </w:tcMar>
            <w:vAlign w:val="center"/>
          </w:tcPr>
          <w:p w14:paraId="7D87BE7D"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5BA3AB0F" w14:textId="01B59400"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-0.0129</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30E63CC9" w14:textId="26EE3C93"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0.0346</w:t>
            </w:r>
          </w:p>
        </w:tc>
        <w:tc>
          <w:tcPr>
            <w:tcW w:w="99" w:type="pct"/>
            <w:tcMar>
              <w:top w:w="0" w:type="dxa"/>
              <w:left w:w="72" w:type="dxa"/>
              <w:bottom w:w="0" w:type="dxa"/>
              <w:right w:w="72" w:type="dxa"/>
            </w:tcMar>
            <w:vAlign w:val="center"/>
          </w:tcPr>
          <w:p w14:paraId="0BB6B8CC"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7BDC3269" w14:textId="244F1E35"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-0.0038</w:t>
            </w:r>
            <w:r w:rsidRPr="00361437">
              <w:rPr>
                <w:rFonts w:ascii="Arial" w:hAnsi="Arial" w:cs="Arial"/>
                <w:color w:val="000000"/>
                <w:sz w:val="20"/>
                <w:vertAlign w:val="superscript"/>
              </w:rPr>
              <w:t>**</w:t>
            </w:r>
          </w:p>
        </w:tc>
        <w:tc>
          <w:tcPr>
            <w:tcW w:w="308" w:type="pct"/>
            <w:noWrap/>
            <w:tcMar>
              <w:top w:w="0" w:type="dxa"/>
              <w:left w:w="72" w:type="dxa"/>
              <w:bottom w:w="0" w:type="dxa"/>
              <w:right w:w="72" w:type="dxa"/>
            </w:tcMar>
            <w:vAlign w:val="center"/>
            <w:hideMark/>
          </w:tcPr>
          <w:p w14:paraId="4986F136" w14:textId="3E3EB576"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0.0418</w:t>
            </w:r>
          </w:p>
        </w:tc>
        <w:tc>
          <w:tcPr>
            <w:tcW w:w="99" w:type="pct"/>
            <w:tcMar>
              <w:top w:w="0" w:type="dxa"/>
              <w:left w:w="72" w:type="dxa"/>
              <w:bottom w:w="0" w:type="dxa"/>
              <w:right w:w="72" w:type="dxa"/>
            </w:tcMar>
            <w:vAlign w:val="center"/>
          </w:tcPr>
          <w:p w14:paraId="58E08340"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381817E6" w14:textId="05A77206"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0.0047</w:t>
            </w:r>
            <w:r w:rsidRPr="00361437">
              <w:rPr>
                <w:rFonts w:ascii="Arial" w:hAnsi="Arial" w:cs="Arial"/>
                <w:color w:val="000000"/>
                <w:sz w:val="20"/>
                <w:vertAlign w:val="superscript"/>
              </w:rPr>
              <w:t>**</w:t>
            </w:r>
          </w:p>
        </w:tc>
        <w:tc>
          <w:tcPr>
            <w:tcW w:w="321" w:type="pct"/>
            <w:noWrap/>
            <w:tcMar>
              <w:top w:w="0" w:type="dxa"/>
              <w:left w:w="72" w:type="dxa"/>
              <w:bottom w:w="0" w:type="dxa"/>
              <w:right w:w="72" w:type="dxa"/>
            </w:tcMar>
            <w:vAlign w:val="center"/>
            <w:hideMark/>
          </w:tcPr>
          <w:p w14:paraId="0F59B0BE" w14:textId="659319CB"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0.0227</w:t>
            </w:r>
          </w:p>
        </w:tc>
      </w:tr>
      <w:tr w:rsidR="00505A3D" w:rsidRPr="00361437" w14:paraId="55607339" w14:textId="77777777" w:rsidTr="004F27B4">
        <w:trPr>
          <w:trHeight w:val="288"/>
        </w:trPr>
        <w:tc>
          <w:tcPr>
            <w:tcW w:w="1096" w:type="pct"/>
            <w:noWrap/>
            <w:tcMar>
              <w:left w:w="72" w:type="dxa"/>
              <w:right w:w="72" w:type="dxa"/>
            </w:tcMar>
            <w:vAlign w:val="center"/>
            <w:hideMark/>
          </w:tcPr>
          <w:p w14:paraId="2BD276D6" w14:textId="53411259" w:rsidR="00AD2C01" w:rsidRPr="00361437" w:rsidRDefault="00505A3D" w:rsidP="00AD2C01">
            <w:pPr>
              <w:spacing w:line="256" w:lineRule="auto"/>
              <w:ind w:left="180" w:hanging="180"/>
              <w:contextualSpacing/>
              <w:rPr>
                <w:rFonts w:ascii="Arial" w:eastAsia="Times New Roman" w:hAnsi="Arial" w:cs="Arial"/>
                <w:sz w:val="18"/>
              </w:rPr>
            </w:pPr>
            <w:r w:rsidRPr="00361437">
              <w:rPr>
                <w:rFonts w:ascii="Arial" w:eastAsia="Calibri" w:hAnsi="Arial" w:cs="Arial"/>
                <w:sz w:val="18"/>
              </w:rPr>
              <w:t>BIG_HOLDING_(0,1)</w:t>
            </w:r>
          </w:p>
        </w:tc>
        <w:tc>
          <w:tcPr>
            <w:tcW w:w="391" w:type="pct"/>
            <w:tcMar>
              <w:top w:w="0" w:type="dxa"/>
              <w:left w:w="72" w:type="dxa"/>
              <w:bottom w:w="0" w:type="dxa"/>
              <w:right w:w="72" w:type="dxa"/>
            </w:tcMar>
            <w:vAlign w:val="center"/>
            <w:hideMark/>
          </w:tcPr>
          <w:p w14:paraId="4425AD69" w14:textId="0D6AE77A"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0.0031</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747A5B6D" w14:textId="5E29A12C"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0.0091</w:t>
            </w:r>
          </w:p>
        </w:tc>
        <w:tc>
          <w:tcPr>
            <w:tcW w:w="99" w:type="pct"/>
            <w:tcMar>
              <w:top w:w="0" w:type="dxa"/>
              <w:left w:w="72" w:type="dxa"/>
              <w:bottom w:w="0" w:type="dxa"/>
              <w:right w:w="72" w:type="dxa"/>
            </w:tcMar>
            <w:vAlign w:val="center"/>
          </w:tcPr>
          <w:p w14:paraId="15124CFA"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3A87DDED" w14:textId="22770DD0"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-0.0003</w:t>
            </w:r>
          </w:p>
        </w:tc>
        <w:tc>
          <w:tcPr>
            <w:tcW w:w="308" w:type="pct"/>
            <w:tcMar>
              <w:top w:w="0" w:type="dxa"/>
              <w:left w:w="72" w:type="dxa"/>
              <w:bottom w:w="0" w:type="dxa"/>
              <w:right w:w="72" w:type="dxa"/>
            </w:tcMar>
            <w:vAlign w:val="center"/>
            <w:hideMark/>
          </w:tcPr>
          <w:p w14:paraId="09598DEA" w14:textId="246F8634"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0.8622</w:t>
            </w:r>
          </w:p>
        </w:tc>
        <w:tc>
          <w:tcPr>
            <w:tcW w:w="99" w:type="pct"/>
            <w:tcMar>
              <w:top w:w="0" w:type="dxa"/>
              <w:left w:w="72" w:type="dxa"/>
              <w:bottom w:w="0" w:type="dxa"/>
              <w:right w:w="72" w:type="dxa"/>
            </w:tcMar>
            <w:vAlign w:val="center"/>
          </w:tcPr>
          <w:p w14:paraId="4BA6020E"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3AA9A7D5" w14:textId="6A1A88A9"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0.0047</w:t>
            </w:r>
          </w:p>
        </w:tc>
        <w:tc>
          <w:tcPr>
            <w:tcW w:w="308" w:type="pct"/>
            <w:tcMar>
              <w:top w:w="0" w:type="dxa"/>
              <w:left w:w="72" w:type="dxa"/>
              <w:bottom w:w="0" w:type="dxa"/>
              <w:right w:w="72" w:type="dxa"/>
            </w:tcMar>
            <w:vAlign w:val="center"/>
            <w:hideMark/>
          </w:tcPr>
          <w:p w14:paraId="19985A91" w14:textId="02575405"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0.1841</w:t>
            </w:r>
          </w:p>
        </w:tc>
        <w:tc>
          <w:tcPr>
            <w:tcW w:w="99" w:type="pct"/>
            <w:tcMar>
              <w:top w:w="0" w:type="dxa"/>
              <w:left w:w="72" w:type="dxa"/>
              <w:bottom w:w="0" w:type="dxa"/>
              <w:right w:w="72" w:type="dxa"/>
            </w:tcMar>
            <w:vAlign w:val="center"/>
          </w:tcPr>
          <w:p w14:paraId="04D72B65"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4DA87671" w14:textId="6BACF261"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0.0003</w:t>
            </w:r>
          </w:p>
        </w:tc>
        <w:tc>
          <w:tcPr>
            <w:tcW w:w="308" w:type="pct"/>
            <w:noWrap/>
            <w:tcMar>
              <w:top w:w="0" w:type="dxa"/>
              <w:left w:w="72" w:type="dxa"/>
              <w:bottom w:w="0" w:type="dxa"/>
              <w:right w:w="72" w:type="dxa"/>
            </w:tcMar>
            <w:vAlign w:val="center"/>
            <w:hideMark/>
          </w:tcPr>
          <w:p w14:paraId="52D4A218" w14:textId="52220536"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0.6828</w:t>
            </w:r>
          </w:p>
        </w:tc>
        <w:tc>
          <w:tcPr>
            <w:tcW w:w="99" w:type="pct"/>
            <w:tcMar>
              <w:top w:w="0" w:type="dxa"/>
              <w:left w:w="72" w:type="dxa"/>
              <w:bottom w:w="0" w:type="dxa"/>
              <w:right w:w="72" w:type="dxa"/>
            </w:tcMar>
            <w:vAlign w:val="center"/>
          </w:tcPr>
          <w:p w14:paraId="425B52C7"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448370E3" w14:textId="0167B637"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0.0042</w:t>
            </w:r>
            <w:r w:rsidRPr="00361437">
              <w:rPr>
                <w:rFonts w:ascii="Arial" w:hAnsi="Arial" w:cs="Arial"/>
                <w:color w:val="000000"/>
                <w:sz w:val="20"/>
                <w:vertAlign w:val="superscript"/>
              </w:rPr>
              <w:t>***</w:t>
            </w:r>
          </w:p>
        </w:tc>
        <w:tc>
          <w:tcPr>
            <w:tcW w:w="321" w:type="pct"/>
            <w:noWrap/>
            <w:tcMar>
              <w:top w:w="0" w:type="dxa"/>
              <w:left w:w="72" w:type="dxa"/>
              <w:bottom w:w="0" w:type="dxa"/>
              <w:right w:w="72" w:type="dxa"/>
            </w:tcMar>
            <w:vAlign w:val="center"/>
            <w:hideMark/>
          </w:tcPr>
          <w:p w14:paraId="018E9115" w14:textId="3BBBC1FD"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r>
      <w:tr w:rsidR="00505A3D" w:rsidRPr="00361437" w14:paraId="1A7A5A96" w14:textId="77777777" w:rsidTr="004F27B4">
        <w:trPr>
          <w:trHeight w:val="288"/>
        </w:trPr>
        <w:tc>
          <w:tcPr>
            <w:tcW w:w="1096" w:type="pct"/>
            <w:noWrap/>
            <w:tcMar>
              <w:left w:w="72" w:type="dxa"/>
              <w:right w:w="72" w:type="dxa"/>
            </w:tcMar>
            <w:vAlign w:val="center"/>
            <w:hideMark/>
          </w:tcPr>
          <w:p w14:paraId="70312C12" w14:textId="05A57625" w:rsidR="00AD2C01" w:rsidRPr="00361437" w:rsidRDefault="00505A3D" w:rsidP="00AD2C01">
            <w:pPr>
              <w:spacing w:line="256" w:lineRule="auto"/>
              <w:ind w:left="180" w:hanging="180"/>
              <w:contextualSpacing/>
              <w:rPr>
                <w:rFonts w:ascii="Arial" w:eastAsia="Times New Roman" w:hAnsi="Arial" w:cs="Arial"/>
                <w:sz w:val="18"/>
              </w:rPr>
            </w:pPr>
            <w:r w:rsidRPr="00361437">
              <w:rPr>
                <w:rFonts w:ascii="Arial" w:eastAsia="Calibri" w:hAnsi="Arial" w:cs="Arial"/>
                <w:sz w:val="18"/>
              </w:rPr>
              <w:t>NUMBER_OF_FUNDS_IN_THE_FAMILY</w:t>
            </w:r>
          </w:p>
        </w:tc>
        <w:tc>
          <w:tcPr>
            <w:tcW w:w="391" w:type="pct"/>
            <w:tcMar>
              <w:top w:w="0" w:type="dxa"/>
              <w:left w:w="72" w:type="dxa"/>
              <w:bottom w:w="0" w:type="dxa"/>
              <w:right w:w="72" w:type="dxa"/>
            </w:tcMar>
            <w:vAlign w:val="center"/>
            <w:hideMark/>
          </w:tcPr>
          <w:p w14:paraId="29749617" w14:textId="0514E391"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-0.0031</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78AECB64" w14:textId="1B5AED11"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0.0053</w:t>
            </w:r>
          </w:p>
        </w:tc>
        <w:tc>
          <w:tcPr>
            <w:tcW w:w="99" w:type="pct"/>
            <w:tcMar>
              <w:top w:w="0" w:type="dxa"/>
              <w:left w:w="72" w:type="dxa"/>
              <w:bottom w:w="0" w:type="dxa"/>
              <w:right w:w="72" w:type="dxa"/>
            </w:tcMar>
            <w:vAlign w:val="center"/>
          </w:tcPr>
          <w:p w14:paraId="64BDAFC4"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20A2AC48" w14:textId="045F1407"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-0.0098</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1BB7F836" w14:textId="3D3F583A"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c>
          <w:tcPr>
            <w:tcW w:w="99" w:type="pct"/>
            <w:tcMar>
              <w:top w:w="0" w:type="dxa"/>
              <w:left w:w="72" w:type="dxa"/>
              <w:bottom w:w="0" w:type="dxa"/>
              <w:right w:w="72" w:type="dxa"/>
            </w:tcMar>
            <w:vAlign w:val="center"/>
          </w:tcPr>
          <w:p w14:paraId="7BB9EFFA"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27384B26" w14:textId="26A8FC87"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0.0004</w:t>
            </w:r>
          </w:p>
        </w:tc>
        <w:tc>
          <w:tcPr>
            <w:tcW w:w="308" w:type="pct"/>
            <w:tcMar>
              <w:top w:w="0" w:type="dxa"/>
              <w:left w:w="72" w:type="dxa"/>
              <w:bottom w:w="0" w:type="dxa"/>
              <w:right w:w="72" w:type="dxa"/>
            </w:tcMar>
            <w:vAlign w:val="center"/>
            <w:hideMark/>
          </w:tcPr>
          <w:p w14:paraId="35A7B810" w14:textId="7AF9C86A"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0.9120</w:t>
            </w:r>
          </w:p>
        </w:tc>
        <w:tc>
          <w:tcPr>
            <w:tcW w:w="99" w:type="pct"/>
            <w:tcMar>
              <w:top w:w="0" w:type="dxa"/>
              <w:left w:w="72" w:type="dxa"/>
              <w:bottom w:w="0" w:type="dxa"/>
              <w:right w:w="72" w:type="dxa"/>
            </w:tcMar>
            <w:vAlign w:val="center"/>
          </w:tcPr>
          <w:p w14:paraId="7E4D0DAF"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6D12E48A" w14:textId="27446697"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0.0020</w:t>
            </w:r>
            <w:r w:rsidRPr="00361437">
              <w:rPr>
                <w:rFonts w:ascii="Arial" w:hAnsi="Arial" w:cs="Arial"/>
                <w:color w:val="000000"/>
                <w:sz w:val="20"/>
                <w:vertAlign w:val="superscript"/>
              </w:rPr>
              <w:t>**</w:t>
            </w:r>
          </w:p>
        </w:tc>
        <w:tc>
          <w:tcPr>
            <w:tcW w:w="308" w:type="pct"/>
            <w:noWrap/>
            <w:tcMar>
              <w:top w:w="0" w:type="dxa"/>
              <w:left w:w="72" w:type="dxa"/>
              <w:bottom w:w="0" w:type="dxa"/>
              <w:right w:w="72" w:type="dxa"/>
            </w:tcMar>
            <w:vAlign w:val="center"/>
            <w:hideMark/>
          </w:tcPr>
          <w:p w14:paraId="08D6669E" w14:textId="687ECF40"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0.0100</w:t>
            </w:r>
          </w:p>
        </w:tc>
        <w:tc>
          <w:tcPr>
            <w:tcW w:w="99" w:type="pct"/>
            <w:tcMar>
              <w:top w:w="0" w:type="dxa"/>
              <w:left w:w="72" w:type="dxa"/>
              <w:bottom w:w="0" w:type="dxa"/>
              <w:right w:w="72" w:type="dxa"/>
            </w:tcMar>
            <w:vAlign w:val="center"/>
          </w:tcPr>
          <w:p w14:paraId="242B5ED7"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2EE234B9" w14:textId="32F523B5"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0.0087</w:t>
            </w:r>
            <w:r w:rsidRPr="00361437">
              <w:rPr>
                <w:rFonts w:ascii="Arial" w:hAnsi="Arial" w:cs="Arial"/>
                <w:color w:val="000000"/>
                <w:sz w:val="20"/>
                <w:vertAlign w:val="superscript"/>
              </w:rPr>
              <w:t>***</w:t>
            </w:r>
          </w:p>
        </w:tc>
        <w:tc>
          <w:tcPr>
            <w:tcW w:w="321" w:type="pct"/>
            <w:noWrap/>
            <w:tcMar>
              <w:top w:w="0" w:type="dxa"/>
              <w:left w:w="72" w:type="dxa"/>
              <w:bottom w:w="0" w:type="dxa"/>
              <w:right w:w="72" w:type="dxa"/>
            </w:tcMar>
            <w:vAlign w:val="center"/>
            <w:hideMark/>
          </w:tcPr>
          <w:p w14:paraId="370D7626" w14:textId="03ABA9B2"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r>
      <w:tr w:rsidR="00505A3D" w:rsidRPr="00361437" w14:paraId="2613F629" w14:textId="77777777" w:rsidTr="004F27B4">
        <w:trPr>
          <w:trHeight w:val="288"/>
        </w:trPr>
        <w:tc>
          <w:tcPr>
            <w:tcW w:w="1096" w:type="pct"/>
            <w:noWrap/>
            <w:tcMar>
              <w:left w:w="72" w:type="dxa"/>
              <w:right w:w="72" w:type="dxa"/>
            </w:tcMar>
            <w:vAlign w:val="center"/>
            <w:hideMark/>
          </w:tcPr>
          <w:p w14:paraId="62F1EA9B" w14:textId="39F49416" w:rsidR="00AD2C01" w:rsidRPr="00361437" w:rsidRDefault="00505A3D" w:rsidP="00AD2C01">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DISTRESS_(0,1)</w:t>
            </w:r>
          </w:p>
        </w:tc>
        <w:tc>
          <w:tcPr>
            <w:tcW w:w="391" w:type="pct"/>
            <w:tcMar>
              <w:top w:w="0" w:type="dxa"/>
              <w:left w:w="72" w:type="dxa"/>
              <w:bottom w:w="0" w:type="dxa"/>
              <w:right w:w="72" w:type="dxa"/>
            </w:tcMar>
            <w:vAlign w:val="center"/>
            <w:hideMark/>
          </w:tcPr>
          <w:p w14:paraId="75C22C66" w14:textId="5FE7F04E"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-0.0037</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352E3B11" w14:textId="69EC6079"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0.0219</w:t>
            </w:r>
          </w:p>
        </w:tc>
        <w:tc>
          <w:tcPr>
            <w:tcW w:w="99" w:type="pct"/>
            <w:tcMar>
              <w:top w:w="0" w:type="dxa"/>
              <w:left w:w="72" w:type="dxa"/>
              <w:bottom w:w="0" w:type="dxa"/>
              <w:right w:w="72" w:type="dxa"/>
            </w:tcMar>
            <w:vAlign w:val="center"/>
          </w:tcPr>
          <w:p w14:paraId="499CD850"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7937D732" w14:textId="6FEA2374"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-0.0154</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6E479997" w14:textId="2238A36F"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0.0184</w:t>
            </w:r>
          </w:p>
        </w:tc>
        <w:tc>
          <w:tcPr>
            <w:tcW w:w="99" w:type="pct"/>
            <w:tcMar>
              <w:top w:w="0" w:type="dxa"/>
              <w:left w:w="72" w:type="dxa"/>
              <w:bottom w:w="0" w:type="dxa"/>
              <w:right w:w="72" w:type="dxa"/>
            </w:tcMar>
            <w:vAlign w:val="center"/>
          </w:tcPr>
          <w:p w14:paraId="4BDC1C95"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56415B2A" w14:textId="21103920"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-0.0132</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24534EB3" w14:textId="475E3AF1"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0.0003</w:t>
            </w:r>
          </w:p>
        </w:tc>
        <w:tc>
          <w:tcPr>
            <w:tcW w:w="99" w:type="pct"/>
            <w:tcMar>
              <w:top w:w="0" w:type="dxa"/>
              <w:left w:w="72" w:type="dxa"/>
              <w:bottom w:w="0" w:type="dxa"/>
              <w:right w:w="72" w:type="dxa"/>
            </w:tcMar>
            <w:vAlign w:val="center"/>
          </w:tcPr>
          <w:p w14:paraId="2AFEE6D8"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0FEAC0B1" w14:textId="63A96FA2"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-0.0040</w:t>
            </w:r>
            <w:r w:rsidRPr="00361437">
              <w:rPr>
                <w:rFonts w:ascii="Arial" w:hAnsi="Arial" w:cs="Arial"/>
                <w:color w:val="000000"/>
                <w:sz w:val="20"/>
                <w:vertAlign w:val="superscript"/>
              </w:rPr>
              <w:t>***</w:t>
            </w:r>
          </w:p>
        </w:tc>
        <w:tc>
          <w:tcPr>
            <w:tcW w:w="308" w:type="pct"/>
            <w:noWrap/>
            <w:tcMar>
              <w:top w:w="0" w:type="dxa"/>
              <w:left w:w="72" w:type="dxa"/>
              <w:bottom w:w="0" w:type="dxa"/>
              <w:right w:w="72" w:type="dxa"/>
            </w:tcMar>
            <w:vAlign w:val="center"/>
            <w:hideMark/>
          </w:tcPr>
          <w:p w14:paraId="3BEF0012" w14:textId="11B951D2"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c>
          <w:tcPr>
            <w:tcW w:w="99" w:type="pct"/>
            <w:tcMar>
              <w:top w:w="0" w:type="dxa"/>
              <w:left w:w="72" w:type="dxa"/>
              <w:bottom w:w="0" w:type="dxa"/>
              <w:right w:w="72" w:type="dxa"/>
            </w:tcMar>
            <w:vAlign w:val="center"/>
          </w:tcPr>
          <w:p w14:paraId="5AE28E1A"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407253F0" w14:textId="31EE3400"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0.0002</w:t>
            </w:r>
          </w:p>
        </w:tc>
        <w:tc>
          <w:tcPr>
            <w:tcW w:w="321" w:type="pct"/>
            <w:noWrap/>
            <w:tcMar>
              <w:top w:w="0" w:type="dxa"/>
              <w:left w:w="72" w:type="dxa"/>
              <w:bottom w:w="0" w:type="dxa"/>
              <w:right w:w="72" w:type="dxa"/>
            </w:tcMar>
            <w:vAlign w:val="center"/>
            <w:hideMark/>
          </w:tcPr>
          <w:p w14:paraId="7D0AE584" w14:textId="2F0665FE"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0.8117</w:t>
            </w:r>
          </w:p>
        </w:tc>
      </w:tr>
      <w:tr w:rsidR="00505A3D" w:rsidRPr="00361437" w14:paraId="617D1B42" w14:textId="77777777" w:rsidTr="004F27B4">
        <w:trPr>
          <w:trHeight w:val="288"/>
        </w:trPr>
        <w:tc>
          <w:tcPr>
            <w:tcW w:w="1096" w:type="pct"/>
            <w:noWrap/>
            <w:tcMar>
              <w:left w:w="72" w:type="dxa"/>
              <w:right w:w="72" w:type="dxa"/>
            </w:tcMar>
            <w:vAlign w:val="center"/>
            <w:hideMark/>
          </w:tcPr>
          <w:p w14:paraId="66D74A73" w14:textId="77777777" w:rsidR="00AD2C01" w:rsidRPr="00361437" w:rsidRDefault="00AD2C01" w:rsidP="00AD2C01">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Intercept</w:t>
            </w:r>
          </w:p>
        </w:tc>
        <w:tc>
          <w:tcPr>
            <w:tcW w:w="391" w:type="pct"/>
            <w:tcMar>
              <w:top w:w="0" w:type="dxa"/>
              <w:left w:w="72" w:type="dxa"/>
              <w:bottom w:w="0" w:type="dxa"/>
              <w:right w:w="72" w:type="dxa"/>
            </w:tcMar>
            <w:vAlign w:val="center"/>
            <w:hideMark/>
          </w:tcPr>
          <w:p w14:paraId="6C500986" w14:textId="06B0B1FC"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0.0353</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558A3B29" w14:textId="6FB11A18"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c>
          <w:tcPr>
            <w:tcW w:w="99" w:type="pct"/>
            <w:tcMar>
              <w:top w:w="0" w:type="dxa"/>
              <w:left w:w="72" w:type="dxa"/>
              <w:bottom w:w="0" w:type="dxa"/>
              <w:right w:w="72" w:type="dxa"/>
            </w:tcMar>
            <w:vAlign w:val="center"/>
          </w:tcPr>
          <w:p w14:paraId="330C79E0"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34E8DE80" w14:textId="59D1F338"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0.0610</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64AC9EFA" w14:textId="142A4C90"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c>
          <w:tcPr>
            <w:tcW w:w="99" w:type="pct"/>
            <w:tcMar>
              <w:top w:w="0" w:type="dxa"/>
              <w:left w:w="72" w:type="dxa"/>
              <w:bottom w:w="0" w:type="dxa"/>
              <w:right w:w="72" w:type="dxa"/>
            </w:tcMar>
            <w:vAlign w:val="center"/>
          </w:tcPr>
          <w:p w14:paraId="4D5BCBCA"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55A5DE98" w14:textId="01367417"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0.3829</w:t>
            </w:r>
            <w:r w:rsidRPr="00361437">
              <w:rPr>
                <w:rFonts w:ascii="Arial" w:hAnsi="Arial" w:cs="Arial"/>
                <w:color w:val="000000"/>
                <w:sz w:val="20"/>
                <w:vertAlign w:val="superscript"/>
              </w:rPr>
              <w:t>**</w:t>
            </w:r>
          </w:p>
        </w:tc>
        <w:tc>
          <w:tcPr>
            <w:tcW w:w="308" w:type="pct"/>
            <w:tcMar>
              <w:top w:w="0" w:type="dxa"/>
              <w:left w:w="72" w:type="dxa"/>
              <w:bottom w:w="0" w:type="dxa"/>
              <w:right w:w="72" w:type="dxa"/>
            </w:tcMar>
            <w:vAlign w:val="center"/>
            <w:hideMark/>
          </w:tcPr>
          <w:p w14:paraId="575961BB" w14:textId="24A293AC"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0.0393</w:t>
            </w:r>
          </w:p>
        </w:tc>
        <w:tc>
          <w:tcPr>
            <w:tcW w:w="99" w:type="pct"/>
            <w:tcMar>
              <w:top w:w="0" w:type="dxa"/>
              <w:left w:w="72" w:type="dxa"/>
              <w:bottom w:w="0" w:type="dxa"/>
              <w:right w:w="72" w:type="dxa"/>
            </w:tcMar>
            <w:vAlign w:val="center"/>
          </w:tcPr>
          <w:p w14:paraId="1B072E15"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7D7FABB9" w14:textId="28A6A880"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-0.0028</w:t>
            </w:r>
          </w:p>
        </w:tc>
        <w:tc>
          <w:tcPr>
            <w:tcW w:w="308" w:type="pct"/>
            <w:noWrap/>
            <w:tcMar>
              <w:top w:w="0" w:type="dxa"/>
              <w:left w:w="72" w:type="dxa"/>
              <w:bottom w:w="0" w:type="dxa"/>
              <w:right w:w="72" w:type="dxa"/>
            </w:tcMar>
            <w:vAlign w:val="center"/>
            <w:hideMark/>
          </w:tcPr>
          <w:p w14:paraId="25EBDF14" w14:textId="03AC2CD5"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0.8088</w:t>
            </w:r>
          </w:p>
        </w:tc>
        <w:tc>
          <w:tcPr>
            <w:tcW w:w="99" w:type="pct"/>
            <w:tcMar>
              <w:top w:w="0" w:type="dxa"/>
              <w:left w:w="72" w:type="dxa"/>
              <w:bottom w:w="0" w:type="dxa"/>
              <w:right w:w="72" w:type="dxa"/>
            </w:tcMar>
            <w:vAlign w:val="center"/>
          </w:tcPr>
          <w:p w14:paraId="64D9DA4E" w14:textId="77777777" w:rsidR="00AD2C01" w:rsidRPr="00361437" w:rsidRDefault="00AD2C01" w:rsidP="00013673">
            <w:pPr>
              <w:tabs>
                <w:tab w:val="decimal" w:pos="180"/>
              </w:tabs>
              <w:spacing w:line="256" w:lineRule="auto"/>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1498CC96" w14:textId="1556833B"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-0.0377</w:t>
            </w:r>
            <w:r w:rsidRPr="00361437">
              <w:rPr>
                <w:rFonts w:ascii="Arial" w:hAnsi="Arial" w:cs="Arial"/>
                <w:color w:val="000000"/>
                <w:sz w:val="20"/>
                <w:vertAlign w:val="superscript"/>
              </w:rPr>
              <w:t>***</w:t>
            </w:r>
          </w:p>
        </w:tc>
        <w:tc>
          <w:tcPr>
            <w:tcW w:w="321" w:type="pct"/>
            <w:noWrap/>
            <w:tcMar>
              <w:top w:w="0" w:type="dxa"/>
              <w:left w:w="72" w:type="dxa"/>
              <w:bottom w:w="0" w:type="dxa"/>
              <w:right w:w="72" w:type="dxa"/>
            </w:tcMar>
            <w:vAlign w:val="center"/>
            <w:hideMark/>
          </w:tcPr>
          <w:p w14:paraId="44ED5FB2" w14:textId="0640D6C0" w:rsidR="00AD2C01" w:rsidRPr="00361437" w:rsidRDefault="00AD2C01" w:rsidP="00013673">
            <w:pPr>
              <w:tabs>
                <w:tab w:val="decimal" w:pos="180"/>
              </w:tabs>
              <w:spacing w:line="256" w:lineRule="auto"/>
              <w:rPr>
                <w:rFonts w:ascii="Arial" w:eastAsia="Calibri" w:hAnsi="Arial" w:cs="Arial"/>
                <w:color w:val="000000"/>
                <w:sz w:val="20"/>
              </w:rPr>
            </w:pPr>
            <w:r w:rsidRPr="00361437">
              <w:rPr>
                <w:rFonts w:ascii="Arial" w:hAnsi="Arial" w:cs="Arial"/>
                <w:color w:val="000000"/>
                <w:sz w:val="20"/>
              </w:rPr>
              <w:t>0.0000</w:t>
            </w:r>
          </w:p>
        </w:tc>
      </w:tr>
      <w:tr w:rsidR="00505A3D" w:rsidRPr="00361437" w14:paraId="3FF0B78D" w14:textId="77777777" w:rsidTr="004F27B4">
        <w:trPr>
          <w:trHeight w:val="288"/>
        </w:trPr>
        <w:tc>
          <w:tcPr>
            <w:tcW w:w="1096" w:type="pct"/>
            <w:noWrap/>
            <w:tcMar>
              <w:left w:w="72" w:type="dxa"/>
              <w:right w:w="72" w:type="dxa"/>
            </w:tcMar>
            <w:vAlign w:val="center"/>
            <w:hideMark/>
          </w:tcPr>
          <w:p w14:paraId="178BACE3" w14:textId="77777777" w:rsidR="00B91B22" w:rsidRPr="00361437" w:rsidRDefault="00B91B22" w:rsidP="00032E88">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 xml:space="preserve">N </w:t>
            </w:r>
          </w:p>
        </w:tc>
        <w:tc>
          <w:tcPr>
            <w:tcW w:w="391" w:type="pct"/>
            <w:tcMar>
              <w:top w:w="0" w:type="dxa"/>
              <w:left w:w="72" w:type="dxa"/>
              <w:bottom w:w="0" w:type="dxa"/>
              <w:right w:w="72" w:type="dxa"/>
            </w:tcMar>
            <w:vAlign w:val="center"/>
            <w:hideMark/>
          </w:tcPr>
          <w:p w14:paraId="6474483F" w14:textId="40716C7F" w:rsidR="00B91B22" w:rsidRPr="00361437" w:rsidRDefault="00B91B22" w:rsidP="00032E88">
            <w:pPr>
              <w:spacing w:line="256" w:lineRule="auto"/>
              <w:jc w:val="center"/>
              <w:rPr>
                <w:rFonts w:ascii="Arial" w:eastAsia="Calibri" w:hAnsi="Arial" w:cs="Arial"/>
                <w:color w:val="000000"/>
                <w:sz w:val="20"/>
              </w:rPr>
            </w:pPr>
            <w:r w:rsidRPr="00361437">
              <w:rPr>
                <w:rFonts w:ascii="Arial" w:eastAsia="Times New Roman" w:hAnsi="Arial" w:cs="Arial"/>
                <w:sz w:val="20"/>
              </w:rPr>
              <w:t>12,327</w:t>
            </w:r>
          </w:p>
        </w:tc>
        <w:tc>
          <w:tcPr>
            <w:tcW w:w="308" w:type="pct"/>
            <w:tcMar>
              <w:top w:w="0" w:type="dxa"/>
              <w:left w:w="72" w:type="dxa"/>
              <w:bottom w:w="0" w:type="dxa"/>
              <w:right w:w="72" w:type="dxa"/>
            </w:tcMar>
            <w:vAlign w:val="center"/>
          </w:tcPr>
          <w:p w14:paraId="5C04732D" w14:textId="77777777" w:rsidR="00B91B22" w:rsidRPr="00361437" w:rsidRDefault="00B91B22" w:rsidP="00032E88">
            <w:pPr>
              <w:spacing w:line="256" w:lineRule="auto"/>
              <w:jc w:val="center"/>
              <w:rPr>
                <w:rFonts w:ascii="Arial" w:eastAsia="Calibri" w:hAnsi="Arial" w:cs="Arial"/>
                <w:color w:val="000000"/>
                <w:sz w:val="20"/>
              </w:rPr>
            </w:pPr>
          </w:p>
        </w:tc>
        <w:tc>
          <w:tcPr>
            <w:tcW w:w="99" w:type="pct"/>
            <w:tcMar>
              <w:top w:w="0" w:type="dxa"/>
              <w:left w:w="72" w:type="dxa"/>
              <w:bottom w:w="0" w:type="dxa"/>
              <w:right w:w="72" w:type="dxa"/>
            </w:tcMar>
            <w:vAlign w:val="center"/>
          </w:tcPr>
          <w:p w14:paraId="31C35A78" w14:textId="77777777" w:rsidR="00B91B22" w:rsidRPr="00361437" w:rsidRDefault="00B91B22" w:rsidP="00032E88">
            <w:pPr>
              <w:tabs>
                <w:tab w:val="decimal" w:pos="206"/>
              </w:tabs>
              <w:spacing w:line="256" w:lineRule="auto"/>
              <w:jc w:val="center"/>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388C54B7" w14:textId="0EC579D6" w:rsidR="00B91B22" w:rsidRPr="00361437" w:rsidRDefault="00B91B22" w:rsidP="00032E88">
            <w:pPr>
              <w:spacing w:line="256" w:lineRule="auto"/>
              <w:jc w:val="center"/>
              <w:rPr>
                <w:rFonts w:ascii="Arial" w:eastAsia="Calibri" w:hAnsi="Arial" w:cs="Arial"/>
                <w:color w:val="000000"/>
                <w:sz w:val="20"/>
              </w:rPr>
            </w:pPr>
            <w:r w:rsidRPr="00361437">
              <w:rPr>
                <w:rFonts w:ascii="Arial" w:eastAsia="Times New Roman" w:hAnsi="Arial" w:cs="Arial"/>
                <w:sz w:val="20"/>
              </w:rPr>
              <w:t>12,327</w:t>
            </w:r>
          </w:p>
        </w:tc>
        <w:tc>
          <w:tcPr>
            <w:tcW w:w="308" w:type="pct"/>
            <w:tcMar>
              <w:top w:w="0" w:type="dxa"/>
              <w:left w:w="72" w:type="dxa"/>
              <w:bottom w:w="0" w:type="dxa"/>
              <w:right w:w="72" w:type="dxa"/>
            </w:tcMar>
            <w:vAlign w:val="center"/>
          </w:tcPr>
          <w:p w14:paraId="7A9ABD34" w14:textId="77777777" w:rsidR="00B91B22" w:rsidRPr="00361437" w:rsidRDefault="00B91B22" w:rsidP="00032E88">
            <w:pPr>
              <w:tabs>
                <w:tab w:val="decimal" w:pos="206"/>
              </w:tabs>
              <w:spacing w:line="256" w:lineRule="auto"/>
              <w:jc w:val="center"/>
              <w:rPr>
                <w:rFonts w:ascii="Arial" w:eastAsia="Calibri" w:hAnsi="Arial" w:cs="Arial"/>
                <w:color w:val="000000"/>
                <w:sz w:val="20"/>
              </w:rPr>
            </w:pPr>
          </w:p>
        </w:tc>
        <w:tc>
          <w:tcPr>
            <w:tcW w:w="99" w:type="pct"/>
            <w:tcMar>
              <w:top w:w="0" w:type="dxa"/>
              <w:left w:w="72" w:type="dxa"/>
              <w:bottom w:w="0" w:type="dxa"/>
              <w:right w:w="72" w:type="dxa"/>
            </w:tcMar>
            <w:vAlign w:val="center"/>
          </w:tcPr>
          <w:p w14:paraId="1D597418" w14:textId="77777777" w:rsidR="00B91B22" w:rsidRPr="00361437" w:rsidRDefault="00B91B22" w:rsidP="00032E88">
            <w:pPr>
              <w:tabs>
                <w:tab w:val="decimal" w:pos="206"/>
              </w:tabs>
              <w:spacing w:line="256" w:lineRule="auto"/>
              <w:jc w:val="center"/>
              <w:rPr>
                <w:rFonts w:ascii="Arial" w:eastAsia="Calibri" w:hAnsi="Arial" w:cs="Arial"/>
                <w:color w:val="000000"/>
                <w:sz w:val="20"/>
              </w:rPr>
            </w:pPr>
          </w:p>
        </w:tc>
        <w:tc>
          <w:tcPr>
            <w:tcW w:w="391" w:type="pct"/>
            <w:tcMar>
              <w:top w:w="0" w:type="dxa"/>
              <w:left w:w="72" w:type="dxa"/>
              <w:bottom w:w="0" w:type="dxa"/>
              <w:right w:w="72" w:type="dxa"/>
            </w:tcMar>
            <w:vAlign w:val="center"/>
            <w:hideMark/>
          </w:tcPr>
          <w:p w14:paraId="0BC78E78" w14:textId="4C114FD5" w:rsidR="00B91B22" w:rsidRPr="00361437" w:rsidRDefault="00B91B22" w:rsidP="00032E88">
            <w:pPr>
              <w:spacing w:line="256" w:lineRule="auto"/>
              <w:jc w:val="center"/>
              <w:rPr>
                <w:rFonts w:ascii="Arial" w:eastAsia="Calibri" w:hAnsi="Arial" w:cs="Arial"/>
                <w:color w:val="000000"/>
                <w:sz w:val="20"/>
              </w:rPr>
            </w:pPr>
            <w:r w:rsidRPr="00361437">
              <w:rPr>
                <w:rFonts w:ascii="Arial" w:eastAsia="Times New Roman" w:hAnsi="Arial" w:cs="Arial"/>
                <w:sz w:val="20"/>
              </w:rPr>
              <w:t>12,327</w:t>
            </w:r>
          </w:p>
        </w:tc>
        <w:tc>
          <w:tcPr>
            <w:tcW w:w="308" w:type="pct"/>
            <w:tcMar>
              <w:top w:w="0" w:type="dxa"/>
              <w:left w:w="72" w:type="dxa"/>
              <w:bottom w:w="0" w:type="dxa"/>
              <w:right w:w="72" w:type="dxa"/>
            </w:tcMar>
            <w:vAlign w:val="center"/>
          </w:tcPr>
          <w:p w14:paraId="01B14B98" w14:textId="77777777" w:rsidR="00B91B22" w:rsidRPr="00361437" w:rsidRDefault="00B91B22" w:rsidP="00032E88">
            <w:pPr>
              <w:tabs>
                <w:tab w:val="decimal" w:pos="206"/>
              </w:tabs>
              <w:spacing w:line="256" w:lineRule="auto"/>
              <w:jc w:val="center"/>
              <w:rPr>
                <w:rFonts w:ascii="Arial" w:eastAsia="Calibri" w:hAnsi="Arial" w:cs="Arial"/>
                <w:color w:val="000000"/>
                <w:sz w:val="20"/>
              </w:rPr>
            </w:pPr>
          </w:p>
        </w:tc>
        <w:tc>
          <w:tcPr>
            <w:tcW w:w="99" w:type="pct"/>
            <w:tcMar>
              <w:top w:w="0" w:type="dxa"/>
              <w:left w:w="72" w:type="dxa"/>
              <w:bottom w:w="0" w:type="dxa"/>
              <w:right w:w="72" w:type="dxa"/>
            </w:tcMar>
            <w:vAlign w:val="center"/>
          </w:tcPr>
          <w:p w14:paraId="09ADA9F7" w14:textId="77777777" w:rsidR="00B91B22" w:rsidRPr="00361437" w:rsidRDefault="00B91B22" w:rsidP="00032E88">
            <w:pPr>
              <w:tabs>
                <w:tab w:val="decimal" w:pos="206"/>
              </w:tabs>
              <w:spacing w:line="256" w:lineRule="auto"/>
              <w:jc w:val="center"/>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665E0E7F" w14:textId="10EE349D" w:rsidR="00B91B22" w:rsidRPr="00361437" w:rsidRDefault="00B91B22" w:rsidP="00032E88">
            <w:pPr>
              <w:spacing w:line="256" w:lineRule="auto"/>
              <w:jc w:val="center"/>
              <w:rPr>
                <w:rFonts w:ascii="Arial" w:eastAsia="Calibri" w:hAnsi="Arial" w:cs="Arial"/>
                <w:color w:val="000000"/>
                <w:sz w:val="20"/>
              </w:rPr>
            </w:pPr>
            <w:r w:rsidRPr="00361437">
              <w:rPr>
                <w:rFonts w:ascii="Arial" w:eastAsia="Times New Roman" w:hAnsi="Arial" w:cs="Arial"/>
                <w:sz w:val="20"/>
              </w:rPr>
              <w:t>12,327</w:t>
            </w:r>
          </w:p>
        </w:tc>
        <w:tc>
          <w:tcPr>
            <w:tcW w:w="308" w:type="pct"/>
            <w:noWrap/>
            <w:tcMar>
              <w:top w:w="0" w:type="dxa"/>
              <w:left w:w="72" w:type="dxa"/>
              <w:bottom w:w="0" w:type="dxa"/>
              <w:right w:w="72" w:type="dxa"/>
            </w:tcMar>
            <w:vAlign w:val="center"/>
            <w:hideMark/>
          </w:tcPr>
          <w:p w14:paraId="415EFD96" w14:textId="77777777" w:rsidR="00B91B22" w:rsidRPr="00361437" w:rsidRDefault="00B91B22" w:rsidP="00032E88">
            <w:pPr>
              <w:rPr>
                <w:rFonts w:ascii="Arial" w:eastAsia="Calibri" w:hAnsi="Arial" w:cs="Arial"/>
                <w:color w:val="000000"/>
                <w:sz w:val="20"/>
              </w:rPr>
            </w:pPr>
          </w:p>
        </w:tc>
        <w:tc>
          <w:tcPr>
            <w:tcW w:w="99" w:type="pct"/>
            <w:tcMar>
              <w:top w:w="0" w:type="dxa"/>
              <w:left w:w="72" w:type="dxa"/>
              <w:bottom w:w="0" w:type="dxa"/>
              <w:right w:w="72" w:type="dxa"/>
            </w:tcMar>
            <w:vAlign w:val="center"/>
          </w:tcPr>
          <w:p w14:paraId="74333DC7" w14:textId="77777777" w:rsidR="00B91B22" w:rsidRPr="00361437" w:rsidRDefault="00B91B22" w:rsidP="00032E88">
            <w:pPr>
              <w:tabs>
                <w:tab w:val="decimal" w:pos="206"/>
              </w:tabs>
              <w:spacing w:line="256" w:lineRule="auto"/>
              <w:jc w:val="center"/>
              <w:rPr>
                <w:rFonts w:ascii="Arial" w:eastAsia="Calibri" w:hAnsi="Arial" w:cs="Arial"/>
                <w:color w:val="000000"/>
                <w:sz w:val="20"/>
              </w:rPr>
            </w:pPr>
          </w:p>
        </w:tc>
        <w:tc>
          <w:tcPr>
            <w:tcW w:w="391" w:type="pct"/>
            <w:noWrap/>
            <w:tcMar>
              <w:top w:w="0" w:type="dxa"/>
              <w:left w:w="72" w:type="dxa"/>
              <w:bottom w:w="0" w:type="dxa"/>
              <w:right w:w="72" w:type="dxa"/>
            </w:tcMar>
            <w:vAlign w:val="center"/>
            <w:hideMark/>
          </w:tcPr>
          <w:p w14:paraId="6CD5F6C6" w14:textId="4DFF5A5A" w:rsidR="00B91B22" w:rsidRPr="00361437" w:rsidRDefault="00B91B22" w:rsidP="00032E88">
            <w:pPr>
              <w:spacing w:line="256" w:lineRule="auto"/>
              <w:jc w:val="center"/>
              <w:rPr>
                <w:rFonts w:ascii="Arial" w:eastAsia="Calibri" w:hAnsi="Arial" w:cs="Arial"/>
                <w:color w:val="000000"/>
                <w:sz w:val="20"/>
              </w:rPr>
            </w:pPr>
            <w:r w:rsidRPr="00361437">
              <w:rPr>
                <w:rFonts w:ascii="Arial" w:eastAsia="Times New Roman" w:hAnsi="Arial" w:cs="Arial"/>
                <w:sz w:val="20"/>
              </w:rPr>
              <w:t>12,327</w:t>
            </w:r>
          </w:p>
        </w:tc>
        <w:tc>
          <w:tcPr>
            <w:tcW w:w="321" w:type="pct"/>
            <w:noWrap/>
            <w:tcMar>
              <w:left w:w="72" w:type="dxa"/>
              <w:right w:w="72" w:type="dxa"/>
            </w:tcMar>
            <w:vAlign w:val="center"/>
            <w:hideMark/>
          </w:tcPr>
          <w:p w14:paraId="6768F0F4" w14:textId="77777777" w:rsidR="00B91B22" w:rsidRPr="00361437" w:rsidRDefault="00B91B22" w:rsidP="00032E88">
            <w:pPr>
              <w:rPr>
                <w:rFonts w:ascii="Arial" w:eastAsia="Calibri" w:hAnsi="Arial" w:cs="Arial"/>
                <w:color w:val="000000"/>
                <w:sz w:val="20"/>
              </w:rPr>
            </w:pPr>
          </w:p>
        </w:tc>
      </w:tr>
      <w:tr w:rsidR="00505A3D" w:rsidRPr="00361437" w14:paraId="558D6686" w14:textId="77777777" w:rsidTr="004F27B4">
        <w:trPr>
          <w:trHeight w:val="288"/>
        </w:trPr>
        <w:tc>
          <w:tcPr>
            <w:tcW w:w="1096" w:type="pct"/>
            <w:tcBorders>
              <w:top w:val="nil"/>
              <w:left w:val="nil"/>
              <w:bottom w:val="single" w:sz="4" w:space="0" w:color="auto"/>
              <w:right w:val="nil"/>
            </w:tcBorders>
            <w:noWrap/>
            <w:tcMar>
              <w:left w:w="72" w:type="dxa"/>
              <w:right w:w="72" w:type="dxa"/>
            </w:tcMar>
            <w:vAlign w:val="center"/>
            <w:hideMark/>
          </w:tcPr>
          <w:p w14:paraId="10BE802E" w14:textId="77777777" w:rsidR="00B91B22" w:rsidRPr="00361437" w:rsidRDefault="00B91B22" w:rsidP="00032E88">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Adjusted R</w:t>
            </w:r>
            <w:r w:rsidRPr="00361437">
              <w:rPr>
                <w:rFonts w:ascii="Arial" w:eastAsia="Times New Roman" w:hAnsi="Arial" w:cs="Arial"/>
                <w:sz w:val="18"/>
                <w:vertAlign w:val="superscript"/>
              </w:rPr>
              <w:t>2</w:t>
            </w:r>
          </w:p>
        </w:tc>
        <w:tc>
          <w:tcPr>
            <w:tcW w:w="391" w:type="pct"/>
            <w:tcBorders>
              <w:top w:val="nil"/>
              <w:left w:val="nil"/>
              <w:bottom w:val="single" w:sz="4" w:space="0" w:color="auto"/>
              <w:right w:val="nil"/>
            </w:tcBorders>
            <w:tcMar>
              <w:top w:w="0" w:type="dxa"/>
              <w:left w:w="72" w:type="dxa"/>
              <w:bottom w:w="0" w:type="dxa"/>
              <w:right w:w="72" w:type="dxa"/>
            </w:tcMar>
            <w:vAlign w:val="center"/>
            <w:hideMark/>
          </w:tcPr>
          <w:p w14:paraId="77482406" w14:textId="42A7D58E" w:rsidR="00B91B22" w:rsidRPr="00361437" w:rsidRDefault="00B91B22"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0.3</w:t>
            </w:r>
            <w:r w:rsidR="00E051F4" w:rsidRPr="00361437">
              <w:rPr>
                <w:rFonts w:ascii="Arial" w:eastAsia="Calibri" w:hAnsi="Arial" w:cs="Arial"/>
                <w:color w:val="000000"/>
                <w:sz w:val="20"/>
              </w:rPr>
              <w:t>621</w:t>
            </w:r>
          </w:p>
        </w:tc>
        <w:tc>
          <w:tcPr>
            <w:tcW w:w="308" w:type="pct"/>
            <w:tcBorders>
              <w:top w:val="nil"/>
              <w:left w:val="nil"/>
              <w:bottom w:val="single" w:sz="4" w:space="0" w:color="auto"/>
              <w:right w:val="nil"/>
            </w:tcBorders>
            <w:tcMar>
              <w:top w:w="0" w:type="dxa"/>
              <w:left w:w="72" w:type="dxa"/>
              <w:bottom w:w="0" w:type="dxa"/>
              <w:right w:w="72" w:type="dxa"/>
            </w:tcMar>
            <w:vAlign w:val="center"/>
          </w:tcPr>
          <w:p w14:paraId="259AE6AE" w14:textId="77777777" w:rsidR="00B91B22" w:rsidRPr="00361437" w:rsidRDefault="00B91B22" w:rsidP="00032E88">
            <w:pPr>
              <w:spacing w:line="256" w:lineRule="auto"/>
              <w:jc w:val="center"/>
              <w:rPr>
                <w:rFonts w:ascii="Arial" w:eastAsia="Calibri" w:hAnsi="Arial" w:cs="Arial"/>
                <w:color w:val="000000"/>
                <w:sz w:val="20"/>
              </w:rPr>
            </w:pPr>
          </w:p>
        </w:tc>
        <w:tc>
          <w:tcPr>
            <w:tcW w:w="99" w:type="pct"/>
            <w:tcBorders>
              <w:top w:val="nil"/>
              <w:left w:val="nil"/>
              <w:bottom w:val="single" w:sz="4" w:space="0" w:color="auto"/>
              <w:right w:val="nil"/>
            </w:tcBorders>
            <w:tcMar>
              <w:top w:w="0" w:type="dxa"/>
              <w:left w:w="72" w:type="dxa"/>
              <w:bottom w:w="0" w:type="dxa"/>
              <w:right w:w="72" w:type="dxa"/>
            </w:tcMar>
            <w:vAlign w:val="center"/>
          </w:tcPr>
          <w:p w14:paraId="42905549" w14:textId="77777777" w:rsidR="00B91B22" w:rsidRPr="00361437" w:rsidRDefault="00B91B22" w:rsidP="00032E88">
            <w:pPr>
              <w:tabs>
                <w:tab w:val="decimal" w:pos="206"/>
              </w:tabs>
              <w:spacing w:line="256" w:lineRule="auto"/>
              <w:jc w:val="center"/>
              <w:rPr>
                <w:rFonts w:ascii="Arial" w:eastAsia="Calibri" w:hAnsi="Arial" w:cs="Arial"/>
                <w:color w:val="000000"/>
                <w:sz w:val="20"/>
              </w:rPr>
            </w:pPr>
          </w:p>
        </w:tc>
        <w:tc>
          <w:tcPr>
            <w:tcW w:w="391" w:type="pct"/>
            <w:tcBorders>
              <w:top w:val="nil"/>
              <w:left w:val="nil"/>
              <w:bottom w:val="single" w:sz="4" w:space="0" w:color="auto"/>
              <w:right w:val="nil"/>
            </w:tcBorders>
            <w:tcMar>
              <w:top w:w="0" w:type="dxa"/>
              <w:left w:w="72" w:type="dxa"/>
              <w:bottom w:w="0" w:type="dxa"/>
              <w:right w:w="72" w:type="dxa"/>
            </w:tcMar>
            <w:vAlign w:val="center"/>
            <w:hideMark/>
          </w:tcPr>
          <w:p w14:paraId="2D42FD57" w14:textId="20D7F733" w:rsidR="00B91B22" w:rsidRPr="00361437" w:rsidRDefault="00B91B22"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0.0</w:t>
            </w:r>
            <w:r w:rsidR="00E051F4" w:rsidRPr="00361437">
              <w:rPr>
                <w:rFonts w:ascii="Arial" w:eastAsia="Calibri" w:hAnsi="Arial" w:cs="Arial"/>
                <w:color w:val="000000"/>
                <w:sz w:val="20"/>
              </w:rPr>
              <w:t>397</w:t>
            </w:r>
          </w:p>
        </w:tc>
        <w:tc>
          <w:tcPr>
            <w:tcW w:w="308" w:type="pct"/>
            <w:tcBorders>
              <w:top w:val="nil"/>
              <w:left w:val="nil"/>
              <w:bottom w:val="single" w:sz="4" w:space="0" w:color="auto"/>
              <w:right w:val="nil"/>
            </w:tcBorders>
            <w:tcMar>
              <w:top w:w="0" w:type="dxa"/>
              <w:left w:w="72" w:type="dxa"/>
              <w:bottom w:w="0" w:type="dxa"/>
              <w:right w:w="72" w:type="dxa"/>
            </w:tcMar>
            <w:vAlign w:val="center"/>
          </w:tcPr>
          <w:p w14:paraId="7DFDB331" w14:textId="77777777" w:rsidR="00B91B22" w:rsidRPr="00361437" w:rsidRDefault="00B91B22" w:rsidP="00032E88">
            <w:pPr>
              <w:tabs>
                <w:tab w:val="decimal" w:pos="206"/>
              </w:tabs>
              <w:spacing w:line="256" w:lineRule="auto"/>
              <w:jc w:val="center"/>
              <w:rPr>
                <w:rFonts w:ascii="Arial" w:eastAsia="Calibri" w:hAnsi="Arial" w:cs="Arial"/>
                <w:color w:val="000000"/>
                <w:sz w:val="20"/>
              </w:rPr>
            </w:pPr>
          </w:p>
        </w:tc>
        <w:tc>
          <w:tcPr>
            <w:tcW w:w="99" w:type="pct"/>
            <w:tcBorders>
              <w:top w:val="nil"/>
              <w:left w:val="nil"/>
              <w:bottom w:val="single" w:sz="4" w:space="0" w:color="auto"/>
              <w:right w:val="nil"/>
            </w:tcBorders>
            <w:tcMar>
              <w:top w:w="0" w:type="dxa"/>
              <w:left w:w="72" w:type="dxa"/>
              <w:bottom w:w="0" w:type="dxa"/>
              <w:right w:w="72" w:type="dxa"/>
            </w:tcMar>
            <w:vAlign w:val="center"/>
          </w:tcPr>
          <w:p w14:paraId="08D04EAC" w14:textId="77777777" w:rsidR="00B91B22" w:rsidRPr="00361437" w:rsidRDefault="00B91B22" w:rsidP="00032E88">
            <w:pPr>
              <w:tabs>
                <w:tab w:val="decimal" w:pos="206"/>
              </w:tabs>
              <w:spacing w:line="256" w:lineRule="auto"/>
              <w:jc w:val="center"/>
              <w:rPr>
                <w:rFonts w:ascii="Arial" w:eastAsia="Calibri" w:hAnsi="Arial" w:cs="Arial"/>
                <w:color w:val="000000"/>
                <w:sz w:val="20"/>
              </w:rPr>
            </w:pPr>
          </w:p>
        </w:tc>
        <w:tc>
          <w:tcPr>
            <w:tcW w:w="391" w:type="pct"/>
            <w:tcBorders>
              <w:top w:val="nil"/>
              <w:left w:val="nil"/>
              <w:bottom w:val="single" w:sz="4" w:space="0" w:color="auto"/>
              <w:right w:val="nil"/>
            </w:tcBorders>
            <w:tcMar>
              <w:top w:w="0" w:type="dxa"/>
              <w:left w:w="72" w:type="dxa"/>
              <w:bottom w:w="0" w:type="dxa"/>
              <w:right w:w="72" w:type="dxa"/>
            </w:tcMar>
            <w:vAlign w:val="center"/>
            <w:hideMark/>
          </w:tcPr>
          <w:p w14:paraId="3A66D74E" w14:textId="30B88396" w:rsidR="00B91B22" w:rsidRPr="00361437" w:rsidRDefault="00B91B22"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0.01</w:t>
            </w:r>
            <w:r w:rsidR="00FA0709" w:rsidRPr="00361437">
              <w:rPr>
                <w:rFonts w:ascii="Arial" w:eastAsia="Calibri" w:hAnsi="Arial" w:cs="Arial"/>
                <w:color w:val="000000"/>
                <w:sz w:val="20"/>
              </w:rPr>
              <w:t>86</w:t>
            </w:r>
          </w:p>
        </w:tc>
        <w:tc>
          <w:tcPr>
            <w:tcW w:w="308" w:type="pct"/>
            <w:tcBorders>
              <w:top w:val="nil"/>
              <w:left w:val="nil"/>
              <w:bottom w:val="single" w:sz="4" w:space="0" w:color="auto"/>
              <w:right w:val="nil"/>
            </w:tcBorders>
            <w:tcMar>
              <w:top w:w="0" w:type="dxa"/>
              <w:left w:w="72" w:type="dxa"/>
              <w:bottom w:w="0" w:type="dxa"/>
              <w:right w:w="72" w:type="dxa"/>
            </w:tcMar>
            <w:vAlign w:val="center"/>
          </w:tcPr>
          <w:p w14:paraId="165E955E" w14:textId="77777777" w:rsidR="00B91B22" w:rsidRPr="00361437" w:rsidRDefault="00B91B22" w:rsidP="00032E88">
            <w:pPr>
              <w:tabs>
                <w:tab w:val="decimal" w:pos="206"/>
              </w:tabs>
              <w:spacing w:line="256" w:lineRule="auto"/>
              <w:jc w:val="center"/>
              <w:rPr>
                <w:rFonts w:ascii="Arial" w:eastAsia="Calibri" w:hAnsi="Arial" w:cs="Arial"/>
                <w:color w:val="000000"/>
                <w:sz w:val="20"/>
              </w:rPr>
            </w:pPr>
          </w:p>
        </w:tc>
        <w:tc>
          <w:tcPr>
            <w:tcW w:w="99" w:type="pct"/>
            <w:tcBorders>
              <w:top w:val="nil"/>
              <w:left w:val="nil"/>
              <w:bottom w:val="single" w:sz="4" w:space="0" w:color="auto"/>
              <w:right w:val="nil"/>
            </w:tcBorders>
            <w:tcMar>
              <w:top w:w="0" w:type="dxa"/>
              <w:left w:w="72" w:type="dxa"/>
              <w:bottom w:w="0" w:type="dxa"/>
              <w:right w:w="72" w:type="dxa"/>
            </w:tcMar>
            <w:vAlign w:val="center"/>
          </w:tcPr>
          <w:p w14:paraId="4594FC4F" w14:textId="77777777" w:rsidR="00B91B22" w:rsidRPr="00361437" w:rsidRDefault="00B91B22" w:rsidP="00032E88">
            <w:pPr>
              <w:tabs>
                <w:tab w:val="decimal" w:pos="206"/>
              </w:tabs>
              <w:spacing w:line="256" w:lineRule="auto"/>
              <w:jc w:val="center"/>
              <w:rPr>
                <w:rFonts w:ascii="Arial" w:eastAsia="Calibri" w:hAnsi="Arial" w:cs="Arial"/>
                <w:color w:val="000000"/>
                <w:sz w:val="20"/>
              </w:rPr>
            </w:pPr>
          </w:p>
        </w:tc>
        <w:tc>
          <w:tcPr>
            <w:tcW w:w="391" w:type="pct"/>
            <w:tcBorders>
              <w:top w:val="nil"/>
              <w:left w:val="nil"/>
              <w:bottom w:val="single" w:sz="4" w:space="0" w:color="auto"/>
              <w:right w:val="nil"/>
            </w:tcBorders>
            <w:noWrap/>
            <w:tcMar>
              <w:top w:w="0" w:type="dxa"/>
              <w:left w:w="72" w:type="dxa"/>
              <w:bottom w:w="0" w:type="dxa"/>
              <w:right w:w="72" w:type="dxa"/>
            </w:tcMar>
            <w:vAlign w:val="center"/>
            <w:hideMark/>
          </w:tcPr>
          <w:p w14:paraId="7FA02F46" w14:textId="5027F7B7" w:rsidR="00B91B22" w:rsidRPr="00361437" w:rsidRDefault="00B91B22"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0.0</w:t>
            </w:r>
            <w:r w:rsidR="00FA0709" w:rsidRPr="00361437">
              <w:rPr>
                <w:rFonts w:ascii="Arial" w:eastAsia="Calibri" w:hAnsi="Arial" w:cs="Arial"/>
                <w:color w:val="000000"/>
                <w:sz w:val="20"/>
              </w:rPr>
              <w:t>742</w:t>
            </w:r>
          </w:p>
        </w:tc>
        <w:tc>
          <w:tcPr>
            <w:tcW w:w="308" w:type="pct"/>
            <w:tcBorders>
              <w:top w:val="nil"/>
              <w:left w:val="nil"/>
              <w:bottom w:val="single" w:sz="4" w:space="0" w:color="auto"/>
              <w:right w:val="nil"/>
            </w:tcBorders>
            <w:noWrap/>
            <w:tcMar>
              <w:top w:w="0" w:type="dxa"/>
              <w:left w:w="72" w:type="dxa"/>
              <w:bottom w:w="0" w:type="dxa"/>
              <w:right w:w="72" w:type="dxa"/>
            </w:tcMar>
            <w:vAlign w:val="center"/>
          </w:tcPr>
          <w:p w14:paraId="3F4282B2" w14:textId="77777777" w:rsidR="00B91B22" w:rsidRPr="00361437" w:rsidRDefault="00B91B22" w:rsidP="00032E88">
            <w:pPr>
              <w:tabs>
                <w:tab w:val="decimal" w:pos="206"/>
              </w:tabs>
              <w:spacing w:line="256" w:lineRule="auto"/>
              <w:jc w:val="center"/>
              <w:rPr>
                <w:rFonts w:ascii="Arial" w:eastAsia="Calibri" w:hAnsi="Arial" w:cs="Arial"/>
                <w:color w:val="000000"/>
                <w:sz w:val="20"/>
              </w:rPr>
            </w:pPr>
          </w:p>
        </w:tc>
        <w:tc>
          <w:tcPr>
            <w:tcW w:w="99" w:type="pct"/>
            <w:tcBorders>
              <w:top w:val="nil"/>
              <w:left w:val="nil"/>
              <w:bottom w:val="single" w:sz="4" w:space="0" w:color="auto"/>
              <w:right w:val="nil"/>
            </w:tcBorders>
            <w:tcMar>
              <w:top w:w="0" w:type="dxa"/>
              <w:left w:w="72" w:type="dxa"/>
              <w:bottom w:w="0" w:type="dxa"/>
              <w:right w:w="72" w:type="dxa"/>
            </w:tcMar>
            <w:vAlign w:val="center"/>
          </w:tcPr>
          <w:p w14:paraId="759CC0A6" w14:textId="77777777" w:rsidR="00B91B22" w:rsidRPr="00361437" w:rsidRDefault="00B91B22" w:rsidP="00032E88">
            <w:pPr>
              <w:tabs>
                <w:tab w:val="decimal" w:pos="206"/>
              </w:tabs>
              <w:spacing w:line="256" w:lineRule="auto"/>
              <w:jc w:val="center"/>
              <w:rPr>
                <w:rFonts w:ascii="Arial" w:eastAsia="Calibri" w:hAnsi="Arial" w:cs="Arial"/>
                <w:color w:val="000000"/>
                <w:sz w:val="20"/>
              </w:rPr>
            </w:pPr>
          </w:p>
        </w:tc>
        <w:tc>
          <w:tcPr>
            <w:tcW w:w="391" w:type="pct"/>
            <w:tcBorders>
              <w:top w:val="nil"/>
              <w:left w:val="nil"/>
              <w:bottom w:val="single" w:sz="4" w:space="0" w:color="auto"/>
              <w:right w:val="nil"/>
            </w:tcBorders>
            <w:noWrap/>
            <w:tcMar>
              <w:top w:w="0" w:type="dxa"/>
              <w:left w:w="72" w:type="dxa"/>
              <w:bottom w:w="0" w:type="dxa"/>
              <w:right w:w="72" w:type="dxa"/>
            </w:tcMar>
            <w:vAlign w:val="center"/>
            <w:hideMark/>
          </w:tcPr>
          <w:p w14:paraId="1997A647" w14:textId="60DC8818" w:rsidR="00B91B22" w:rsidRPr="00361437" w:rsidRDefault="00B91B22"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0.1</w:t>
            </w:r>
            <w:r w:rsidR="00FA0709" w:rsidRPr="00361437">
              <w:rPr>
                <w:rFonts w:ascii="Arial" w:eastAsia="Calibri" w:hAnsi="Arial" w:cs="Arial"/>
                <w:color w:val="000000"/>
                <w:sz w:val="20"/>
              </w:rPr>
              <w:t>621</w:t>
            </w:r>
          </w:p>
        </w:tc>
        <w:tc>
          <w:tcPr>
            <w:tcW w:w="321" w:type="pct"/>
            <w:tcBorders>
              <w:top w:val="nil"/>
              <w:left w:val="nil"/>
              <w:bottom w:val="single" w:sz="4" w:space="0" w:color="auto"/>
              <w:right w:val="nil"/>
            </w:tcBorders>
            <w:noWrap/>
            <w:tcMar>
              <w:left w:w="72" w:type="dxa"/>
              <w:right w:w="72" w:type="dxa"/>
            </w:tcMar>
            <w:vAlign w:val="center"/>
          </w:tcPr>
          <w:p w14:paraId="69D2C2F0" w14:textId="77777777" w:rsidR="00B91B22" w:rsidRPr="00361437" w:rsidRDefault="00B91B22" w:rsidP="00032E88">
            <w:pPr>
              <w:tabs>
                <w:tab w:val="decimal" w:pos="206"/>
              </w:tabs>
              <w:spacing w:line="256" w:lineRule="auto"/>
              <w:jc w:val="center"/>
              <w:rPr>
                <w:rFonts w:ascii="Arial" w:eastAsia="Calibri" w:hAnsi="Arial" w:cs="Arial"/>
                <w:color w:val="000000"/>
                <w:sz w:val="20"/>
              </w:rPr>
            </w:pPr>
          </w:p>
        </w:tc>
      </w:tr>
    </w:tbl>
    <w:p w14:paraId="2CA30DC1" w14:textId="77777777" w:rsidR="00032E88" w:rsidRPr="00361437" w:rsidRDefault="00032E88" w:rsidP="00032E88">
      <w:pPr>
        <w:jc w:val="both"/>
        <w:rPr>
          <w:rFonts w:ascii="Arial" w:eastAsia="Calibri" w:hAnsi="Arial" w:cs="Arial"/>
          <w:sz w:val="20"/>
        </w:rPr>
      </w:pPr>
    </w:p>
    <w:p w14:paraId="06536E3F" w14:textId="77777777" w:rsidR="00032E88" w:rsidRPr="00361437" w:rsidRDefault="00032E88" w:rsidP="00032E88">
      <w:pPr>
        <w:jc w:val="both"/>
        <w:rPr>
          <w:rFonts w:ascii="Arial" w:eastAsia="Calibri" w:hAnsi="Arial" w:cs="Arial"/>
          <w:sz w:val="20"/>
        </w:rPr>
      </w:pPr>
    </w:p>
    <w:p w14:paraId="52F2EDD9" w14:textId="77777777" w:rsidR="002C6D89" w:rsidRPr="00361437" w:rsidRDefault="002C6D89" w:rsidP="00032E88">
      <w:pPr>
        <w:rPr>
          <w:rFonts w:ascii="Arial" w:eastAsia="Calibri" w:hAnsi="Arial" w:cs="Arial"/>
          <w:sz w:val="20"/>
        </w:rPr>
      </w:pPr>
    </w:p>
    <w:p w14:paraId="60AE1827" w14:textId="77777777" w:rsidR="0019714B" w:rsidRPr="00361437" w:rsidRDefault="0019714B">
      <w:pPr>
        <w:rPr>
          <w:rFonts w:ascii="Arial" w:hAnsi="Arial" w:cs="Arial"/>
          <w:sz w:val="20"/>
        </w:rPr>
      </w:pPr>
    </w:p>
    <w:p w14:paraId="1B9E11EC" w14:textId="77777777" w:rsidR="00CA5788" w:rsidRPr="00361437" w:rsidRDefault="00CA5788">
      <w:pPr>
        <w:rPr>
          <w:rFonts w:ascii="Arial" w:hAnsi="Arial" w:cs="Arial"/>
          <w:sz w:val="20"/>
        </w:rPr>
      </w:pPr>
      <w:r w:rsidRPr="00361437">
        <w:rPr>
          <w:rFonts w:ascii="Arial" w:hAnsi="Arial" w:cs="Arial"/>
          <w:sz w:val="20"/>
        </w:rPr>
        <w:br w:type="page"/>
      </w:r>
    </w:p>
    <w:tbl>
      <w:tblPr>
        <w:tblW w:w="14148" w:type="dxa"/>
        <w:tblLayout w:type="fixed"/>
        <w:tblLook w:val="04A0" w:firstRow="1" w:lastRow="0" w:firstColumn="1" w:lastColumn="0" w:noHBand="0" w:noVBand="1"/>
      </w:tblPr>
      <w:tblGrid>
        <w:gridCol w:w="4076"/>
        <w:gridCol w:w="995"/>
        <w:gridCol w:w="783"/>
        <w:gridCol w:w="250"/>
        <w:gridCol w:w="996"/>
        <w:gridCol w:w="784"/>
        <w:gridCol w:w="250"/>
        <w:gridCol w:w="996"/>
        <w:gridCol w:w="784"/>
        <w:gridCol w:w="250"/>
        <w:gridCol w:w="996"/>
        <w:gridCol w:w="786"/>
        <w:gridCol w:w="250"/>
        <w:gridCol w:w="996"/>
        <w:gridCol w:w="956"/>
      </w:tblGrid>
      <w:tr w:rsidR="0019714B" w:rsidRPr="00361437" w14:paraId="117B6B95" w14:textId="77777777" w:rsidTr="006F39AD">
        <w:trPr>
          <w:trHeight w:val="360"/>
        </w:trPr>
        <w:tc>
          <w:tcPr>
            <w:tcW w:w="14148" w:type="dxa"/>
            <w:gridSpan w:val="15"/>
            <w:tcBorders>
              <w:left w:val="nil"/>
              <w:bottom w:val="nil"/>
              <w:right w:val="nil"/>
            </w:tcBorders>
            <w:noWrap/>
            <w:vAlign w:val="center"/>
            <w:hideMark/>
          </w:tcPr>
          <w:p w14:paraId="11E17613" w14:textId="34BEED30" w:rsidR="0019714B" w:rsidRPr="00361437" w:rsidRDefault="0019714B" w:rsidP="0019714B">
            <w:pPr>
              <w:spacing w:line="256" w:lineRule="auto"/>
              <w:rPr>
                <w:rFonts w:ascii="Arial" w:eastAsia="Times New Roman" w:hAnsi="Arial" w:cs="Arial"/>
                <w:bCs/>
                <w:i/>
                <w:sz w:val="20"/>
                <w:lang w:val="vi-VN"/>
              </w:rPr>
            </w:pPr>
            <w:r w:rsidRPr="00361437">
              <w:rPr>
                <w:rFonts w:ascii="Arial" w:eastAsia="Times New Roman" w:hAnsi="Arial" w:cs="Arial"/>
                <w:bCs/>
                <w:i/>
                <w:sz w:val="20"/>
                <w:lang w:val="vi-VN"/>
              </w:rPr>
              <w:lastRenderedPageBreak/>
              <w:t xml:space="preserve">Panel </w:t>
            </w:r>
            <w:r w:rsidRPr="00361437">
              <w:rPr>
                <w:rFonts w:ascii="Arial" w:eastAsia="Times New Roman" w:hAnsi="Arial" w:cs="Arial"/>
                <w:bCs/>
                <w:i/>
                <w:sz w:val="20"/>
                <w:lang w:val="en-GB"/>
              </w:rPr>
              <w:t>C</w:t>
            </w:r>
            <w:r w:rsidRPr="00361437">
              <w:rPr>
                <w:rFonts w:ascii="Arial" w:eastAsia="Times New Roman" w:hAnsi="Arial" w:cs="Arial"/>
                <w:bCs/>
                <w:i/>
                <w:sz w:val="20"/>
                <w:lang w:val="vi-VN"/>
              </w:rPr>
              <w:t>: The effects of voting on firm policy</w:t>
            </w:r>
          </w:p>
        </w:tc>
      </w:tr>
      <w:tr w:rsidR="00505A3D" w:rsidRPr="00361437" w14:paraId="6DF4B2B9" w14:textId="77777777" w:rsidTr="00CA5788">
        <w:tc>
          <w:tcPr>
            <w:tcW w:w="4076" w:type="dxa"/>
            <w:tcBorders>
              <w:top w:val="single" w:sz="4" w:space="0" w:color="auto"/>
              <w:left w:val="nil"/>
              <w:bottom w:val="nil"/>
              <w:right w:val="nil"/>
            </w:tcBorders>
            <w:noWrap/>
            <w:vAlign w:val="center"/>
          </w:tcPr>
          <w:p w14:paraId="767C79EA" w14:textId="00115A39" w:rsidR="00505A3D" w:rsidRPr="00361437" w:rsidRDefault="00505A3D" w:rsidP="00505A3D">
            <w:pPr>
              <w:spacing w:line="256" w:lineRule="auto"/>
              <w:rPr>
                <w:rFonts w:ascii="Arial" w:eastAsia="Times New Roman" w:hAnsi="Arial" w:cs="Arial"/>
                <w:sz w:val="20"/>
              </w:rPr>
            </w:pPr>
            <w:r w:rsidRPr="00361437">
              <w:rPr>
                <w:rFonts w:ascii="Arial" w:hAnsi="Arial" w:cs="Arial"/>
                <w:sz w:val="20"/>
              </w:rPr>
              <w:br w:type="page"/>
            </w:r>
          </w:p>
          <w:p w14:paraId="54F7849D" w14:textId="0C6AC10B" w:rsidR="00505A3D" w:rsidRPr="00361437" w:rsidRDefault="00505A3D" w:rsidP="00505A3D">
            <w:pPr>
              <w:spacing w:line="256" w:lineRule="auto"/>
              <w:rPr>
                <w:rFonts w:ascii="Arial" w:eastAsia="Times New Roman" w:hAnsi="Arial" w:cs="Arial"/>
                <w:sz w:val="20"/>
              </w:rPr>
            </w:pPr>
          </w:p>
        </w:tc>
        <w:tc>
          <w:tcPr>
            <w:tcW w:w="1778" w:type="dxa"/>
            <w:gridSpan w:val="2"/>
            <w:tcBorders>
              <w:top w:val="single" w:sz="4" w:space="0" w:color="auto"/>
              <w:left w:val="nil"/>
              <w:bottom w:val="single" w:sz="4" w:space="0" w:color="auto"/>
              <w:right w:val="nil"/>
            </w:tcBorders>
            <w:tcMar>
              <w:top w:w="0" w:type="dxa"/>
              <w:left w:w="14" w:type="dxa"/>
              <w:bottom w:w="0" w:type="dxa"/>
              <w:right w:w="14" w:type="dxa"/>
            </w:tcMar>
            <w:vAlign w:val="center"/>
            <w:hideMark/>
          </w:tcPr>
          <w:p w14:paraId="17924FBC" w14:textId="77777777" w:rsidR="00505A3D" w:rsidRPr="00361437" w:rsidRDefault="00505A3D" w:rsidP="00505A3D">
            <w:pPr>
              <w:spacing w:line="256" w:lineRule="auto"/>
              <w:jc w:val="center"/>
              <w:rPr>
                <w:rFonts w:ascii="Arial" w:eastAsia="Times New Roman" w:hAnsi="Arial" w:cs="Arial"/>
                <w:sz w:val="20"/>
              </w:rPr>
            </w:pPr>
            <w:r w:rsidRPr="00361437">
              <w:rPr>
                <w:rFonts w:ascii="Arial" w:eastAsia="Times New Roman" w:hAnsi="Arial" w:cs="Arial"/>
                <w:sz w:val="20"/>
              </w:rPr>
              <w:t>Model 1</w:t>
            </w:r>
          </w:p>
          <w:p w14:paraId="4ED14BA1" w14:textId="6309B011" w:rsidR="00505A3D" w:rsidRPr="00361437" w:rsidRDefault="00505A3D" w:rsidP="00505A3D">
            <w:pPr>
              <w:spacing w:line="256" w:lineRule="auto"/>
              <w:jc w:val="center"/>
              <w:rPr>
                <w:rFonts w:ascii="Arial" w:eastAsia="Times New Roman" w:hAnsi="Arial" w:cs="Arial"/>
                <w:sz w:val="20"/>
              </w:rPr>
            </w:pPr>
            <w:r w:rsidRPr="00361437">
              <w:rPr>
                <w:rFonts w:ascii="Arial" w:eastAsia="Times New Roman" w:hAnsi="Arial" w:cs="Arial"/>
                <w:sz w:val="20"/>
              </w:rPr>
              <w:t>CAPEX</w:t>
            </w:r>
          </w:p>
        </w:tc>
        <w:tc>
          <w:tcPr>
            <w:tcW w:w="250" w:type="dxa"/>
            <w:tcBorders>
              <w:top w:val="single" w:sz="4" w:space="0" w:color="auto"/>
              <w:left w:val="nil"/>
              <w:bottom w:val="nil"/>
              <w:right w:val="nil"/>
            </w:tcBorders>
            <w:tcMar>
              <w:top w:w="0" w:type="dxa"/>
              <w:left w:w="115" w:type="dxa"/>
              <w:bottom w:w="0" w:type="dxa"/>
              <w:right w:w="115" w:type="dxa"/>
            </w:tcMar>
            <w:vAlign w:val="center"/>
          </w:tcPr>
          <w:p w14:paraId="4E4F4192" w14:textId="77777777" w:rsidR="00505A3D" w:rsidRPr="00361437" w:rsidRDefault="00505A3D" w:rsidP="00505A3D">
            <w:pPr>
              <w:spacing w:line="256" w:lineRule="auto"/>
              <w:jc w:val="center"/>
              <w:rPr>
                <w:rFonts w:ascii="Arial" w:eastAsia="Times New Roman" w:hAnsi="Arial" w:cs="Arial"/>
                <w:sz w:val="20"/>
              </w:rPr>
            </w:pPr>
          </w:p>
        </w:tc>
        <w:tc>
          <w:tcPr>
            <w:tcW w:w="1780" w:type="dxa"/>
            <w:gridSpan w:val="2"/>
            <w:tcBorders>
              <w:top w:val="single" w:sz="4" w:space="0" w:color="auto"/>
              <w:left w:val="nil"/>
              <w:bottom w:val="single" w:sz="4" w:space="0" w:color="auto"/>
              <w:right w:val="nil"/>
            </w:tcBorders>
            <w:tcMar>
              <w:top w:w="0" w:type="dxa"/>
              <w:left w:w="14" w:type="dxa"/>
              <w:bottom w:w="0" w:type="dxa"/>
              <w:right w:w="14" w:type="dxa"/>
            </w:tcMar>
            <w:vAlign w:val="center"/>
            <w:hideMark/>
          </w:tcPr>
          <w:p w14:paraId="76FAB395" w14:textId="77777777" w:rsidR="00505A3D" w:rsidRPr="00361437" w:rsidRDefault="00505A3D" w:rsidP="00505A3D">
            <w:pPr>
              <w:spacing w:line="256" w:lineRule="auto"/>
              <w:jc w:val="center"/>
              <w:rPr>
                <w:rFonts w:ascii="Arial" w:eastAsia="Times New Roman" w:hAnsi="Arial" w:cs="Arial"/>
                <w:sz w:val="20"/>
              </w:rPr>
            </w:pPr>
            <w:r w:rsidRPr="00361437">
              <w:rPr>
                <w:rFonts w:ascii="Arial" w:eastAsia="Times New Roman" w:hAnsi="Arial" w:cs="Arial"/>
                <w:sz w:val="20"/>
              </w:rPr>
              <w:t>Model 2</w:t>
            </w:r>
          </w:p>
          <w:p w14:paraId="71D6777A" w14:textId="0AC848C1" w:rsidR="00505A3D" w:rsidRPr="00361437" w:rsidRDefault="00505A3D" w:rsidP="00505A3D">
            <w:pPr>
              <w:spacing w:line="256" w:lineRule="auto"/>
              <w:jc w:val="center"/>
              <w:rPr>
                <w:rFonts w:ascii="Arial" w:eastAsia="Times New Roman" w:hAnsi="Arial" w:cs="Arial"/>
                <w:sz w:val="20"/>
              </w:rPr>
            </w:pPr>
            <w:r w:rsidRPr="00361437">
              <w:rPr>
                <w:rFonts w:ascii="Arial" w:eastAsia="Times New Roman" w:hAnsi="Arial" w:cs="Arial"/>
                <w:sz w:val="20"/>
              </w:rPr>
              <w:t>SEO</w:t>
            </w:r>
          </w:p>
        </w:tc>
        <w:tc>
          <w:tcPr>
            <w:tcW w:w="250" w:type="dxa"/>
            <w:tcBorders>
              <w:top w:val="single" w:sz="4" w:space="0" w:color="auto"/>
              <w:left w:val="nil"/>
              <w:bottom w:val="nil"/>
              <w:right w:val="nil"/>
            </w:tcBorders>
            <w:tcMar>
              <w:top w:w="0" w:type="dxa"/>
              <w:left w:w="115" w:type="dxa"/>
              <w:bottom w:w="0" w:type="dxa"/>
              <w:right w:w="115" w:type="dxa"/>
            </w:tcMar>
            <w:vAlign w:val="center"/>
          </w:tcPr>
          <w:p w14:paraId="4BB27270" w14:textId="77777777" w:rsidR="00505A3D" w:rsidRPr="00361437" w:rsidRDefault="00505A3D" w:rsidP="00505A3D">
            <w:pPr>
              <w:spacing w:line="256" w:lineRule="auto"/>
              <w:jc w:val="center"/>
              <w:rPr>
                <w:rFonts w:ascii="Arial" w:eastAsia="Times New Roman" w:hAnsi="Arial" w:cs="Arial"/>
                <w:sz w:val="20"/>
              </w:rPr>
            </w:pPr>
          </w:p>
        </w:tc>
        <w:tc>
          <w:tcPr>
            <w:tcW w:w="1780" w:type="dxa"/>
            <w:gridSpan w:val="2"/>
            <w:tcBorders>
              <w:top w:val="single" w:sz="4" w:space="0" w:color="auto"/>
              <w:left w:val="nil"/>
              <w:bottom w:val="single" w:sz="4" w:space="0" w:color="auto"/>
              <w:right w:val="nil"/>
            </w:tcBorders>
            <w:tcMar>
              <w:top w:w="0" w:type="dxa"/>
              <w:left w:w="14" w:type="dxa"/>
              <w:bottom w:w="0" w:type="dxa"/>
              <w:right w:w="14" w:type="dxa"/>
            </w:tcMar>
            <w:vAlign w:val="center"/>
            <w:hideMark/>
          </w:tcPr>
          <w:p w14:paraId="31C94E99" w14:textId="77777777" w:rsidR="00505A3D" w:rsidRPr="00361437" w:rsidRDefault="00505A3D" w:rsidP="00505A3D">
            <w:pPr>
              <w:spacing w:line="256" w:lineRule="auto"/>
              <w:jc w:val="center"/>
              <w:rPr>
                <w:rFonts w:ascii="Arial" w:eastAsia="Times New Roman" w:hAnsi="Arial" w:cs="Arial"/>
                <w:sz w:val="20"/>
              </w:rPr>
            </w:pPr>
            <w:r w:rsidRPr="00361437">
              <w:rPr>
                <w:rFonts w:ascii="Arial" w:eastAsia="Times New Roman" w:hAnsi="Arial" w:cs="Arial"/>
                <w:sz w:val="20"/>
              </w:rPr>
              <w:t>Model 3</w:t>
            </w:r>
          </w:p>
          <w:p w14:paraId="185E4FE3" w14:textId="12D923DE" w:rsidR="00505A3D" w:rsidRPr="00361437" w:rsidRDefault="00505A3D" w:rsidP="00505A3D">
            <w:pPr>
              <w:spacing w:line="256" w:lineRule="auto"/>
              <w:jc w:val="center"/>
              <w:rPr>
                <w:rFonts w:ascii="Arial" w:eastAsia="Times New Roman" w:hAnsi="Arial" w:cs="Arial"/>
                <w:sz w:val="20"/>
              </w:rPr>
            </w:pPr>
            <w:r w:rsidRPr="00361437">
              <w:rPr>
                <w:rFonts w:ascii="Arial" w:eastAsia="Times New Roman" w:hAnsi="Arial" w:cs="Arial"/>
                <w:sz w:val="20"/>
              </w:rPr>
              <w:t>NON-CORE_M&amp;A</w:t>
            </w:r>
          </w:p>
        </w:tc>
        <w:tc>
          <w:tcPr>
            <w:tcW w:w="250" w:type="dxa"/>
            <w:tcBorders>
              <w:top w:val="single" w:sz="4" w:space="0" w:color="auto"/>
              <w:left w:val="nil"/>
              <w:bottom w:val="nil"/>
              <w:right w:val="nil"/>
            </w:tcBorders>
            <w:tcMar>
              <w:top w:w="0" w:type="dxa"/>
              <w:left w:w="115" w:type="dxa"/>
              <w:bottom w:w="0" w:type="dxa"/>
              <w:right w:w="115" w:type="dxa"/>
            </w:tcMar>
            <w:vAlign w:val="center"/>
          </w:tcPr>
          <w:p w14:paraId="752B78E0" w14:textId="77777777" w:rsidR="00505A3D" w:rsidRPr="00361437" w:rsidRDefault="00505A3D" w:rsidP="00505A3D">
            <w:pPr>
              <w:spacing w:line="256" w:lineRule="auto"/>
              <w:jc w:val="center"/>
              <w:rPr>
                <w:rFonts w:ascii="Arial" w:eastAsia="Times New Roman" w:hAnsi="Arial" w:cs="Arial"/>
                <w:sz w:val="20"/>
              </w:rPr>
            </w:pPr>
          </w:p>
        </w:tc>
        <w:tc>
          <w:tcPr>
            <w:tcW w:w="1782" w:type="dxa"/>
            <w:gridSpan w:val="2"/>
            <w:tcBorders>
              <w:top w:val="single" w:sz="4" w:space="0" w:color="auto"/>
              <w:left w:val="nil"/>
              <w:bottom w:val="single" w:sz="4" w:space="0" w:color="auto"/>
              <w:right w:val="nil"/>
            </w:tcBorders>
            <w:noWrap/>
            <w:tcMar>
              <w:top w:w="0" w:type="dxa"/>
              <w:left w:w="14" w:type="dxa"/>
              <w:bottom w:w="0" w:type="dxa"/>
              <w:right w:w="14" w:type="dxa"/>
            </w:tcMar>
            <w:vAlign w:val="center"/>
            <w:hideMark/>
          </w:tcPr>
          <w:p w14:paraId="0840F545" w14:textId="77777777" w:rsidR="00505A3D" w:rsidRPr="00361437" w:rsidRDefault="00505A3D" w:rsidP="00505A3D">
            <w:pPr>
              <w:spacing w:line="256" w:lineRule="auto"/>
              <w:jc w:val="center"/>
              <w:rPr>
                <w:rFonts w:ascii="Arial" w:eastAsia="Times New Roman" w:hAnsi="Arial" w:cs="Arial"/>
                <w:sz w:val="20"/>
              </w:rPr>
            </w:pPr>
            <w:r w:rsidRPr="00361437">
              <w:rPr>
                <w:rFonts w:ascii="Arial" w:eastAsia="Times New Roman" w:hAnsi="Arial" w:cs="Arial"/>
                <w:sz w:val="20"/>
              </w:rPr>
              <w:t>Model 4</w:t>
            </w:r>
          </w:p>
          <w:p w14:paraId="00D760C4" w14:textId="3F0E2026" w:rsidR="00505A3D" w:rsidRPr="00361437" w:rsidRDefault="00505A3D" w:rsidP="00505A3D">
            <w:pPr>
              <w:spacing w:line="256" w:lineRule="auto"/>
              <w:jc w:val="center"/>
              <w:rPr>
                <w:rFonts w:ascii="Arial" w:eastAsia="Times New Roman" w:hAnsi="Arial" w:cs="Arial"/>
                <w:sz w:val="20"/>
              </w:rPr>
            </w:pPr>
            <w:r w:rsidRPr="00361437">
              <w:rPr>
                <w:rFonts w:ascii="Arial" w:eastAsia="Times New Roman" w:hAnsi="Arial" w:cs="Arial"/>
                <w:sz w:val="20"/>
              </w:rPr>
              <w:t>DIVIDEND</w:t>
            </w:r>
          </w:p>
        </w:tc>
        <w:tc>
          <w:tcPr>
            <w:tcW w:w="250" w:type="dxa"/>
            <w:tcBorders>
              <w:top w:val="single" w:sz="4" w:space="0" w:color="auto"/>
              <w:left w:val="nil"/>
              <w:bottom w:val="nil"/>
              <w:right w:val="nil"/>
            </w:tcBorders>
            <w:tcMar>
              <w:top w:w="0" w:type="dxa"/>
              <w:left w:w="115" w:type="dxa"/>
              <w:bottom w:w="0" w:type="dxa"/>
              <w:right w:w="115" w:type="dxa"/>
            </w:tcMar>
            <w:vAlign w:val="center"/>
          </w:tcPr>
          <w:p w14:paraId="61A7E005" w14:textId="77777777" w:rsidR="00505A3D" w:rsidRPr="00361437" w:rsidRDefault="00505A3D" w:rsidP="00505A3D">
            <w:pPr>
              <w:spacing w:line="256" w:lineRule="auto"/>
              <w:jc w:val="center"/>
              <w:rPr>
                <w:rFonts w:ascii="Arial" w:eastAsia="Times New Roman" w:hAnsi="Arial" w:cs="Arial"/>
                <w:sz w:val="20"/>
              </w:rPr>
            </w:pPr>
          </w:p>
        </w:tc>
        <w:tc>
          <w:tcPr>
            <w:tcW w:w="1952" w:type="dxa"/>
            <w:gridSpan w:val="2"/>
            <w:tcBorders>
              <w:top w:val="single" w:sz="4" w:space="0" w:color="auto"/>
              <w:left w:val="nil"/>
              <w:bottom w:val="single" w:sz="4" w:space="0" w:color="auto"/>
              <w:right w:val="nil"/>
            </w:tcBorders>
            <w:noWrap/>
            <w:tcMar>
              <w:top w:w="0" w:type="dxa"/>
              <w:left w:w="14" w:type="dxa"/>
              <w:bottom w:w="0" w:type="dxa"/>
              <w:right w:w="14" w:type="dxa"/>
            </w:tcMar>
            <w:vAlign w:val="center"/>
            <w:hideMark/>
          </w:tcPr>
          <w:p w14:paraId="7FB9FBF0" w14:textId="77777777" w:rsidR="00505A3D" w:rsidRPr="00361437" w:rsidRDefault="00505A3D" w:rsidP="00505A3D">
            <w:pPr>
              <w:spacing w:line="256" w:lineRule="auto"/>
              <w:jc w:val="center"/>
              <w:rPr>
                <w:rFonts w:ascii="Arial" w:eastAsia="Times New Roman" w:hAnsi="Arial" w:cs="Arial"/>
                <w:sz w:val="20"/>
              </w:rPr>
            </w:pPr>
            <w:r w:rsidRPr="00361437">
              <w:rPr>
                <w:rFonts w:ascii="Arial" w:eastAsia="Times New Roman" w:hAnsi="Arial" w:cs="Arial"/>
                <w:sz w:val="20"/>
              </w:rPr>
              <w:t>Model 5</w:t>
            </w:r>
          </w:p>
          <w:p w14:paraId="34319A2E" w14:textId="1D033514" w:rsidR="00505A3D" w:rsidRPr="00361437" w:rsidRDefault="00505A3D" w:rsidP="00505A3D">
            <w:pPr>
              <w:spacing w:line="256" w:lineRule="auto"/>
              <w:jc w:val="center"/>
              <w:rPr>
                <w:rFonts w:ascii="Arial" w:eastAsia="Times New Roman" w:hAnsi="Arial" w:cs="Arial"/>
                <w:sz w:val="20"/>
              </w:rPr>
            </w:pPr>
            <w:r w:rsidRPr="00361437">
              <w:rPr>
                <w:rFonts w:ascii="Arial" w:eastAsia="Times New Roman" w:hAnsi="Arial" w:cs="Arial"/>
                <w:sz w:val="20"/>
              </w:rPr>
              <w:t>REPURCHASE</w:t>
            </w:r>
          </w:p>
        </w:tc>
      </w:tr>
      <w:tr w:rsidR="0019714B" w:rsidRPr="00361437" w14:paraId="3788E2F5" w14:textId="77777777" w:rsidTr="004F27B4">
        <w:trPr>
          <w:trHeight w:val="288"/>
        </w:trPr>
        <w:tc>
          <w:tcPr>
            <w:tcW w:w="4076" w:type="dxa"/>
            <w:tcBorders>
              <w:top w:val="nil"/>
              <w:left w:val="nil"/>
              <w:bottom w:val="single" w:sz="4" w:space="0" w:color="auto"/>
              <w:right w:val="nil"/>
            </w:tcBorders>
            <w:noWrap/>
            <w:vAlign w:val="center"/>
          </w:tcPr>
          <w:p w14:paraId="5F794D87" w14:textId="77777777" w:rsidR="0019714B" w:rsidRPr="00361437" w:rsidRDefault="0019714B" w:rsidP="0019714B">
            <w:pPr>
              <w:spacing w:line="256" w:lineRule="auto"/>
              <w:rPr>
                <w:rFonts w:ascii="Arial" w:eastAsia="Times New Roman" w:hAnsi="Arial" w:cs="Arial"/>
                <w:sz w:val="20"/>
              </w:rPr>
            </w:pPr>
          </w:p>
        </w:tc>
        <w:tc>
          <w:tcPr>
            <w:tcW w:w="995" w:type="dxa"/>
            <w:tcBorders>
              <w:top w:val="single" w:sz="4" w:space="0" w:color="auto"/>
              <w:left w:val="nil"/>
              <w:bottom w:val="single" w:sz="4" w:space="0" w:color="auto"/>
              <w:right w:val="nil"/>
            </w:tcBorders>
            <w:tcMar>
              <w:top w:w="0" w:type="dxa"/>
              <w:left w:w="14" w:type="dxa"/>
              <w:bottom w:w="0" w:type="dxa"/>
              <w:right w:w="14" w:type="dxa"/>
            </w:tcMar>
            <w:vAlign w:val="center"/>
            <w:hideMark/>
          </w:tcPr>
          <w:p w14:paraId="4BA02AA7" w14:textId="24EDEA1C"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sz w:val="18"/>
              </w:rPr>
              <w:t>Coefficient</w:t>
            </w:r>
          </w:p>
        </w:tc>
        <w:tc>
          <w:tcPr>
            <w:tcW w:w="783" w:type="dxa"/>
            <w:tcBorders>
              <w:top w:val="single" w:sz="4" w:space="0" w:color="auto"/>
              <w:left w:val="nil"/>
              <w:bottom w:val="single" w:sz="4" w:space="0" w:color="auto"/>
              <w:right w:val="nil"/>
            </w:tcBorders>
            <w:tcMar>
              <w:top w:w="0" w:type="dxa"/>
              <w:left w:w="14" w:type="dxa"/>
              <w:bottom w:w="0" w:type="dxa"/>
              <w:right w:w="14" w:type="dxa"/>
            </w:tcMar>
            <w:vAlign w:val="center"/>
            <w:hideMark/>
          </w:tcPr>
          <w:p w14:paraId="5A91371C" w14:textId="31D4C36D"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i/>
                <w:sz w:val="18"/>
              </w:rPr>
              <w:t>p</w:t>
            </w:r>
            <w:r w:rsidRPr="00361437">
              <w:rPr>
                <w:rFonts w:ascii="Arial" w:eastAsia="Times New Roman" w:hAnsi="Arial" w:cs="Arial"/>
                <w:sz w:val="18"/>
              </w:rPr>
              <w:t>-value</w:t>
            </w:r>
          </w:p>
        </w:tc>
        <w:tc>
          <w:tcPr>
            <w:tcW w:w="250" w:type="dxa"/>
            <w:tcBorders>
              <w:top w:val="nil"/>
              <w:left w:val="nil"/>
              <w:bottom w:val="single" w:sz="4" w:space="0" w:color="auto"/>
              <w:right w:val="nil"/>
            </w:tcBorders>
            <w:tcMar>
              <w:top w:w="0" w:type="dxa"/>
              <w:left w:w="115" w:type="dxa"/>
              <w:bottom w:w="0" w:type="dxa"/>
              <w:right w:w="115" w:type="dxa"/>
            </w:tcMar>
            <w:vAlign w:val="center"/>
          </w:tcPr>
          <w:p w14:paraId="0FFC2356" w14:textId="77777777" w:rsidR="0019714B" w:rsidRPr="00361437" w:rsidRDefault="0019714B" w:rsidP="0019714B">
            <w:pPr>
              <w:spacing w:line="256" w:lineRule="auto"/>
              <w:jc w:val="center"/>
              <w:rPr>
                <w:rFonts w:ascii="Arial" w:eastAsia="Times New Roman" w:hAnsi="Arial" w:cs="Arial"/>
                <w:sz w:val="20"/>
              </w:rPr>
            </w:pPr>
          </w:p>
        </w:tc>
        <w:tc>
          <w:tcPr>
            <w:tcW w:w="996" w:type="dxa"/>
            <w:tcBorders>
              <w:top w:val="nil"/>
              <w:left w:val="nil"/>
              <w:bottom w:val="single" w:sz="4" w:space="0" w:color="auto"/>
              <w:right w:val="nil"/>
            </w:tcBorders>
            <w:tcMar>
              <w:top w:w="0" w:type="dxa"/>
              <w:left w:w="14" w:type="dxa"/>
              <w:bottom w:w="0" w:type="dxa"/>
              <w:right w:w="14" w:type="dxa"/>
            </w:tcMar>
            <w:vAlign w:val="center"/>
            <w:hideMark/>
          </w:tcPr>
          <w:p w14:paraId="07463EA2" w14:textId="59A03AD4"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sz w:val="18"/>
              </w:rPr>
              <w:t>Coefficient</w:t>
            </w:r>
          </w:p>
        </w:tc>
        <w:tc>
          <w:tcPr>
            <w:tcW w:w="784" w:type="dxa"/>
            <w:tcBorders>
              <w:top w:val="nil"/>
              <w:left w:val="nil"/>
              <w:bottom w:val="single" w:sz="4" w:space="0" w:color="auto"/>
              <w:right w:val="nil"/>
            </w:tcBorders>
            <w:tcMar>
              <w:top w:w="0" w:type="dxa"/>
              <w:left w:w="14" w:type="dxa"/>
              <w:bottom w:w="0" w:type="dxa"/>
              <w:right w:w="14" w:type="dxa"/>
            </w:tcMar>
            <w:vAlign w:val="center"/>
            <w:hideMark/>
          </w:tcPr>
          <w:p w14:paraId="2CDD716B" w14:textId="093D15D2"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i/>
                <w:sz w:val="18"/>
              </w:rPr>
              <w:t>p</w:t>
            </w:r>
            <w:r w:rsidRPr="00361437">
              <w:rPr>
                <w:rFonts w:ascii="Arial" w:eastAsia="Times New Roman" w:hAnsi="Arial" w:cs="Arial"/>
                <w:sz w:val="18"/>
              </w:rPr>
              <w:t>-value</w:t>
            </w:r>
          </w:p>
        </w:tc>
        <w:tc>
          <w:tcPr>
            <w:tcW w:w="250" w:type="dxa"/>
            <w:tcBorders>
              <w:top w:val="nil"/>
              <w:left w:val="nil"/>
              <w:bottom w:val="single" w:sz="4" w:space="0" w:color="auto"/>
              <w:right w:val="nil"/>
            </w:tcBorders>
            <w:tcMar>
              <w:top w:w="0" w:type="dxa"/>
              <w:left w:w="115" w:type="dxa"/>
              <w:bottom w:w="0" w:type="dxa"/>
              <w:right w:w="115" w:type="dxa"/>
            </w:tcMar>
            <w:vAlign w:val="center"/>
          </w:tcPr>
          <w:p w14:paraId="4654E1EC" w14:textId="77777777" w:rsidR="0019714B" w:rsidRPr="00361437" w:rsidRDefault="0019714B" w:rsidP="0019714B">
            <w:pPr>
              <w:spacing w:line="256" w:lineRule="auto"/>
              <w:jc w:val="center"/>
              <w:rPr>
                <w:rFonts w:ascii="Arial" w:eastAsia="Times New Roman" w:hAnsi="Arial" w:cs="Arial"/>
                <w:sz w:val="20"/>
              </w:rPr>
            </w:pPr>
          </w:p>
        </w:tc>
        <w:tc>
          <w:tcPr>
            <w:tcW w:w="996" w:type="dxa"/>
            <w:tcBorders>
              <w:top w:val="nil"/>
              <w:left w:val="nil"/>
              <w:bottom w:val="single" w:sz="4" w:space="0" w:color="auto"/>
              <w:right w:val="nil"/>
            </w:tcBorders>
            <w:tcMar>
              <w:top w:w="0" w:type="dxa"/>
              <w:left w:w="14" w:type="dxa"/>
              <w:bottom w:w="0" w:type="dxa"/>
              <w:right w:w="14" w:type="dxa"/>
            </w:tcMar>
            <w:vAlign w:val="center"/>
            <w:hideMark/>
          </w:tcPr>
          <w:p w14:paraId="416C0296" w14:textId="0EA5B400"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sz w:val="18"/>
              </w:rPr>
              <w:t>Coefficient</w:t>
            </w:r>
          </w:p>
        </w:tc>
        <w:tc>
          <w:tcPr>
            <w:tcW w:w="784" w:type="dxa"/>
            <w:tcBorders>
              <w:top w:val="nil"/>
              <w:left w:val="nil"/>
              <w:bottom w:val="single" w:sz="4" w:space="0" w:color="auto"/>
              <w:right w:val="nil"/>
            </w:tcBorders>
            <w:tcMar>
              <w:top w:w="0" w:type="dxa"/>
              <w:left w:w="14" w:type="dxa"/>
              <w:bottom w:w="0" w:type="dxa"/>
              <w:right w:w="14" w:type="dxa"/>
            </w:tcMar>
            <w:vAlign w:val="center"/>
            <w:hideMark/>
          </w:tcPr>
          <w:p w14:paraId="67AC04E3" w14:textId="754EFDD7"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i/>
                <w:sz w:val="18"/>
              </w:rPr>
              <w:t>p</w:t>
            </w:r>
            <w:r w:rsidRPr="00361437">
              <w:rPr>
                <w:rFonts w:ascii="Arial" w:eastAsia="Times New Roman" w:hAnsi="Arial" w:cs="Arial"/>
                <w:sz w:val="18"/>
              </w:rPr>
              <w:t>-value</w:t>
            </w:r>
          </w:p>
        </w:tc>
        <w:tc>
          <w:tcPr>
            <w:tcW w:w="250" w:type="dxa"/>
            <w:tcBorders>
              <w:top w:val="nil"/>
              <w:left w:val="nil"/>
              <w:bottom w:val="single" w:sz="4" w:space="0" w:color="auto"/>
              <w:right w:val="nil"/>
            </w:tcBorders>
            <w:tcMar>
              <w:top w:w="0" w:type="dxa"/>
              <w:left w:w="115" w:type="dxa"/>
              <w:bottom w:w="0" w:type="dxa"/>
              <w:right w:w="115" w:type="dxa"/>
            </w:tcMar>
            <w:vAlign w:val="center"/>
          </w:tcPr>
          <w:p w14:paraId="4D4474D8" w14:textId="77777777" w:rsidR="0019714B" w:rsidRPr="00361437" w:rsidRDefault="0019714B" w:rsidP="0019714B">
            <w:pPr>
              <w:spacing w:line="256" w:lineRule="auto"/>
              <w:jc w:val="center"/>
              <w:rPr>
                <w:rFonts w:ascii="Arial" w:eastAsia="Times New Roman" w:hAnsi="Arial" w:cs="Arial"/>
                <w:sz w:val="20"/>
              </w:rPr>
            </w:pPr>
          </w:p>
        </w:tc>
        <w:tc>
          <w:tcPr>
            <w:tcW w:w="996" w:type="dxa"/>
            <w:tcBorders>
              <w:top w:val="single" w:sz="4" w:space="0" w:color="auto"/>
              <w:left w:val="nil"/>
              <w:bottom w:val="single" w:sz="4" w:space="0" w:color="auto"/>
              <w:right w:val="nil"/>
            </w:tcBorders>
            <w:noWrap/>
            <w:tcMar>
              <w:top w:w="0" w:type="dxa"/>
              <w:left w:w="14" w:type="dxa"/>
              <w:bottom w:w="0" w:type="dxa"/>
              <w:right w:w="14" w:type="dxa"/>
            </w:tcMar>
            <w:vAlign w:val="center"/>
            <w:hideMark/>
          </w:tcPr>
          <w:p w14:paraId="56437063" w14:textId="51806948"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sz w:val="18"/>
              </w:rPr>
              <w:t>Coefficient</w:t>
            </w:r>
          </w:p>
        </w:tc>
        <w:tc>
          <w:tcPr>
            <w:tcW w:w="786" w:type="dxa"/>
            <w:tcBorders>
              <w:top w:val="single" w:sz="4" w:space="0" w:color="auto"/>
              <w:left w:val="nil"/>
              <w:bottom w:val="single" w:sz="4" w:space="0" w:color="auto"/>
              <w:right w:val="nil"/>
            </w:tcBorders>
            <w:noWrap/>
            <w:tcMar>
              <w:top w:w="0" w:type="dxa"/>
              <w:left w:w="14" w:type="dxa"/>
              <w:bottom w:w="0" w:type="dxa"/>
              <w:right w:w="14" w:type="dxa"/>
            </w:tcMar>
            <w:vAlign w:val="center"/>
            <w:hideMark/>
          </w:tcPr>
          <w:p w14:paraId="743B71B5" w14:textId="18ABA0CB"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i/>
                <w:sz w:val="18"/>
              </w:rPr>
              <w:t>p</w:t>
            </w:r>
            <w:r w:rsidRPr="00361437">
              <w:rPr>
                <w:rFonts w:ascii="Arial" w:eastAsia="Times New Roman" w:hAnsi="Arial" w:cs="Arial"/>
                <w:sz w:val="18"/>
              </w:rPr>
              <w:t>-value</w:t>
            </w:r>
          </w:p>
        </w:tc>
        <w:tc>
          <w:tcPr>
            <w:tcW w:w="250" w:type="dxa"/>
            <w:tcBorders>
              <w:top w:val="nil"/>
              <w:left w:val="nil"/>
              <w:bottom w:val="single" w:sz="4" w:space="0" w:color="auto"/>
              <w:right w:val="nil"/>
            </w:tcBorders>
            <w:tcMar>
              <w:top w:w="0" w:type="dxa"/>
              <w:left w:w="115" w:type="dxa"/>
              <w:bottom w:w="0" w:type="dxa"/>
              <w:right w:w="115" w:type="dxa"/>
            </w:tcMar>
            <w:vAlign w:val="center"/>
          </w:tcPr>
          <w:p w14:paraId="2786349A" w14:textId="77777777" w:rsidR="0019714B" w:rsidRPr="00361437" w:rsidRDefault="0019714B" w:rsidP="0019714B">
            <w:pPr>
              <w:spacing w:line="256" w:lineRule="auto"/>
              <w:jc w:val="center"/>
              <w:rPr>
                <w:rFonts w:ascii="Arial" w:eastAsia="Times New Roman" w:hAnsi="Arial" w:cs="Arial"/>
                <w:sz w:val="20"/>
              </w:rPr>
            </w:pPr>
          </w:p>
        </w:tc>
        <w:tc>
          <w:tcPr>
            <w:tcW w:w="996" w:type="dxa"/>
            <w:tcBorders>
              <w:top w:val="nil"/>
              <w:left w:val="nil"/>
              <w:bottom w:val="single" w:sz="4" w:space="0" w:color="auto"/>
              <w:right w:val="nil"/>
            </w:tcBorders>
            <w:noWrap/>
            <w:tcMar>
              <w:top w:w="0" w:type="dxa"/>
              <w:left w:w="14" w:type="dxa"/>
              <w:bottom w:w="0" w:type="dxa"/>
              <w:right w:w="14" w:type="dxa"/>
            </w:tcMar>
            <w:vAlign w:val="center"/>
            <w:hideMark/>
          </w:tcPr>
          <w:p w14:paraId="629CB78F" w14:textId="1987E613"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sz w:val="18"/>
              </w:rPr>
              <w:t>Coefficient</w:t>
            </w:r>
          </w:p>
        </w:tc>
        <w:tc>
          <w:tcPr>
            <w:tcW w:w="956" w:type="dxa"/>
            <w:tcBorders>
              <w:top w:val="nil"/>
              <w:left w:val="nil"/>
              <w:bottom w:val="single" w:sz="4" w:space="0" w:color="auto"/>
              <w:right w:val="nil"/>
            </w:tcBorders>
            <w:noWrap/>
            <w:vAlign w:val="center"/>
            <w:hideMark/>
          </w:tcPr>
          <w:p w14:paraId="313ACAF5" w14:textId="384D1572" w:rsidR="0019714B" w:rsidRPr="00361437" w:rsidRDefault="0019714B" w:rsidP="0019714B">
            <w:pPr>
              <w:spacing w:line="256" w:lineRule="auto"/>
              <w:jc w:val="center"/>
              <w:rPr>
                <w:rFonts w:ascii="Arial" w:eastAsia="Times New Roman" w:hAnsi="Arial" w:cs="Arial"/>
                <w:sz w:val="20"/>
              </w:rPr>
            </w:pPr>
            <w:r w:rsidRPr="00361437">
              <w:rPr>
                <w:rFonts w:ascii="Arial" w:eastAsia="Times New Roman" w:hAnsi="Arial" w:cs="Arial"/>
                <w:i/>
                <w:sz w:val="18"/>
              </w:rPr>
              <w:t>p</w:t>
            </w:r>
            <w:r w:rsidRPr="00361437">
              <w:rPr>
                <w:rFonts w:ascii="Arial" w:eastAsia="Times New Roman" w:hAnsi="Arial" w:cs="Arial"/>
                <w:sz w:val="18"/>
              </w:rPr>
              <w:t>-value</w:t>
            </w:r>
          </w:p>
        </w:tc>
      </w:tr>
      <w:tr w:rsidR="00D245A4" w:rsidRPr="00361437" w14:paraId="4542F091" w14:textId="77777777" w:rsidTr="004F27B4">
        <w:trPr>
          <w:trHeight w:val="288"/>
        </w:trPr>
        <w:tc>
          <w:tcPr>
            <w:tcW w:w="4076" w:type="dxa"/>
            <w:noWrap/>
            <w:vAlign w:val="center"/>
            <w:hideMark/>
          </w:tcPr>
          <w:p w14:paraId="1977B58F" w14:textId="45CF9A86" w:rsidR="00D245A4" w:rsidRPr="00361437" w:rsidRDefault="00505A3D" w:rsidP="00D245A4">
            <w:pPr>
              <w:spacing w:line="256" w:lineRule="auto"/>
              <w:ind w:left="180" w:hanging="180"/>
              <w:contextualSpacing/>
              <w:rPr>
                <w:rFonts w:ascii="Arial" w:eastAsia="Times New Roman" w:hAnsi="Arial" w:cs="Arial"/>
                <w:bCs/>
                <w:sz w:val="18"/>
              </w:rPr>
            </w:pPr>
            <w:r w:rsidRPr="00361437">
              <w:rPr>
                <w:rFonts w:ascii="Arial" w:eastAsia="Calibri" w:hAnsi="Arial" w:cs="Arial"/>
                <w:bCs/>
                <w:color w:val="000000"/>
                <w:sz w:val="18"/>
              </w:rPr>
              <w:t xml:space="preserve">FRACTION_OF_VOTES_WITH_CREDITORS </w:t>
            </w:r>
          </w:p>
        </w:tc>
        <w:tc>
          <w:tcPr>
            <w:tcW w:w="995" w:type="dxa"/>
            <w:tcMar>
              <w:top w:w="0" w:type="dxa"/>
              <w:left w:w="14" w:type="dxa"/>
              <w:bottom w:w="0" w:type="dxa"/>
              <w:right w:w="14" w:type="dxa"/>
            </w:tcMar>
            <w:vAlign w:val="center"/>
            <w:hideMark/>
          </w:tcPr>
          <w:p w14:paraId="207CFFA6" w14:textId="2EEF585D" w:rsidR="00D245A4" w:rsidRPr="00361437" w:rsidRDefault="00D245A4" w:rsidP="00D245A4">
            <w:pPr>
              <w:tabs>
                <w:tab w:val="decimal" w:pos="256"/>
              </w:tabs>
              <w:spacing w:line="256" w:lineRule="auto"/>
              <w:rPr>
                <w:rFonts w:ascii="Arial" w:eastAsia="Calibri" w:hAnsi="Arial" w:cs="Arial"/>
                <w:bCs/>
                <w:color w:val="000000"/>
                <w:sz w:val="20"/>
              </w:rPr>
            </w:pPr>
            <w:r w:rsidRPr="00361437">
              <w:rPr>
                <w:rFonts w:ascii="Arial" w:hAnsi="Arial" w:cs="Arial"/>
                <w:color w:val="000000"/>
                <w:sz w:val="20"/>
              </w:rPr>
              <w:t>0.0008</w:t>
            </w:r>
          </w:p>
        </w:tc>
        <w:tc>
          <w:tcPr>
            <w:tcW w:w="783" w:type="dxa"/>
            <w:tcMar>
              <w:top w:w="0" w:type="dxa"/>
              <w:left w:w="14" w:type="dxa"/>
              <w:bottom w:w="0" w:type="dxa"/>
              <w:right w:w="14" w:type="dxa"/>
            </w:tcMar>
            <w:vAlign w:val="center"/>
            <w:hideMark/>
          </w:tcPr>
          <w:p w14:paraId="76684ED4" w14:textId="732C009D" w:rsidR="00D245A4" w:rsidRPr="00361437" w:rsidRDefault="00D245A4" w:rsidP="00D245A4">
            <w:pPr>
              <w:tabs>
                <w:tab w:val="decimal" w:pos="256"/>
              </w:tabs>
              <w:spacing w:line="256" w:lineRule="auto"/>
              <w:rPr>
                <w:rFonts w:ascii="Arial" w:eastAsia="Calibri" w:hAnsi="Arial" w:cs="Arial"/>
                <w:bCs/>
                <w:color w:val="000000"/>
                <w:sz w:val="20"/>
              </w:rPr>
            </w:pPr>
            <w:r w:rsidRPr="00361437">
              <w:rPr>
                <w:rFonts w:ascii="Arial" w:hAnsi="Arial" w:cs="Arial"/>
                <w:color w:val="000000"/>
                <w:sz w:val="20"/>
              </w:rPr>
              <w:t>0.2778</w:t>
            </w:r>
          </w:p>
        </w:tc>
        <w:tc>
          <w:tcPr>
            <w:tcW w:w="250" w:type="dxa"/>
            <w:tcMar>
              <w:top w:w="0" w:type="dxa"/>
              <w:left w:w="115" w:type="dxa"/>
              <w:bottom w:w="0" w:type="dxa"/>
              <w:right w:w="115" w:type="dxa"/>
            </w:tcMar>
            <w:vAlign w:val="center"/>
          </w:tcPr>
          <w:p w14:paraId="1AA51ED1" w14:textId="77777777" w:rsidR="00D245A4" w:rsidRPr="00361437" w:rsidRDefault="00D245A4" w:rsidP="00D245A4">
            <w:pPr>
              <w:tabs>
                <w:tab w:val="decimal" w:pos="256"/>
              </w:tabs>
              <w:spacing w:line="256" w:lineRule="auto"/>
              <w:rPr>
                <w:rFonts w:ascii="Arial" w:eastAsia="Calibri" w:hAnsi="Arial" w:cs="Arial"/>
                <w:bCs/>
                <w:color w:val="000000"/>
                <w:sz w:val="20"/>
              </w:rPr>
            </w:pPr>
          </w:p>
        </w:tc>
        <w:tc>
          <w:tcPr>
            <w:tcW w:w="996" w:type="dxa"/>
            <w:tcMar>
              <w:top w:w="0" w:type="dxa"/>
              <w:left w:w="14" w:type="dxa"/>
              <w:bottom w:w="0" w:type="dxa"/>
              <w:right w:w="14" w:type="dxa"/>
            </w:tcMar>
            <w:vAlign w:val="center"/>
            <w:hideMark/>
          </w:tcPr>
          <w:p w14:paraId="5387C155" w14:textId="7876AF70" w:rsidR="00D245A4" w:rsidRPr="00361437" w:rsidRDefault="00D245A4" w:rsidP="00D245A4">
            <w:pPr>
              <w:tabs>
                <w:tab w:val="decimal" w:pos="256"/>
              </w:tabs>
              <w:spacing w:line="256" w:lineRule="auto"/>
              <w:rPr>
                <w:rFonts w:ascii="Arial" w:eastAsia="Calibri" w:hAnsi="Arial" w:cs="Arial"/>
                <w:bCs/>
                <w:color w:val="000000"/>
                <w:sz w:val="20"/>
              </w:rPr>
            </w:pPr>
            <w:r w:rsidRPr="00361437">
              <w:rPr>
                <w:rFonts w:ascii="Arial" w:hAnsi="Arial" w:cs="Arial"/>
                <w:color w:val="000000"/>
                <w:sz w:val="20"/>
              </w:rPr>
              <w:t>0.0018</w:t>
            </w:r>
            <w:r w:rsidRPr="00361437">
              <w:rPr>
                <w:rFonts w:ascii="Arial" w:hAnsi="Arial" w:cs="Arial"/>
                <w:color w:val="000000"/>
                <w:sz w:val="20"/>
                <w:vertAlign w:val="superscript"/>
              </w:rPr>
              <w:t>***</w:t>
            </w:r>
          </w:p>
        </w:tc>
        <w:tc>
          <w:tcPr>
            <w:tcW w:w="784" w:type="dxa"/>
            <w:tcMar>
              <w:top w:w="0" w:type="dxa"/>
              <w:left w:w="14" w:type="dxa"/>
              <w:bottom w:w="0" w:type="dxa"/>
              <w:right w:w="14" w:type="dxa"/>
            </w:tcMar>
            <w:vAlign w:val="center"/>
            <w:hideMark/>
          </w:tcPr>
          <w:p w14:paraId="1A10AABB" w14:textId="7FD5FBA7" w:rsidR="00D245A4" w:rsidRPr="00361437" w:rsidRDefault="00D245A4" w:rsidP="00D245A4">
            <w:pPr>
              <w:tabs>
                <w:tab w:val="decimal" w:pos="256"/>
              </w:tabs>
              <w:spacing w:line="256" w:lineRule="auto"/>
              <w:rPr>
                <w:rFonts w:ascii="Arial" w:eastAsia="Calibri" w:hAnsi="Arial" w:cs="Arial"/>
                <w:bCs/>
                <w:color w:val="000000"/>
                <w:sz w:val="20"/>
              </w:rPr>
            </w:pPr>
            <w:r w:rsidRPr="00361437">
              <w:rPr>
                <w:rFonts w:ascii="Arial" w:hAnsi="Arial" w:cs="Arial"/>
                <w:color w:val="000000"/>
                <w:sz w:val="20"/>
              </w:rPr>
              <w:t>0.0008</w:t>
            </w:r>
          </w:p>
        </w:tc>
        <w:tc>
          <w:tcPr>
            <w:tcW w:w="250" w:type="dxa"/>
            <w:tcMar>
              <w:top w:w="0" w:type="dxa"/>
              <w:left w:w="115" w:type="dxa"/>
              <w:bottom w:w="0" w:type="dxa"/>
              <w:right w:w="115" w:type="dxa"/>
            </w:tcMar>
            <w:vAlign w:val="center"/>
          </w:tcPr>
          <w:p w14:paraId="0C727B0A" w14:textId="77777777" w:rsidR="00D245A4" w:rsidRPr="00361437" w:rsidRDefault="00D245A4" w:rsidP="00D245A4">
            <w:pPr>
              <w:tabs>
                <w:tab w:val="decimal" w:pos="256"/>
              </w:tabs>
              <w:spacing w:line="256" w:lineRule="auto"/>
              <w:rPr>
                <w:rFonts w:ascii="Arial" w:eastAsia="Calibri" w:hAnsi="Arial" w:cs="Arial"/>
                <w:bCs/>
                <w:color w:val="000000"/>
                <w:sz w:val="20"/>
              </w:rPr>
            </w:pPr>
          </w:p>
        </w:tc>
        <w:tc>
          <w:tcPr>
            <w:tcW w:w="996" w:type="dxa"/>
            <w:tcMar>
              <w:top w:w="0" w:type="dxa"/>
              <w:left w:w="14" w:type="dxa"/>
              <w:bottom w:w="0" w:type="dxa"/>
              <w:right w:w="14" w:type="dxa"/>
            </w:tcMar>
            <w:vAlign w:val="center"/>
            <w:hideMark/>
          </w:tcPr>
          <w:p w14:paraId="1EE6DD77" w14:textId="29A4B638" w:rsidR="00D245A4" w:rsidRPr="00361437" w:rsidRDefault="00D245A4" w:rsidP="00D245A4">
            <w:pPr>
              <w:tabs>
                <w:tab w:val="decimal" w:pos="256"/>
              </w:tabs>
              <w:spacing w:line="256" w:lineRule="auto"/>
              <w:rPr>
                <w:rFonts w:ascii="Arial" w:eastAsia="Calibri" w:hAnsi="Arial" w:cs="Arial"/>
                <w:bCs/>
                <w:color w:val="000000"/>
                <w:sz w:val="20"/>
              </w:rPr>
            </w:pPr>
            <w:r w:rsidRPr="00361437">
              <w:rPr>
                <w:rFonts w:ascii="Arial" w:hAnsi="Arial" w:cs="Arial"/>
                <w:color w:val="000000"/>
                <w:sz w:val="20"/>
              </w:rPr>
              <w:t>-0.0216</w:t>
            </w:r>
            <w:r w:rsidRPr="00361437">
              <w:rPr>
                <w:rFonts w:ascii="Arial" w:hAnsi="Arial" w:cs="Arial"/>
                <w:color w:val="000000"/>
                <w:sz w:val="20"/>
                <w:vertAlign w:val="superscript"/>
              </w:rPr>
              <w:t>**</w:t>
            </w:r>
          </w:p>
        </w:tc>
        <w:tc>
          <w:tcPr>
            <w:tcW w:w="784" w:type="dxa"/>
            <w:tcMar>
              <w:top w:w="0" w:type="dxa"/>
              <w:left w:w="14" w:type="dxa"/>
              <w:bottom w:w="0" w:type="dxa"/>
              <w:right w:w="14" w:type="dxa"/>
            </w:tcMar>
            <w:vAlign w:val="center"/>
            <w:hideMark/>
          </w:tcPr>
          <w:p w14:paraId="19CAE5DD" w14:textId="52FB91AA" w:rsidR="00D245A4" w:rsidRPr="00361437" w:rsidRDefault="00D245A4" w:rsidP="00D245A4">
            <w:pPr>
              <w:tabs>
                <w:tab w:val="decimal" w:pos="256"/>
              </w:tabs>
              <w:spacing w:line="256" w:lineRule="auto"/>
              <w:rPr>
                <w:rFonts w:ascii="Arial" w:eastAsia="Calibri" w:hAnsi="Arial" w:cs="Arial"/>
                <w:bCs/>
                <w:color w:val="000000"/>
                <w:sz w:val="20"/>
              </w:rPr>
            </w:pPr>
            <w:r w:rsidRPr="00361437">
              <w:rPr>
                <w:rFonts w:ascii="Arial" w:hAnsi="Arial" w:cs="Arial"/>
                <w:color w:val="000000"/>
                <w:sz w:val="20"/>
              </w:rPr>
              <w:t>0.0387</w:t>
            </w:r>
          </w:p>
        </w:tc>
        <w:tc>
          <w:tcPr>
            <w:tcW w:w="250" w:type="dxa"/>
            <w:tcMar>
              <w:top w:w="0" w:type="dxa"/>
              <w:left w:w="115" w:type="dxa"/>
              <w:bottom w:w="0" w:type="dxa"/>
              <w:right w:w="115" w:type="dxa"/>
            </w:tcMar>
            <w:vAlign w:val="center"/>
          </w:tcPr>
          <w:p w14:paraId="17E11BA4" w14:textId="77777777" w:rsidR="00D245A4" w:rsidRPr="00361437" w:rsidRDefault="00D245A4" w:rsidP="00D245A4">
            <w:pPr>
              <w:tabs>
                <w:tab w:val="decimal" w:pos="256"/>
              </w:tabs>
              <w:spacing w:line="256" w:lineRule="auto"/>
              <w:rPr>
                <w:rFonts w:ascii="Arial" w:eastAsia="Calibri" w:hAnsi="Arial" w:cs="Arial"/>
                <w:bCs/>
                <w:color w:val="000000"/>
                <w:sz w:val="20"/>
              </w:rPr>
            </w:pPr>
          </w:p>
        </w:tc>
        <w:tc>
          <w:tcPr>
            <w:tcW w:w="996" w:type="dxa"/>
            <w:noWrap/>
            <w:tcMar>
              <w:top w:w="0" w:type="dxa"/>
              <w:left w:w="14" w:type="dxa"/>
              <w:bottom w:w="0" w:type="dxa"/>
              <w:right w:w="14" w:type="dxa"/>
            </w:tcMar>
            <w:vAlign w:val="center"/>
            <w:hideMark/>
          </w:tcPr>
          <w:p w14:paraId="31EE1994" w14:textId="3BFEBC35" w:rsidR="00D245A4" w:rsidRPr="00361437" w:rsidRDefault="00D245A4" w:rsidP="00D245A4">
            <w:pPr>
              <w:tabs>
                <w:tab w:val="decimal" w:pos="256"/>
              </w:tabs>
              <w:spacing w:line="256" w:lineRule="auto"/>
              <w:rPr>
                <w:rFonts w:ascii="Arial" w:eastAsia="Calibri" w:hAnsi="Arial" w:cs="Arial"/>
                <w:bCs/>
                <w:color w:val="000000"/>
                <w:sz w:val="20"/>
              </w:rPr>
            </w:pPr>
            <w:r w:rsidRPr="00361437">
              <w:rPr>
                <w:rFonts w:ascii="Arial" w:hAnsi="Arial" w:cs="Arial"/>
                <w:color w:val="000000"/>
                <w:sz w:val="20"/>
              </w:rPr>
              <w:t>-0.0005</w:t>
            </w:r>
          </w:p>
        </w:tc>
        <w:tc>
          <w:tcPr>
            <w:tcW w:w="786" w:type="dxa"/>
            <w:noWrap/>
            <w:tcMar>
              <w:top w:w="0" w:type="dxa"/>
              <w:left w:w="14" w:type="dxa"/>
              <w:bottom w:w="0" w:type="dxa"/>
              <w:right w:w="14" w:type="dxa"/>
            </w:tcMar>
            <w:vAlign w:val="center"/>
            <w:hideMark/>
          </w:tcPr>
          <w:p w14:paraId="165802AF" w14:textId="76D8AD89" w:rsidR="00D245A4" w:rsidRPr="00361437" w:rsidRDefault="00D245A4" w:rsidP="00D245A4">
            <w:pPr>
              <w:tabs>
                <w:tab w:val="decimal" w:pos="256"/>
              </w:tabs>
              <w:spacing w:line="256" w:lineRule="auto"/>
              <w:rPr>
                <w:rFonts w:ascii="Arial" w:eastAsia="Calibri" w:hAnsi="Arial" w:cs="Arial"/>
                <w:bCs/>
                <w:color w:val="000000"/>
                <w:sz w:val="20"/>
              </w:rPr>
            </w:pPr>
            <w:r w:rsidRPr="00361437">
              <w:rPr>
                <w:rFonts w:ascii="Arial" w:hAnsi="Arial" w:cs="Arial"/>
                <w:color w:val="000000"/>
                <w:sz w:val="20"/>
              </w:rPr>
              <w:t>0.8139</w:t>
            </w:r>
          </w:p>
        </w:tc>
        <w:tc>
          <w:tcPr>
            <w:tcW w:w="250" w:type="dxa"/>
            <w:tcMar>
              <w:top w:w="0" w:type="dxa"/>
              <w:left w:w="115" w:type="dxa"/>
              <w:bottom w:w="0" w:type="dxa"/>
              <w:right w:w="115" w:type="dxa"/>
            </w:tcMar>
            <w:vAlign w:val="center"/>
          </w:tcPr>
          <w:p w14:paraId="496BA4BA" w14:textId="77777777" w:rsidR="00D245A4" w:rsidRPr="00361437" w:rsidRDefault="00D245A4" w:rsidP="00D245A4">
            <w:pPr>
              <w:tabs>
                <w:tab w:val="decimal" w:pos="256"/>
              </w:tabs>
              <w:spacing w:line="256" w:lineRule="auto"/>
              <w:rPr>
                <w:rFonts w:ascii="Arial" w:eastAsia="Calibri" w:hAnsi="Arial" w:cs="Arial"/>
                <w:bCs/>
                <w:color w:val="000000"/>
                <w:sz w:val="20"/>
              </w:rPr>
            </w:pPr>
          </w:p>
        </w:tc>
        <w:tc>
          <w:tcPr>
            <w:tcW w:w="996" w:type="dxa"/>
            <w:noWrap/>
            <w:tcMar>
              <w:top w:w="0" w:type="dxa"/>
              <w:left w:w="14" w:type="dxa"/>
              <w:bottom w:w="0" w:type="dxa"/>
              <w:right w:w="14" w:type="dxa"/>
            </w:tcMar>
            <w:vAlign w:val="center"/>
            <w:hideMark/>
          </w:tcPr>
          <w:p w14:paraId="419B5367" w14:textId="6B5027D1" w:rsidR="00D245A4" w:rsidRPr="00361437" w:rsidRDefault="00D245A4" w:rsidP="00D245A4">
            <w:pPr>
              <w:tabs>
                <w:tab w:val="decimal" w:pos="256"/>
              </w:tabs>
              <w:spacing w:line="256" w:lineRule="auto"/>
              <w:rPr>
                <w:rFonts w:ascii="Arial" w:eastAsia="Calibri" w:hAnsi="Arial" w:cs="Arial"/>
                <w:bCs/>
                <w:color w:val="000000"/>
                <w:sz w:val="20"/>
              </w:rPr>
            </w:pPr>
            <w:r w:rsidRPr="00361437">
              <w:rPr>
                <w:rFonts w:ascii="Arial" w:hAnsi="Arial" w:cs="Arial"/>
                <w:color w:val="000000"/>
                <w:sz w:val="20"/>
              </w:rPr>
              <w:t>-0.0019</w:t>
            </w:r>
            <w:r w:rsidRPr="00361437">
              <w:rPr>
                <w:rFonts w:ascii="Arial" w:hAnsi="Arial" w:cs="Arial"/>
                <w:color w:val="000000"/>
                <w:sz w:val="20"/>
                <w:vertAlign w:val="superscript"/>
              </w:rPr>
              <w:t>**</w:t>
            </w:r>
          </w:p>
        </w:tc>
        <w:tc>
          <w:tcPr>
            <w:tcW w:w="956" w:type="dxa"/>
            <w:noWrap/>
            <w:tcMar>
              <w:top w:w="0" w:type="dxa"/>
              <w:left w:w="14" w:type="dxa"/>
              <w:bottom w:w="0" w:type="dxa"/>
              <w:right w:w="14" w:type="dxa"/>
            </w:tcMar>
            <w:vAlign w:val="center"/>
            <w:hideMark/>
          </w:tcPr>
          <w:p w14:paraId="7EDB7C77" w14:textId="631732C5" w:rsidR="00D245A4" w:rsidRPr="00361437" w:rsidRDefault="00D245A4" w:rsidP="00D245A4">
            <w:pPr>
              <w:tabs>
                <w:tab w:val="decimal" w:pos="256"/>
              </w:tabs>
              <w:spacing w:line="256" w:lineRule="auto"/>
              <w:rPr>
                <w:rFonts w:ascii="Arial" w:eastAsia="Calibri" w:hAnsi="Arial" w:cs="Arial"/>
                <w:bCs/>
                <w:color w:val="000000"/>
                <w:sz w:val="20"/>
              </w:rPr>
            </w:pPr>
            <w:r w:rsidRPr="00361437">
              <w:rPr>
                <w:rFonts w:ascii="Arial" w:hAnsi="Arial" w:cs="Arial"/>
                <w:color w:val="000000"/>
                <w:sz w:val="20"/>
              </w:rPr>
              <w:t>0.0257</w:t>
            </w:r>
          </w:p>
        </w:tc>
      </w:tr>
      <w:tr w:rsidR="00D245A4" w:rsidRPr="00361437" w14:paraId="04C542A5" w14:textId="77777777" w:rsidTr="004F27B4">
        <w:trPr>
          <w:trHeight w:val="288"/>
        </w:trPr>
        <w:tc>
          <w:tcPr>
            <w:tcW w:w="4076" w:type="dxa"/>
            <w:noWrap/>
            <w:vAlign w:val="center"/>
            <w:hideMark/>
          </w:tcPr>
          <w:p w14:paraId="19CC57C9" w14:textId="37715C2E" w:rsidR="00505A3D" w:rsidRPr="00361437" w:rsidRDefault="00505A3D" w:rsidP="00D245A4">
            <w:pPr>
              <w:spacing w:line="256" w:lineRule="auto"/>
              <w:ind w:left="180" w:hanging="180"/>
              <w:contextualSpacing/>
              <w:rPr>
                <w:rFonts w:ascii="Arial" w:eastAsia="Calibri" w:hAnsi="Arial" w:cs="Arial"/>
                <w:color w:val="000000"/>
                <w:sz w:val="18"/>
              </w:rPr>
            </w:pPr>
            <w:r w:rsidRPr="00361437">
              <w:rPr>
                <w:rFonts w:ascii="Arial" w:eastAsia="Calibri" w:hAnsi="Arial" w:cs="Arial"/>
                <w:bCs/>
                <w:color w:val="000000"/>
                <w:sz w:val="18"/>
              </w:rPr>
              <w:t>FRACTION_OF_VOTES_WITH_CREDITORS</w:t>
            </w:r>
            <w:r w:rsidRPr="00361437">
              <w:rPr>
                <w:rFonts w:ascii="Arial" w:eastAsia="Calibri" w:hAnsi="Arial" w:cs="Arial"/>
                <w:color w:val="000000"/>
                <w:sz w:val="18"/>
              </w:rPr>
              <w:t xml:space="preserve"> </w:t>
            </w:r>
          </w:p>
          <w:p w14:paraId="3413D6F3" w14:textId="6E5A17BD" w:rsidR="00D245A4" w:rsidRPr="00361437" w:rsidRDefault="00505A3D" w:rsidP="00D245A4">
            <w:pPr>
              <w:spacing w:line="256" w:lineRule="auto"/>
              <w:ind w:left="180" w:hanging="180"/>
              <w:contextualSpacing/>
              <w:rPr>
                <w:rFonts w:ascii="Arial" w:eastAsia="Times New Roman" w:hAnsi="Arial" w:cs="Arial"/>
                <w:color w:val="000000"/>
                <w:sz w:val="18"/>
              </w:rPr>
            </w:pPr>
            <w:r w:rsidRPr="00361437">
              <w:rPr>
                <w:rFonts w:ascii="Arial" w:eastAsia="Calibri" w:hAnsi="Arial" w:cs="Arial"/>
                <w:color w:val="000000"/>
                <w:sz w:val="18"/>
              </w:rPr>
              <w:t>× DISTRESS_(0,1)</w:t>
            </w:r>
          </w:p>
        </w:tc>
        <w:tc>
          <w:tcPr>
            <w:tcW w:w="995" w:type="dxa"/>
            <w:tcMar>
              <w:top w:w="0" w:type="dxa"/>
              <w:left w:w="14" w:type="dxa"/>
              <w:bottom w:w="0" w:type="dxa"/>
              <w:right w:w="14" w:type="dxa"/>
            </w:tcMar>
            <w:vAlign w:val="center"/>
            <w:hideMark/>
          </w:tcPr>
          <w:p w14:paraId="7829EDCF" w14:textId="1E3F4925"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0.0405</w:t>
            </w:r>
            <w:r w:rsidRPr="00361437">
              <w:rPr>
                <w:rFonts w:ascii="Arial" w:hAnsi="Arial" w:cs="Arial"/>
                <w:color w:val="000000"/>
                <w:sz w:val="20"/>
                <w:vertAlign w:val="superscript"/>
              </w:rPr>
              <w:t>***</w:t>
            </w:r>
          </w:p>
        </w:tc>
        <w:tc>
          <w:tcPr>
            <w:tcW w:w="783" w:type="dxa"/>
            <w:tcMar>
              <w:top w:w="0" w:type="dxa"/>
              <w:left w:w="14" w:type="dxa"/>
              <w:bottom w:w="0" w:type="dxa"/>
              <w:right w:w="14" w:type="dxa"/>
            </w:tcMar>
            <w:vAlign w:val="center"/>
            <w:hideMark/>
          </w:tcPr>
          <w:p w14:paraId="7B950D9D" w14:textId="174B4CBD"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c>
          <w:tcPr>
            <w:tcW w:w="250" w:type="dxa"/>
            <w:tcMar>
              <w:top w:w="0" w:type="dxa"/>
              <w:left w:w="115" w:type="dxa"/>
              <w:bottom w:w="0" w:type="dxa"/>
              <w:right w:w="115" w:type="dxa"/>
            </w:tcMar>
            <w:vAlign w:val="center"/>
          </w:tcPr>
          <w:p w14:paraId="20384423"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4A315AE4" w14:textId="4C51C81C"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0.0170</w:t>
            </w:r>
            <w:r w:rsidRPr="00361437">
              <w:rPr>
                <w:rFonts w:ascii="Arial" w:hAnsi="Arial" w:cs="Arial"/>
                <w:color w:val="000000"/>
                <w:sz w:val="20"/>
                <w:vertAlign w:val="superscript"/>
              </w:rPr>
              <w:t>***</w:t>
            </w:r>
          </w:p>
        </w:tc>
        <w:tc>
          <w:tcPr>
            <w:tcW w:w="784" w:type="dxa"/>
            <w:tcMar>
              <w:top w:w="0" w:type="dxa"/>
              <w:left w:w="14" w:type="dxa"/>
              <w:bottom w:w="0" w:type="dxa"/>
              <w:right w:w="14" w:type="dxa"/>
            </w:tcMar>
            <w:vAlign w:val="center"/>
            <w:hideMark/>
          </w:tcPr>
          <w:p w14:paraId="6278A7FB" w14:textId="3EDF238A"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c>
          <w:tcPr>
            <w:tcW w:w="250" w:type="dxa"/>
            <w:tcMar>
              <w:top w:w="0" w:type="dxa"/>
              <w:left w:w="115" w:type="dxa"/>
              <w:bottom w:w="0" w:type="dxa"/>
              <w:right w:w="115" w:type="dxa"/>
            </w:tcMar>
            <w:vAlign w:val="center"/>
          </w:tcPr>
          <w:p w14:paraId="49D12924"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78242590" w14:textId="44B0675D"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-0.0291</w:t>
            </w:r>
            <w:r w:rsidRPr="00361437">
              <w:rPr>
                <w:rFonts w:ascii="Arial" w:hAnsi="Arial" w:cs="Arial"/>
                <w:color w:val="000000"/>
                <w:sz w:val="20"/>
                <w:vertAlign w:val="superscript"/>
              </w:rPr>
              <w:t>**</w:t>
            </w:r>
          </w:p>
        </w:tc>
        <w:tc>
          <w:tcPr>
            <w:tcW w:w="784" w:type="dxa"/>
            <w:tcMar>
              <w:top w:w="0" w:type="dxa"/>
              <w:left w:w="14" w:type="dxa"/>
              <w:bottom w:w="0" w:type="dxa"/>
              <w:right w:w="14" w:type="dxa"/>
            </w:tcMar>
            <w:vAlign w:val="center"/>
            <w:hideMark/>
          </w:tcPr>
          <w:p w14:paraId="1DC1FD33" w14:textId="2A4EF781"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w:t>
            </w:r>
            <w:r w:rsidR="009B1AEC" w:rsidRPr="00361437">
              <w:rPr>
                <w:rFonts w:ascii="Arial" w:hAnsi="Arial" w:cs="Arial"/>
                <w:color w:val="000000"/>
                <w:sz w:val="20"/>
              </w:rPr>
              <w:t>302</w:t>
            </w:r>
          </w:p>
        </w:tc>
        <w:tc>
          <w:tcPr>
            <w:tcW w:w="250" w:type="dxa"/>
            <w:tcMar>
              <w:top w:w="0" w:type="dxa"/>
              <w:left w:w="115" w:type="dxa"/>
              <w:bottom w:w="0" w:type="dxa"/>
              <w:right w:w="115" w:type="dxa"/>
            </w:tcMar>
            <w:vAlign w:val="center"/>
          </w:tcPr>
          <w:p w14:paraId="361B58FB"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52316BA6" w14:textId="311802DF"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-0.0049</w:t>
            </w:r>
            <w:r w:rsidRPr="00361437">
              <w:rPr>
                <w:rFonts w:ascii="Arial" w:hAnsi="Arial" w:cs="Arial"/>
                <w:color w:val="000000"/>
                <w:sz w:val="20"/>
                <w:vertAlign w:val="superscript"/>
              </w:rPr>
              <w:t>**</w:t>
            </w:r>
          </w:p>
        </w:tc>
        <w:tc>
          <w:tcPr>
            <w:tcW w:w="786" w:type="dxa"/>
            <w:noWrap/>
            <w:tcMar>
              <w:top w:w="0" w:type="dxa"/>
              <w:left w:w="14" w:type="dxa"/>
              <w:bottom w:w="0" w:type="dxa"/>
              <w:right w:w="14" w:type="dxa"/>
            </w:tcMar>
            <w:vAlign w:val="center"/>
            <w:hideMark/>
          </w:tcPr>
          <w:p w14:paraId="4CFBB0AC" w14:textId="46D36960"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0.0279</w:t>
            </w:r>
          </w:p>
        </w:tc>
        <w:tc>
          <w:tcPr>
            <w:tcW w:w="250" w:type="dxa"/>
            <w:tcMar>
              <w:top w:w="0" w:type="dxa"/>
              <w:left w:w="115" w:type="dxa"/>
              <w:bottom w:w="0" w:type="dxa"/>
              <w:right w:w="115" w:type="dxa"/>
            </w:tcMar>
            <w:vAlign w:val="center"/>
          </w:tcPr>
          <w:p w14:paraId="6EB58981"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4568FD98" w14:textId="18E0829E"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-0.0039</w:t>
            </w:r>
            <w:r w:rsidRPr="00361437">
              <w:rPr>
                <w:rFonts w:ascii="Arial" w:hAnsi="Arial" w:cs="Arial"/>
                <w:color w:val="000000"/>
                <w:sz w:val="20"/>
                <w:vertAlign w:val="superscript"/>
              </w:rPr>
              <w:t>**</w:t>
            </w:r>
          </w:p>
        </w:tc>
        <w:tc>
          <w:tcPr>
            <w:tcW w:w="956" w:type="dxa"/>
            <w:noWrap/>
            <w:tcMar>
              <w:top w:w="0" w:type="dxa"/>
              <w:left w:w="14" w:type="dxa"/>
              <w:bottom w:w="0" w:type="dxa"/>
              <w:right w:w="14" w:type="dxa"/>
            </w:tcMar>
            <w:vAlign w:val="center"/>
            <w:hideMark/>
          </w:tcPr>
          <w:p w14:paraId="67D58110" w14:textId="4D655D12"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w:t>
            </w:r>
            <w:r w:rsidR="009B1AEC" w:rsidRPr="00361437">
              <w:rPr>
                <w:rFonts w:ascii="Arial" w:hAnsi="Arial" w:cs="Arial"/>
                <w:color w:val="000000"/>
                <w:sz w:val="20"/>
              </w:rPr>
              <w:t>128</w:t>
            </w:r>
          </w:p>
        </w:tc>
      </w:tr>
      <w:tr w:rsidR="00D245A4" w:rsidRPr="00361437" w14:paraId="0B747BBC" w14:textId="77777777" w:rsidTr="004F27B4">
        <w:trPr>
          <w:trHeight w:val="288"/>
        </w:trPr>
        <w:tc>
          <w:tcPr>
            <w:tcW w:w="4076" w:type="dxa"/>
            <w:noWrap/>
            <w:vAlign w:val="center"/>
            <w:hideMark/>
          </w:tcPr>
          <w:p w14:paraId="1E9A62C6" w14:textId="6C6D1766" w:rsidR="00D245A4" w:rsidRPr="00361437" w:rsidRDefault="00013673" w:rsidP="00D245A4">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ln</w:t>
            </w:r>
            <w:r w:rsidR="00505A3D" w:rsidRPr="00361437">
              <w:rPr>
                <w:rFonts w:ascii="Arial" w:eastAsia="Times New Roman" w:hAnsi="Arial" w:cs="Arial"/>
                <w:sz w:val="18"/>
              </w:rPr>
              <w:t>(MARKET_CAP)</w:t>
            </w:r>
          </w:p>
        </w:tc>
        <w:tc>
          <w:tcPr>
            <w:tcW w:w="995" w:type="dxa"/>
            <w:tcMar>
              <w:top w:w="0" w:type="dxa"/>
              <w:left w:w="14" w:type="dxa"/>
              <w:bottom w:w="0" w:type="dxa"/>
              <w:right w:w="14" w:type="dxa"/>
            </w:tcMar>
            <w:vAlign w:val="center"/>
            <w:hideMark/>
          </w:tcPr>
          <w:p w14:paraId="23CC0D90" w14:textId="4A139DD7"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c>
          <w:tcPr>
            <w:tcW w:w="783" w:type="dxa"/>
            <w:tcMar>
              <w:top w:w="0" w:type="dxa"/>
              <w:left w:w="14" w:type="dxa"/>
              <w:bottom w:w="0" w:type="dxa"/>
              <w:right w:w="14" w:type="dxa"/>
            </w:tcMar>
            <w:vAlign w:val="center"/>
            <w:hideMark/>
          </w:tcPr>
          <w:p w14:paraId="663119AA" w14:textId="6FF5C3A6"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0.6711</w:t>
            </w:r>
          </w:p>
        </w:tc>
        <w:tc>
          <w:tcPr>
            <w:tcW w:w="250" w:type="dxa"/>
            <w:tcMar>
              <w:top w:w="0" w:type="dxa"/>
              <w:left w:w="115" w:type="dxa"/>
              <w:bottom w:w="0" w:type="dxa"/>
              <w:right w:w="115" w:type="dxa"/>
            </w:tcMar>
            <w:vAlign w:val="center"/>
          </w:tcPr>
          <w:p w14:paraId="04B26C1F"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2D38CCF4" w14:textId="0A2BC5D9"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0.0001</w:t>
            </w:r>
            <w:r w:rsidRPr="00361437">
              <w:rPr>
                <w:rFonts w:ascii="Arial" w:hAnsi="Arial" w:cs="Arial"/>
                <w:color w:val="000000"/>
                <w:sz w:val="20"/>
                <w:vertAlign w:val="superscript"/>
              </w:rPr>
              <w:t>**</w:t>
            </w:r>
          </w:p>
        </w:tc>
        <w:tc>
          <w:tcPr>
            <w:tcW w:w="784" w:type="dxa"/>
            <w:tcMar>
              <w:top w:w="0" w:type="dxa"/>
              <w:left w:w="14" w:type="dxa"/>
              <w:bottom w:w="0" w:type="dxa"/>
              <w:right w:w="14" w:type="dxa"/>
            </w:tcMar>
            <w:vAlign w:val="center"/>
            <w:hideMark/>
          </w:tcPr>
          <w:p w14:paraId="771B8640" w14:textId="131DA271"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0.0275</w:t>
            </w:r>
          </w:p>
        </w:tc>
        <w:tc>
          <w:tcPr>
            <w:tcW w:w="250" w:type="dxa"/>
            <w:tcMar>
              <w:top w:w="0" w:type="dxa"/>
              <w:left w:w="115" w:type="dxa"/>
              <w:bottom w:w="0" w:type="dxa"/>
              <w:right w:w="115" w:type="dxa"/>
            </w:tcMar>
            <w:vAlign w:val="center"/>
          </w:tcPr>
          <w:p w14:paraId="75FA4EBE"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1EABB4DA" w14:textId="3FF7C3B5"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0.0040</w:t>
            </w:r>
            <w:r w:rsidRPr="00361437">
              <w:rPr>
                <w:rFonts w:ascii="Arial" w:hAnsi="Arial" w:cs="Arial"/>
                <w:color w:val="000000"/>
                <w:sz w:val="20"/>
                <w:vertAlign w:val="superscript"/>
              </w:rPr>
              <w:t>***</w:t>
            </w:r>
          </w:p>
        </w:tc>
        <w:tc>
          <w:tcPr>
            <w:tcW w:w="784" w:type="dxa"/>
            <w:tcMar>
              <w:top w:w="0" w:type="dxa"/>
              <w:left w:w="14" w:type="dxa"/>
              <w:bottom w:w="0" w:type="dxa"/>
              <w:right w:w="14" w:type="dxa"/>
            </w:tcMar>
            <w:vAlign w:val="center"/>
            <w:hideMark/>
          </w:tcPr>
          <w:p w14:paraId="3C45E357" w14:textId="6B97269F"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c>
          <w:tcPr>
            <w:tcW w:w="250" w:type="dxa"/>
            <w:tcMar>
              <w:top w:w="0" w:type="dxa"/>
              <w:left w:w="115" w:type="dxa"/>
              <w:bottom w:w="0" w:type="dxa"/>
              <w:right w:w="115" w:type="dxa"/>
            </w:tcMar>
            <w:vAlign w:val="center"/>
          </w:tcPr>
          <w:p w14:paraId="602F59C5"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1393BA41" w14:textId="582F6308"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-0.0004</w:t>
            </w:r>
          </w:p>
        </w:tc>
        <w:tc>
          <w:tcPr>
            <w:tcW w:w="786" w:type="dxa"/>
            <w:noWrap/>
            <w:tcMar>
              <w:top w:w="0" w:type="dxa"/>
              <w:left w:w="14" w:type="dxa"/>
              <w:bottom w:w="0" w:type="dxa"/>
              <w:right w:w="14" w:type="dxa"/>
            </w:tcMar>
            <w:vAlign w:val="center"/>
            <w:hideMark/>
          </w:tcPr>
          <w:p w14:paraId="255D015E" w14:textId="1AE1AD5D"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0.1246</w:t>
            </w:r>
          </w:p>
        </w:tc>
        <w:tc>
          <w:tcPr>
            <w:tcW w:w="250" w:type="dxa"/>
            <w:tcMar>
              <w:top w:w="0" w:type="dxa"/>
              <w:left w:w="115" w:type="dxa"/>
              <w:bottom w:w="0" w:type="dxa"/>
              <w:right w:w="115" w:type="dxa"/>
            </w:tcMar>
            <w:vAlign w:val="center"/>
          </w:tcPr>
          <w:p w14:paraId="7C0A3E00"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2FF97173" w14:textId="3521AE05"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-0.0001</w:t>
            </w:r>
          </w:p>
        </w:tc>
        <w:tc>
          <w:tcPr>
            <w:tcW w:w="956" w:type="dxa"/>
            <w:noWrap/>
            <w:tcMar>
              <w:top w:w="0" w:type="dxa"/>
              <w:left w:w="14" w:type="dxa"/>
              <w:bottom w:w="0" w:type="dxa"/>
              <w:right w:w="14" w:type="dxa"/>
            </w:tcMar>
            <w:vAlign w:val="center"/>
            <w:hideMark/>
          </w:tcPr>
          <w:p w14:paraId="0F820E8A" w14:textId="573BF9AA"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0.6966</w:t>
            </w:r>
          </w:p>
        </w:tc>
      </w:tr>
      <w:tr w:rsidR="00D245A4" w:rsidRPr="00361437" w14:paraId="1C4D187A" w14:textId="77777777" w:rsidTr="004F27B4">
        <w:trPr>
          <w:trHeight w:val="288"/>
        </w:trPr>
        <w:tc>
          <w:tcPr>
            <w:tcW w:w="4076" w:type="dxa"/>
            <w:noWrap/>
            <w:vAlign w:val="center"/>
            <w:hideMark/>
          </w:tcPr>
          <w:p w14:paraId="0EBB863C" w14:textId="7C279F12" w:rsidR="00D245A4" w:rsidRPr="00361437" w:rsidRDefault="00505A3D" w:rsidP="00D245A4">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MARKET_TO_BOOK</w:t>
            </w:r>
          </w:p>
        </w:tc>
        <w:tc>
          <w:tcPr>
            <w:tcW w:w="995" w:type="dxa"/>
            <w:tcMar>
              <w:top w:w="0" w:type="dxa"/>
              <w:left w:w="14" w:type="dxa"/>
              <w:bottom w:w="0" w:type="dxa"/>
              <w:right w:w="14" w:type="dxa"/>
            </w:tcMar>
            <w:vAlign w:val="center"/>
            <w:hideMark/>
          </w:tcPr>
          <w:p w14:paraId="4B196258" w14:textId="3558BB3A"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c>
          <w:tcPr>
            <w:tcW w:w="783" w:type="dxa"/>
            <w:tcMar>
              <w:top w:w="0" w:type="dxa"/>
              <w:left w:w="14" w:type="dxa"/>
              <w:bottom w:w="0" w:type="dxa"/>
              <w:right w:w="14" w:type="dxa"/>
            </w:tcMar>
            <w:vAlign w:val="center"/>
            <w:hideMark/>
          </w:tcPr>
          <w:p w14:paraId="27DEACCD" w14:textId="0E35D173"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0.7832</w:t>
            </w:r>
          </w:p>
        </w:tc>
        <w:tc>
          <w:tcPr>
            <w:tcW w:w="250" w:type="dxa"/>
            <w:tcMar>
              <w:top w:w="0" w:type="dxa"/>
              <w:left w:w="115" w:type="dxa"/>
              <w:bottom w:w="0" w:type="dxa"/>
              <w:right w:w="115" w:type="dxa"/>
            </w:tcMar>
            <w:vAlign w:val="center"/>
          </w:tcPr>
          <w:p w14:paraId="2497FE5B"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1C66FC6B" w14:textId="5C98CEF4"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0.0002</w:t>
            </w:r>
            <w:r w:rsidRPr="00361437">
              <w:rPr>
                <w:rFonts w:ascii="Arial" w:hAnsi="Arial" w:cs="Arial"/>
                <w:color w:val="000000"/>
                <w:sz w:val="20"/>
                <w:vertAlign w:val="superscript"/>
              </w:rPr>
              <w:t>***</w:t>
            </w:r>
          </w:p>
        </w:tc>
        <w:tc>
          <w:tcPr>
            <w:tcW w:w="784" w:type="dxa"/>
            <w:tcMar>
              <w:top w:w="0" w:type="dxa"/>
              <w:left w:w="14" w:type="dxa"/>
              <w:bottom w:w="0" w:type="dxa"/>
              <w:right w:w="14" w:type="dxa"/>
            </w:tcMar>
            <w:vAlign w:val="center"/>
            <w:hideMark/>
          </w:tcPr>
          <w:p w14:paraId="35EE49FF" w14:textId="01E2AACF"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0.0001</w:t>
            </w:r>
          </w:p>
        </w:tc>
        <w:tc>
          <w:tcPr>
            <w:tcW w:w="250" w:type="dxa"/>
            <w:tcMar>
              <w:top w:w="0" w:type="dxa"/>
              <w:left w:w="115" w:type="dxa"/>
              <w:bottom w:w="0" w:type="dxa"/>
              <w:right w:w="115" w:type="dxa"/>
            </w:tcMar>
            <w:vAlign w:val="center"/>
          </w:tcPr>
          <w:p w14:paraId="11998D29"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4AC92959" w14:textId="2098679A"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-0.0013</w:t>
            </w:r>
          </w:p>
        </w:tc>
        <w:tc>
          <w:tcPr>
            <w:tcW w:w="784" w:type="dxa"/>
            <w:tcMar>
              <w:top w:w="0" w:type="dxa"/>
              <w:left w:w="14" w:type="dxa"/>
              <w:bottom w:w="0" w:type="dxa"/>
              <w:right w:w="14" w:type="dxa"/>
            </w:tcMar>
            <w:vAlign w:val="center"/>
            <w:hideMark/>
          </w:tcPr>
          <w:p w14:paraId="224411CD" w14:textId="3C5CDF44"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0.2120</w:t>
            </w:r>
          </w:p>
        </w:tc>
        <w:tc>
          <w:tcPr>
            <w:tcW w:w="250" w:type="dxa"/>
            <w:tcMar>
              <w:top w:w="0" w:type="dxa"/>
              <w:left w:w="115" w:type="dxa"/>
              <w:bottom w:w="0" w:type="dxa"/>
              <w:right w:w="115" w:type="dxa"/>
            </w:tcMar>
            <w:vAlign w:val="center"/>
          </w:tcPr>
          <w:p w14:paraId="286BB07A"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465E0B57" w14:textId="2681D395"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0.0028</w:t>
            </w:r>
            <w:r w:rsidRPr="00361437">
              <w:rPr>
                <w:rFonts w:ascii="Arial" w:hAnsi="Arial" w:cs="Arial"/>
                <w:color w:val="000000"/>
                <w:sz w:val="20"/>
                <w:vertAlign w:val="superscript"/>
              </w:rPr>
              <w:t>***</w:t>
            </w:r>
          </w:p>
        </w:tc>
        <w:tc>
          <w:tcPr>
            <w:tcW w:w="786" w:type="dxa"/>
            <w:noWrap/>
            <w:tcMar>
              <w:top w:w="0" w:type="dxa"/>
              <w:left w:w="14" w:type="dxa"/>
              <w:bottom w:w="0" w:type="dxa"/>
              <w:right w:w="14" w:type="dxa"/>
            </w:tcMar>
            <w:vAlign w:val="center"/>
            <w:hideMark/>
          </w:tcPr>
          <w:p w14:paraId="20E5EC56" w14:textId="34DC7892"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c>
          <w:tcPr>
            <w:tcW w:w="250" w:type="dxa"/>
            <w:tcMar>
              <w:top w:w="0" w:type="dxa"/>
              <w:left w:w="115" w:type="dxa"/>
              <w:bottom w:w="0" w:type="dxa"/>
              <w:right w:w="115" w:type="dxa"/>
            </w:tcMar>
            <w:vAlign w:val="center"/>
          </w:tcPr>
          <w:p w14:paraId="2FA87004"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6BDE1BF2" w14:textId="7EB2427A"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0.0021</w:t>
            </w:r>
            <w:r w:rsidRPr="00361437">
              <w:rPr>
                <w:rFonts w:ascii="Arial" w:hAnsi="Arial" w:cs="Arial"/>
                <w:color w:val="000000"/>
                <w:sz w:val="20"/>
                <w:vertAlign w:val="superscript"/>
              </w:rPr>
              <w:t>***</w:t>
            </w:r>
          </w:p>
        </w:tc>
        <w:tc>
          <w:tcPr>
            <w:tcW w:w="956" w:type="dxa"/>
            <w:noWrap/>
            <w:tcMar>
              <w:top w:w="0" w:type="dxa"/>
              <w:left w:w="14" w:type="dxa"/>
              <w:bottom w:w="0" w:type="dxa"/>
              <w:right w:w="14" w:type="dxa"/>
            </w:tcMar>
            <w:vAlign w:val="center"/>
            <w:hideMark/>
          </w:tcPr>
          <w:p w14:paraId="42E31298" w14:textId="272FF633"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r>
      <w:tr w:rsidR="00D245A4" w:rsidRPr="00361437" w14:paraId="3904703F" w14:textId="77777777" w:rsidTr="004F27B4">
        <w:trPr>
          <w:trHeight w:val="288"/>
        </w:trPr>
        <w:tc>
          <w:tcPr>
            <w:tcW w:w="4076" w:type="dxa"/>
            <w:noWrap/>
            <w:vAlign w:val="center"/>
            <w:hideMark/>
          </w:tcPr>
          <w:p w14:paraId="54B0D031" w14:textId="228B1765" w:rsidR="00D245A4" w:rsidRPr="00361437" w:rsidRDefault="00505A3D" w:rsidP="00D245A4">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LEVERAGE</w:t>
            </w:r>
          </w:p>
        </w:tc>
        <w:tc>
          <w:tcPr>
            <w:tcW w:w="995" w:type="dxa"/>
            <w:tcMar>
              <w:top w:w="0" w:type="dxa"/>
              <w:left w:w="14" w:type="dxa"/>
              <w:bottom w:w="0" w:type="dxa"/>
              <w:right w:w="14" w:type="dxa"/>
            </w:tcMar>
            <w:vAlign w:val="center"/>
            <w:hideMark/>
          </w:tcPr>
          <w:p w14:paraId="1E2FD9C5" w14:textId="7971CFD6"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0.0037</w:t>
            </w:r>
            <w:r w:rsidRPr="00361437">
              <w:rPr>
                <w:rFonts w:ascii="Arial" w:hAnsi="Arial" w:cs="Arial"/>
                <w:color w:val="000000"/>
                <w:sz w:val="20"/>
                <w:vertAlign w:val="superscript"/>
              </w:rPr>
              <w:t>***</w:t>
            </w:r>
          </w:p>
        </w:tc>
        <w:tc>
          <w:tcPr>
            <w:tcW w:w="783" w:type="dxa"/>
            <w:tcMar>
              <w:top w:w="0" w:type="dxa"/>
              <w:left w:w="14" w:type="dxa"/>
              <w:bottom w:w="0" w:type="dxa"/>
              <w:right w:w="14" w:type="dxa"/>
            </w:tcMar>
            <w:vAlign w:val="center"/>
            <w:hideMark/>
          </w:tcPr>
          <w:p w14:paraId="2CC2189C" w14:textId="6BA84136"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c>
          <w:tcPr>
            <w:tcW w:w="250" w:type="dxa"/>
            <w:tcMar>
              <w:top w:w="0" w:type="dxa"/>
              <w:left w:w="115" w:type="dxa"/>
              <w:bottom w:w="0" w:type="dxa"/>
              <w:right w:w="115" w:type="dxa"/>
            </w:tcMar>
            <w:vAlign w:val="center"/>
          </w:tcPr>
          <w:p w14:paraId="2D36DB6F"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061FE300" w14:textId="4FF33E12"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0.0003</w:t>
            </w:r>
          </w:p>
        </w:tc>
        <w:tc>
          <w:tcPr>
            <w:tcW w:w="784" w:type="dxa"/>
            <w:tcMar>
              <w:top w:w="0" w:type="dxa"/>
              <w:left w:w="14" w:type="dxa"/>
              <w:bottom w:w="0" w:type="dxa"/>
              <w:right w:w="14" w:type="dxa"/>
            </w:tcMar>
            <w:vAlign w:val="center"/>
            <w:hideMark/>
          </w:tcPr>
          <w:p w14:paraId="10542D1A" w14:textId="5E1C6473"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0.4159</w:t>
            </w:r>
          </w:p>
        </w:tc>
        <w:tc>
          <w:tcPr>
            <w:tcW w:w="250" w:type="dxa"/>
            <w:tcMar>
              <w:top w:w="0" w:type="dxa"/>
              <w:left w:w="115" w:type="dxa"/>
              <w:bottom w:w="0" w:type="dxa"/>
              <w:right w:w="115" w:type="dxa"/>
            </w:tcMar>
            <w:vAlign w:val="center"/>
          </w:tcPr>
          <w:p w14:paraId="0852F778"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71EC72D5" w14:textId="62740263"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0.0181</w:t>
            </w:r>
          </w:p>
        </w:tc>
        <w:tc>
          <w:tcPr>
            <w:tcW w:w="784" w:type="dxa"/>
            <w:tcMar>
              <w:top w:w="0" w:type="dxa"/>
              <w:left w:w="14" w:type="dxa"/>
              <w:bottom w:w="0" w:type="dxa"/>
              <w:right w:w="14" w:type="dxa"/>
            </w:tcMar>
            <w:vAlign w:val="center"/>
            <w:hideMark/>
          </w:tcPr>
          <w:p w14:paraId="16FE5715" w14:textId="042AE554"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0.0285</w:t>
            </w:r>
          </w:p>
        </w:tc>
        <w:tc>
          <w:tcPr>
            <w:tcW w:w="250" w:type="dxa"/>
            <w:tcMar>
              <w:top w:w="0" w:type="dxa"/>
              <w:left w:w="115" w:type="dxa"/>
              <w:bottom w:w="0" w:type="dxa"/>
              <w:right w:w="115" w:type="dxa"/>
            </w:tcMar>
            <w:vAlign w:val="center"/>
          </w:tcPr>
          <w:p w14:paraId="365F844A"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0962E58D" w14:textId="01222680"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0.0031</w:t>
            </w:r>
          </w:p>
        </w:tc>
        <w:tc>
          <w:tcPr>
            <w:tcW w:w="786" w:type="dxa"/>
            <w:noWrap/>
            <w:tcMar>
              <w:top w:w="0" w:type="dxa"/>
              <w:left w:w="14" w:type="dxa"/>
              <w:bottom w:w="0" w:type="dxa"/>
              <w:right w:w="14" w:type="dxa"/>
            </w:tcMar>
            <w:vAlign w:val="center"/>
            <w:hideMark/>
          </w:tcPr>
          <w:p w14:paraId="320CFD75" w14:textId="24026765"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0.1079</w:t>
            </w:r>
          </w:p>
        </w:tc>
        <w:tc>
          <w:tcPr>
            <w:tcW w:w="250" w:type="dxa"/>
            <w:tcMar>
              <w:top w:w="0" w:type="dxa"/>
              <w:left w:w="115" w:type="dxa"/>
              <w:bottom w:w="0" w:type="dxa"/>
              <w:right w:w="115" w:type="dxa"/>
            </w:tcMar>
            <w:vAlign w:val="center"/>
          </w:tcPr>
          <w:p w14:paraId="376443ED"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1C8EAD72" w14:textId="7BDD64F9"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-0.0015</w:t>
            </w:r>
          </w:p>
        </w:tc>
        <w:tc>
          <w:tcPr>
            <w:tcW w:w="956" w:type="dxa"/>
            <w:noWrap/>
            <w:tcMar>
              <w:top w:w="0" w:type="dxa"/>
              <w:left w:w="14" w:type="dxa"/>
              <w:bottom w:w="0" w:type="dxa"/>
              <w:right w:w="14" w:type="dxa"/>
            </w:tcMar>
            <w:vAlign w:val="center"/>
            <w:hideMark/>
          </w:tcPr>
          <w:p w14:paraId="28A0B9CB" w14:textId="4477834B"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0.2303</w:t>
            </w:r>
          </w:p>
        </w:tc>
      </w:tr>
      <w:tr w:rsidR="00D245A4" w:rsidRPr="00361437" w14:paraId="02F7B841" w14:textId="77777777" w:rsidTr="004F27B4">
        <w:trPr>
          <w:trHeight w:val="288"/>
        </w:trPr>
        <w:tc>
          <w:tcPr>
            <w:tcW w:w="4076" w:type="dxa"/>
            <w:noWrap/>
            <w:vAlign w:val="center"/>
            <w:hideMark/>
          </w:tcPr>
          <w:p w14:paraId="7A52F002" w14:textId="0ED92826" w:rsidR="00D245A4" w:rsidRPr="00361437" w:rsidRDefault="00505A3D" w:rsidP="00D245A4">
            <w:pPr>
              <w:spacing w:line="256" w:lineRule="auto"/>
              <w:ind w:left="180" w:hanging="180"/>
              <w:contextualSpacing/>
              <w:rPr>
                <w:rFonts w:ascii="Arial" w:eastAsia="Times New Roman" w:hAnsi="Arial" w:cs="Arial"/>
                <w:sz w:val="18"/>
              </w:rPr>
            </w:pPr>
            <w:r w:rsidRPr="00361437">
              <w:rPr>
                <w:rFonts w:ascii="Arial" w:eastAsia="Calibri" w:hAnsi="Arial" w:cs="Arial"/>
                <w:sz w:val="18"/>
              </w:rPr>
              <w:t>ROA</w:t>
            </w:r>
          </w:p>
        </w:tc>
        <w:tc>
          <w:tcPr>
            <w:tcW w:w="995" w:type="dxa"/>
            <w:tcMar>
              <w:top w:w="0" w:type="dxa"/>
              <w:left w:w="14" w:type="dxa"/>
              <w:bottom w:w="0" w:type="dxa"/>
              <w:right w:w="14" w:type="dxa"/>
            </w:tcMar>
            <w:vAlign w:val="center"/>
            <w:hideMark/>
          </w:tcPr>
          <w:p w14:paraId="5ACE75BC" w14:textId="5F05B807"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0.0309</w:t>
            </w:r>
            <w:r w:rsidRPr="00361437">
              <w:rPr>
                <w:rFonts w:ascii="Arial" w:hAnsi="Arial" w:cs="Arial"/>
                <w:color w:val="000000"/>
                <w:sz w:val="20"/>
                <w:vertAlign w:val="superscript"/>
              </w:rPr>
              <w:t>***</w:t>
            </w:r>
          </w:p>
        </w:tc>
        <w:tc>
          <w:tcPr>
            <w:tcW w:w="783" w:type="dxa"/>
            <w:tcMar>
              <w:top w:w="0" w:type="dxa"/>
              <w:left w:w="14" w:type="dxa"/>
              <w:bottom w:w="0" w:type="dxa"/>
              <w:right w:w="14" w:type="dxa"/>
            </w:tcMar>
            <w:vAlign w:val="center"/>
            <w:hideMark/>
          </w:tcPr>
          <w:p w14:paraId="3D8794A0" w14:textId="1353F8F7"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c>
          <w:tcPr>
            <w:tcW w:w="250" w:type="dxa"/>
            <w:tcMar>
              <w:top w:w="0" w:type="dxa"/>
              <w:left w:w="115" w:type="dxa"/>
              <w:bottom w:w="0" w:type="dxa"/>
              <w:right w:w="115" w:type="dxa"/>
            </w:tcMar>
            <w:vAlign w:val="center"/>
          </w:tcPr>
          <w:p w14:paraId="155D841C"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7FC2CF90" w14:textId="047A22E1"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-0.0076</w:t>
            </w:r>
            <w:r w:rsidRPr="00361437">
              <w:rPr>
                <w:rFonts w:ascii="Arial" w:hAnsi="Arial" w:cs="Arial"/>
                <w:color w:val="000000"/>
                <w:sz w:val="20"/>
                <w:vertAlign w:val="superscript"/>
              </w:rPr>
              <w:t>***</w:t>
            </w:r>
          </w:p>
        </w:tc>
        <w:tc>
          <w:tcPr>
            <w:tcW w:w="784" w:type="dxa"/>
            <w:tcMar>
              <w:top w:w="0" w:type="dxa"/>
              <w:left w:w="14" w:type="dxa"/>
              <w:bottom w:w="0" w:type="dxa"/>
              <w:right w:w="14" w:type="dxa"/>
            </w:tcMar>
            <w:vAlign w:val="center"/>
            <w:hideMark/>
          </w:tcPr>
          <w:p w14:paraId="6FA1C677" w14:textId="4F7CF072"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c>
          <w:tcPr>
            <w:tcW w:w="250" w:type="dxa"/>
            <w:tcMar>
              <w:top w:w="0" w:type="dxa"/>
              <w:left w:w="115" w:type="dxa"/>
              <w:bottom w:w="0" w:type="dxa"/>
              <w:right w:w="115" w:type="dxa"/>
            </w:tcMar>
            <w:vAlign w:val="center"/>
          </w:tcPr>
          <w:p w14:paraId="2C47A683"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53CBBCFD" w14:textId="4604C49E"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0.0700</w:t>
            </w:r>
            <w:r w:rsidRPr="00361437">
              <w:rPr>
                <w:rFonts w:ascii="Arial" w:hAnsi="Arial" w:cs="Arial"/>
                <w:color w:val="000000"/>
                <w:sz w:val="20"/>
                <w:vertAlign w:val="superscript"/>
              </w:rPr>
              <w:t>***</w:t>
            </w:r>
          </w:p>
        </w:tc>
        <w:tc>
          <w:tcPr>
            <w:tcW w:w="784" w:type="dxa"/>
            <w:tcMar>
              <w:top w:w="0" w:type="dxa"/>
              <w:left w:w="14" w:type="dxa"/>
              <w:bottom w:w="0" w:type="dxa"/>
              <w:right w:w="14" w:type="dxa"/>
            </w:tcMar>
            <w:vAlign w:val="center"/>
            <w:hideMark/>
          </w:tcPr>
          <w:p w14:paraId="4A1E281A" w14:textId="695B3B72"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c>
          <w:tcPr>
            <w:tcW w:w="250" w:type="dxa"/>
            <w:tcMar>
              <w:top w:w="0" w:type="dxa"/>
              <w:left w:w="115" w:type="dxa"/>
              <w:bottom w:w="0" w:type="dxa"/>
              <w:right w:w="115" w:type="dxa"/>
            </w:tcMar>
            <w:vAlign w:val="center"/>
          </w:tcPr>
          <w:p w14:paraId="01F54065"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38B41917" w14:textId="3977082F"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0.0594</w:t>
            </w:r>
            <w:r w:rsidRPr="00361437">
              <w:rPr>
                <w:rFonts w:ascii="Arial" w:hAnsi="Arial" w:cs="Arial"/>
                <w:color w:val="000000"/>
                <w:sz w:val="20"/>
                <w:vertAlign w:val="superscript"/>
              </w:rPr>
              <w:t>***</w:t>
            </w:r>
          </w:p>
        </w:tc>
        <w:tc>
          <w:tcPr>
            <w:tcW w:w="786" w:type="dxa"/>
            <w:noWrap/>
            <w:tcMar>
              <w:top w:w="0" w:type="dxa"/>
              <w:left w:w="14" w:type="dxa"/>
              <w:bottom w:w="0" w:type="dxa"/>
              <w:right w:w="14" w:type="dxa"/>
            </w:tcMar>
            <w:vAlign w:val="center"/>
            <w:hideMark/>
          </w:tcPr>
          <w:p w14:paraId="70335C40" w14:textId="12266A19"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c>
          <w:tcPr>
            <w:tcW w:w="250" w:type="dxa"/>
            <w:tcMar>
              <w:top w:w="0" w:type="dxa"/>
              <w:left w:w="115" w:type="dxa"/>
              <w:bottom w:w="0" w:type="dxa"/>
              <w:right w:w="115" w:type="dxa"/>
            </w:tcMar>
            <w:vAlign w:val="center"/>
          </w:tcPr>
          <w:p w14:paraId="7D66EC5F"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7086F2B8" w14:textId="689D8989"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0.0552</w:t>
            </w:r>
            <w:r w:rsidRPr="00361437">
              <w:rPr>
                <w:rFonts w:ascii="Arial" w:hAnsi="Arial" w:cs="Arial"/>
                <w:color w:val="000000"/>
                <w:sz w:val="20"/>
                <w:vertAlign w:val="superscript"/>
              </w:rPr>
              <w:t>***</w:t>
            </w:r>
          </w:p>
        </w:tc>
        <w:tc>
          <w:tcPr>
            <w:tcW w:w="956" w:type="dxa"/>
            <w:noWrap/>
            <w:tcMar>
              <w:top w:w="0" w:type="dxa"/>
              <w:left w:w="14" w:type="dxa"/>
              <w:bottom w:w="0" w:type="dxa"/>
              <w:right w:w="14" w:type="dxa"/>
            </w:tcMar>
            <w:vAlign w:val="center"/>
            <w:hideMark/>
          </w:tcPr>
          <w:p w14:paraId="041A6094" w14:textId="78F6AB13"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r>
      <w:tr w:rsidR="00D245A4" w:rsidRPr="00361437" w14:paraId="4635D379" w14:textId="77777777" w:rsidTr="004F27B4">
        <w:trPr>
          <w:trHeight w:val="288"/>
        </w:trPr>
        <w:tc>
          <w:tcPr>
            <w:tcW w:w="4076" w:type="dxa"/>
            <w:noWrap/>
            <w:vAlign w:val="center"/>
            <w:hideMark/>
          </w:tcPr>
          <w:p w14:paraId="746448B6" w14:textId="00118638" w:rsidR="00D245A4" w:rsidRPr="00361437" w:rsidRDefault="00505A3D" w:rsidP="00D245A4">
            <w:pPr>
              <w:spacing w:line="256" w:lineRule="auto"/>
              <w:ind w:left="180" w:hanging="180"/>
              <w:contextualSpacing/>
              <w:rPr>
                <w:rFonts w:ascii="Arial" w:eastAsia="Times New Roman" w:hAnsi="Arial" w:cs="Arial"/>
                <w:sz w:val="18"/>
              </w:rPr>
            </w:pPr>
            <w:r w:rsidRPr="00361437">
              <w:rPr>
                <w:rFonts w:ascii="Arial" w:eastAsia="Calibri" w:hAnsi="Arial" w:cs="Arial"/>
                <w:sz w:val="18"/>
              </w:rPr>
              <w:t>FIRM_AGE</w:t>
            </w:r>
          </w:p>
        </w:tc>
        <w:tc>
          <w:tcPr>
            <w:tcW w:w="995" w:type="dxa"/>
            <w:tcMar>
              <w:top w:w="0" w:type="dxa"/>
              <w:left w:w="14" w:type="dxa"/>
              <w:bottom w:w="0" w:type="dxa"/>
              <w:right w:w="14" w:type="dxa"/>
            </w:tcMar>
            <w:vAlign w:val="center"/>
            <w:hideMark/>
          </w:tcPr>
          <w:p w14:paraId="464669AD" w14:textId="3733F333"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-0.0004</w:t>
            </w:r>
            <w:r w:rsidRPr="00361437">
              <w:rPr>
                <w:rFonts w:ascii="Arial" w:hAnsi="Arial" w:cs="Arial"/>
                <w:color w:val="000000"/>
                <w:sz w:val="20"/>
                <w:vertAlign w:val="superscript"/>
              </w:rPr>
              <w:t>**</w:t>
            </w:r>
          </w:p>
        </w:tc>
        <w:tc>
          <w:tcPr>
            <w:tcW w:w="783" w:type="dxa"/>
            <w:tcMar>
              <w:top w:w="0" w:type="dxa"/>
              <w:left w:w="14" w:type="dxa"/>
              <w:bottom w:w="0" w:type="dxa"/>
              <w:right w:w="14" w:type="dxa"/>
            </w:tcMar>
            <w:vAlign w:val="center"/>
            <w:hideMark/>
          </w:tcPr>
          <w:p w14:paraId="1650F07C" w14:textId="66D1AC89"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0.0126</w:t>
            </w:r>
          </w:p>
        </w:tc>
        <w:tc>
          <w:tcPr>
            <w:tcW w:w="250" w:type="dxa"/>
            <w:tcMar>
              <w:top w:w="0" w:type="dxa"/>
              <w:left w:w="115" w:type="dxa"/>
              <w:bottom w:w="0" w:type="dxa"/>
              <w:right w:w="115" w:type="dxa"/>
            </w:tcMar>
            <w:vAlign w:val="center"/>
          </w:tcPr>
          <w:p w14:paraId="3A268855"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6E8C20F4" w14:textId="2DB499B9"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-0.0005</w:t>
            </w:r>
            <w:r w:rsidRPr="00361437">
              <w:rPr>
                <w:rFonts w:ascii="Arial" w:hAnsi="Arial" w:cs="Arial"/>
                <w:color w:val="000000"/>
                <w:sz w:val="20"/>
                <w:vertAlign w:val="superscript"/>
              </w:rPr>
              <w:t>***</w:t>
            </w:r>
          </w:p>
        </w:tc>
        <w:tc>
          <w:tcPr>
            <w:tcW w:w="784" w:type="dxa"/>
            <w:tcMar>
              <w:top w:w="0" w:type="dxa"/>
              <w:left w:w="14" w:type="dxa"/>
              <w:bottom w:w="0" w:type="dxa"/>
              <w:right w:w="14" w:type="dxa"/>
            </w:tcMar>
            <w:vAlign w:val="center"/>
            <w:hideMark/>
          </w:tcPr>
          <w:p w14:paraId="10D91652" w14:textId="5D2D1C46"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c>
          <w:tcPr>
            <w:tcW w:w="250" w:type="dxa"/>
            <w:tcMar>
              <w:top w:w="0" w:type="dxa"/>
              <w:left w:w="115" w:type="dxa"/>
              <w:bottom w:w="0" w:type="dxa"/>
              <w:right w:w="115" w:type="dxa"/>
            </w:tcMar>
            <w:vAlign w:val="center"/>
          </w:tcPr>
          <w:p w14:paraId="733A0DFE"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1537D10C" w14:textId="44A3D374"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-0.0018</w:t>
            </w:r>
          </w:p>
        </w:tc>
        <w:tc>
          <w:tcPr>
            <w:tcW w:w="784" w:type="dxa"/>
            <w:tcMar>
              <w:top w:w="0" w:type="dxa"/>
              <w:left w:w="14" w:type="dxa"/>
              <w:bottom w:w="0" w:type="dxa"/>
              <w:right w:w="14" w:type="dxa"/>
            </w:tcMar>
            <w:vAlign w:val="center"/>
            <w:hideMark/>
          </w:tcPr>
          <w:p w14:paraId="195B71EF" w14:textId="35187736"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0.3386</w:t>
            </w:r>
          </w:p>
        </w:tc>
        <w:tc>
          <w:tcPr>
            <w:tcW w:w="250" w:type="dxa"/>
            <w:tcMar>
              <w:top w:w="0" w:type="dxa"/>
              <w:left w:w="115" w:type="dxa"/>
              <w:bottom w:w="0" w:type="dxa"/>
              <w:right w:w="115" w:type="dxa"/>
            </w:tcMar>
            <w:vAlign w:val="center"/>
          </w:tcPr>
          <w:p w14:paraId="642E969E"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6A551F76" w14:textId="3B68AB0E"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0.0032</w:t>
            </w:r>
            <w:r w:rsidRPr="00361437">
              <w:rPr>
                <w:rFonts w:ascii="Arial" w:hAnsi="Arial" w:cs="Arial"/>
                <w:color w:val="000000"/>
                <w:sz w:val="20"/>
                <w:vertAlign w:val="superscript"/>
              </w:rPr>
              <w:t>***</w:t>
            </w:r>
          </w:p>
        </w:tc>
        <w:tc>
          <w:tcPr>
            <w:tcW w:w="786" w:type="dxa"/>
            <w:noWrap/>
            <w:tcMar>
              <w:top w:w="0" w:type="dxa"/>
              <w:left w:w="14" w:type="dxa"/>
              <w:bottom w:w="0" w:type="dxa"/>
              <w:right w:w="14" w:type="dxa"/>
            </w:tcMar>
            <w:vAlign w:val="center"/>
            <w:hideMark/>
          </w:tcPr>
          <w:p w14:paraId="5EA4D991" w14:textId="361868C3"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c>
          <w:tcPr>
            <w:tcW w:w="250" w:type="dxa"/>
            <w:tcMar>
              <w:top w:w="0" w:type="dxa"/>
              <w:left w:w="115" w:type="dxa"/>
              <w:bottom w:w="0" w:type="dxa"/>
              <w:right w:w="115" w:type="dxa"/>
            </w:tcMar>
            <w:vAlign w:val="center"/>
          </w:tcPr>
          <w:p w14:paraId="753B787F"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058AA4C4" w14:textId="5664805E"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0.0004</w:t>
            </w:r>
            <w:r w:rsidRPr="00361437">
              <w:rPr>
                <w:rFonts w:ascii="Arial" w:hAnsi="Arial" w:cs="Arial"/>
                <w:color w:val="000000"/>
                <w:sz w:val="20"/>
                <w:vertAlign w:val="superscript"/>
              </w:rPr>
              <w:t>**</w:t>
            </w:r>
          </w:p>
        </w:tc>
        <w:tc>
          <w:tcPr>
            <w:tcW w:w="956" w:type="dxa"/>
            <w:noWrap/>
            <w:tcMar>
              <w:top w:w="0" w:type="dxa"/>
              <w:left w:w="14" w:type="dxa"/>
              <w:bottom w:w="0" w:type="dxa"/>
              <w:right w:w="14" w:type="dxa"/>
            </w:tcMar>
            <w:vAlign w:val="center"/>
            <w:hideMark/>
          </w:tcPr>
          <w:p w14:paraId="32DF93CC" w14:textId="36B48877"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0.0418</w:t>
            </w:r>
          </w:p>
        </w:tc>
      </w:tr>
      <w:tr w:rsidR="00D245A4" w:rsidRPr="00361437" w14:paraId="1632754E" w14:textId="77777777" w:rsidTr="004F27B4">
        <w:trPr>
          <w:trHeight w:val="288"/>
        </w:trPr>
        <w:tc>
          <w:tcPr>
            <w:tcW w:w="4076" w:type="dxa"/>
            <w:noWrap/>
            <w:vAlign w:val="center"/>
            <w:hideMark/>
          </w:tcPr>
          <w:p w14:paraId="19FEA50C" w14:textId="60800B9D" w:rsidR="00D245A4" w:rsidRPr="00361437" w:rsidRDefault="00505A3D" w:rsidP="00D245A4">
            <w:pPr>
              <w:spacing w:line="256" w:lineRule="auto"/>
              <w:ind w:left="180" w:hanging="180"/>
              <w:contextualSpacing/>
              <w:rPr>
                <w:rFonts w:ascii="Arial" w:eastAsia="Times New Roman" w:hAnsi="Arial" w:cs="Arial"/>
                <w:sz w:val="18"/>
              </w:rPr>
            </w:pPr>
            <w:r w:rsidRPr="00361437">
              <w:rPr>
                <w:rFonts w:ascii="Arial" w:eastAsia="Calibri" w:hAnsi="Arial" w:cs="Arial"/>
                <w:sz w:val="18"/>
              </w:rPr>
              <w:t>INSTITUTIONAL_BLOCK_OWNERSHIP</w:t>
            </w:r>
          </w:p>
        </w:tc>
        <w:tc>
          <w:tcPr>
            <w:tcW w:w="995" w:type="dxa"/>
            <w:tcMar>
              <w:top w:w="0" w:type="dxa"/>
              <w:left w:w="14" w:type="dxa"/>
              <w:bottom w:w="0" w:type="dxa"/>
              <w:right w:w="14" w:type="dxa"/>
            </w:tcMar>
            <w:vAlign w:val="center"/>
            <w:hideMark/>
          </w:tcPr>
          <w:p w14:paraId="590E79E6" w14:textId="30E82B9C"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-0.0010</w:t>
            </w:r>
            <w:r w:rsidRPr="00361437">
              <w:rPr>
                <w:rFonts w:ascii="Arial" w:hAnsi="Arial" w:cs="Arial"/>
                <w:color w:val="000000"/>
                <w:sz w:val="20"/>
                <w:vertAlign w:val="superscript"/>
              </w:rPr>
              <w:t>**</w:t>
            </w:r>
          </w:p>
        </w:tc>
        <w:tc>
          <w:tcPr>
            <w:tcW w:w="783" w:type="dxa"/>
            <w:tcMar>
              <w:top w:w="0" w:type="dxa"/>
              <w:left w:w="14" w:type="dxa"/>
              <w:bottom w:w="0" w:type="dxa"/>
              <w:right w:w="14" w:type="dxa"/>
            </w:tcMar>
            <w:vAlign w:val="center"/>
            <w:hideMark/>
          </w:tcPr>
          <w:p w14:paraId="1B6763C5" w14:textId="0FD813FD"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0.0212</w:t>
            </w:r>
          </w:p>
        </w:tc>
        <w:tc>
          <w:tcPr>
            <w:tcW w:w="250" w:type="dxa"/>
            <w:tcMar>
              <w:top w:w="0" w:type="dxa"/>
              <w:left w:w="115" w:type="dxa"/>
              <w:bottom w:w="0" w:type="dxa"/>
              <w:right w:w="115" w:type="dxa"/>
            </w:tcMar>
            <w:vAlign w:val="center"/>
          </w:tcPr>
          <w:p w14:paraId="686B2FAA"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6DE6BFD5" w14:textId="2291C61D"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0.0002</w:t>
            </w:r>
          </w:p>
        </w:tc>
        <w:tc>
          <w:tcPr>
            <w:tcW w:w="784" w:type="dxa"/>
            <w:tcMar>
              <w:top w:w="0" w:type="dxa"/>
              <w:left w:w="14" w:type="dxa"/>
              <w:bottom w:w="0" w:type="dxa"/>
              <w:right w:w="14" w:type="dxa"/>
            </w:tcMar>
            <w:vAlign w:val="center"/>
            <w:hideMark/>
          </w:tcPr>
          <w:p w14:paraId="485A34A8" w14:textId="79A2A8FA"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0.5266</w:t>
            </w:r>
          </w:p>
        </w:tc>
        <w:tc>
          <w:tcPr>
            <w:tcW w:w="250" w:type="dxa"/>
            <w:tcMar>
              <w:top w:w="0" w:type="dxa"/>
              <w:left w:w="115" w:type="dxa"/>
              <w:bottom w:w="0" w:type="dxa"/>
              <w:right w:w="115" w:type="dxa"/>
            </w:tcMar>
            <w:vAlign w:val="center"/>
          </w:tcPr>
          <w:p w14:paraId="47A2E89F"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4FC30290" w14:textId="01376AB1"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-0.0125</w:t>
            </w:r>
            <w:r w:rsidRPr="00361437">
              <w:rPr>
                <w:rFonts w:ascii="Arial" w:hAnsi="Arial" w:cs="Arial"/>
                <w:color w:val="000000"/>
                <w:sz w:val="20"/>
                <w:vertAlign w:val="superscript"/>
              </w:rPr>
              <w:t>*</w:t>
            </w:r>
          </w:p>
        </w:tc>
        <w:tc>
          <w:tcPr>
            <w:tcW w:w="784" w:type="dxa"/>
            <w:tcMar>
              <w:top w:w="0" w:type="dxa"/>
              <w:left w:w="14" w:type="dxa"/>
              <w:bottom w:w="0" w:type="dxa"/>
              <w:right w:w="14" w:type="dxa"/>
            </w:tcMar>
            <w:vAlign w:val="center"/>
            <w:hideMark/>
          </w:tcPr>
          <w:p w14:paraId="0746303F" w14:textId="18CE6C6D"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0.0503</w:t>
            </w:r>
          </w:p>
        </w:tc>
        <w:tc>
          <w:tcPr>
            <w:tcW w:w="250" w:type="dxa"/>
            <w:tcMar>
              <w:top w:w="0" w:type="dxa"/>
              <w:left w:w="115" w:type="dxa"/>
              <w:bottom w:w="0" w:type="dxa"/>
              <w:right w:w="115" w:type="dxa"/>
            </w:tcMar>
            <w:vAlign w:val="center"/>
          </w:tcPr>
          <w:p w14:paraId="2AB5A3E0"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155C8AB1" w14:textId="0F61F109"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-0.0038</w:t>
            </w:r>
            <w:r w:rsidRPr="00361437">
              <w:rPr>
                <w:rFonts w:ascii="Arial" w:hAnsi="Arial" w:cs="Arial"/>
                <w:color w:val="000000"/>
                <w:sz w:val="20"/>
                <w:vertAlign w:val="superscript"/>
              </w:rPr>
              <w:t>*</w:t>
            </w:r>
          </w:p>
        </w:tc>
        <w:tc>
          <w:tcPr>
            <w:tcW w:w="786" w:type="dxa"/>
            <w:noWrap/>
            <w:tcMar>
              <w:top w:w="0" w:type="dxa"/>
              <w:left w:w="14" w:type="dxa"/>
              <w:bottom w:w="0" w:type="dxa"/>
              <w:right w:w="14" w:type="dxa"/>
            </w:tcMar>
            <w:vAlign w:val="center"/>
            <w:hideMark/>
          </w:tcPr>
          <w:p w14:paraId="1A415243" w14:textId="2C1BF380"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0.0562</w:t>
            </w:r>
          </w:p>
        </w:tc>
        <w:tc>
          <w:tcPr>
            <w:tcW w:w="250" w:type="dxa"/>
            <w:tcMar>
              <w:top w:w="0" w:type="dxa"/>
              <w:left w:w="115" w:type="dxa"/>
              <w:bottom w:w="0" w:type="dxa"/>
              <w:right w:w="115" w:type="dxa"/>
            </w:tcMar>
            <w:vAlign w:val="center"/>
          </w:tcPr>
          <w:p w14:paraId="56FDA363"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5B71FF01" w14:textId="19FE8CE9"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0.0024</w:t>
            </w:r>
            <w:r w:rsidRPr="00361437">
              <w:rPr>
                <w:rFonts w:ascii="Arial" w:hAnsi="Arial" w:cs="Arial"/>
                <w:color w:val="000000"/>
                <w:sz w:val="20"/>
                <w:vertAlign w:val="superscript"/>
              </w:rPr>
              <w:t>**</w:t>
            </w:r>
          </w:p>
        </w:tc>
        <w:tc>
          <w:tcPr>
            <w:tcW w:w="956" w:type="dxa"/>
            <w:noWrap/>
            <w:tcMar>
              <w:top w:w="0" w:type="dxa"/>
              <w:left w:w="14" w:type="dxa"/>
              <w:bottom w:w="0" w:type="dxa"/>
              <w:right w:w="14" w:type="dxa"/>
            </w:tcMar>
            <w:vAlign w:val="center"/>
            <w:hideMark/>
          </w:tcPr>
          <w:p w14:paraId="3F50B4BC" w14:textId="24330C5B"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0.0137</w:t>
            </w:r>
          </w:p>
        </w:tc>
      </w:tr>
      <w:tr w:rsidR="00D245A4" w:rsidRPr="00361437" w14:paraId="34E843CB" w14:textId="77777777" w:rsidTr="004F27B4">
        <w:trPr>
          <w:trHeight w:val="288"/>
        </w:trPr>
        <w:tc>
          <w:tcPr>
            <w:tcW w:w="4076" w:type="dxa"/>
            <w:noWrap/>
            <w:vAlign w:val="center"/>
            <w:hideMark/>
          </w:tcPr>
          <w:p w14:paraId="28CADF1E" w14:textId="5EF989CC" w:rsidR="00D245A4" w:rsidRPr="00361437" w:rsidRDefault="00505A3D" w:rsidP="00D245A4">
            <w:pPr>
              <w:spacing w:line="256" w:lineRule="auto"/>
              <w:ind w:left="180" w:hanging="180"/>
              <w:contextualSpacing/>
              <w:rPr>
                <w:rFonts w:ascii="Arial" w:eastAsia="Times New Roman" w:hAnsi="Arial" w:cs="Arial"/>
                <w:sz w:val="18"/>
              </w:rPr>
            </w:pPr>
            <w:r w:rsidRPr="00361437">
              <w:rPr>
                <w:rFonts w:ascii="Arial" w:eastAsia="Calibri" w:hAnsi="Arial" w:cs="Arial"/>
                <w:sz w:val="18"/>
              </w:rPr>
              <w:t>BIG_HOLDING_(0,1)</w:t>
            </w:r>
          </w:p>
        </w:tc>
        <w:tc>
          <w:tcPr>
            <w:tcW w:w="995" w:type="dxa"/>
            <w:tcMar>
              <w:top w:w="0" w:type="dxa"/>
              <w:left w:w="14" w:type="dxa"/>
              <w:bottom w:w="0" w:type="dxa"/>
              <w:right w:w="14" w:type="dxa"/>
            </w:tcMar>
            <w:vAlign w:val="center"/>
            <w:hideMark/>
          </w:tcPr>
          <w:p w14:paraId="09DE5B11" w14:textId="08DE881D"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0.0005</w:t>
            </w:r>
            <w:r w:rsidRPr="00361437">
              <w:rPr>
                <w:rFonts w:ascii="Arial" w:hAnsi="Arial" w:cs="Arial"/>
                <w:color w:val="000000"/>
                <w:sz w:val="20"/>
                <w:vertAlign w:val="superscript"/>
              </w:rPr>
              <w:t>*</w:t>
            </w:r>
          </w:p>
        </w:tc>
        <w:tc>
          <w:tcPr>
            <w:tcW w:w="783" w:type="dxa"/>
            <w:tcMar>
              <w:top w:w="0" w:type="dxa"/>
              <w:left w:w="14" w:type="dxa"/>
              <w:bottom w:w="0" w:type="dxa"/>
              <w:right w:w="14" w:type="dxa"/>
            </w:tcMar>
            <w:vAlign w:val="center"/>
            <w:hideMark/>
          </w:tcPr>
          <w:p w14:paraId="3258547F" w14:textId="7AE5E273"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0.0912</w:t>
            </w:r>
          </w:p>
        </w:tc>
        <w:tc>
          <w:tcPr>
            <w:tcW w:w="250" w:type="dxa"/>
            <w:tcMar>
              <w:top w:w="0" w:type="dxa"/>
              <w:left w:w="115" w:type="dxa"/>
              <w:bottom w:w="0" w:type="dxa"/>
              <w:right w:w="115" w:type="dxa"/>
            </w:tcMar>
            <w:vAlign w:val="center"/>
          </w:tcPr>
          <w:p w14:paraId="01AE6442"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41FC449C" w14:textId="45A47760"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-0.0002</w:t>
            </w:r>
          </w:p>
        </w:tc>
        <w:tc>
          <w:tcPr>
            <w:tcW w:w="784" w:type="dxa"/>
            <w:tcMar>
              <w:top w:w="0" w:type="dxa"/>
              <w:left w:w="14" w:type="dxa"/>
              <w:bottom w:w="0" w:type="dxa"/>
              <w:right w:w="14" w:type="dxa"/>
            </w:tcMar>
            <w:vAlign w:val="center"/>
            <w:hideMark/>
          </w:tcPr>
          <w:p w14:paraId="05E0EF0A" w14:textId="64ABF9B9"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0.1050</w:t>
            </w:r>
          </w:p>
        </w:tc>
        <w:tc>
          <w:tcPr>
            <w:tcW w:w="250" w:type="dxa"/>
            <w:tcMar>
              <w:top w:w="0" w:type="dxa"/>
              <w:left w:w="115" w:type="dxa"/>
              <w:bottom w:w="0" w:type="dxa"/>
              <w:right w:w="115" w:type="dxa"/>
            </w:tcMar>
            <w:vAlign w:val="center"/>
          </w:tcPr>
          <w:p w14:paraId="213F085C"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0A306DF8" w14:textId="4C8FAB72"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0.0049</w:t>
            </w:r>
          </w:p>
        </w:tc>
        <w:tc>
          <w:tcPr>
            <w:tcW w:w="784" w:type="dxa"/>
            <w:tcMar>
              <w:top w:w="0" w:type="dxa"/>
              <w:left w:w="14" w:type="dxa"/>
              <w:bottom w:w="0" w:type="dxa"/>
              <w:right w:w="14" w:type="dxa"/>
            </w:tcMar>
            <w:vAlign w:val="center"/>
            <w:hideMark/>
          </w:tcPr>
          <w:p w14:paraId="7EF76D93" w14:textId="2B5CAFB0"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0.1688</w:t>
            </w:r>
          </w:p>
        </w:tc>
        <w:tc>
          <w:tcPr>
            <w:tcW w:w="250" w:type="dxa"/>
            <w:tcMar>
              <w:top w:w="0" w:type="dxa"/>
              <w:left w:w="115" w:type="dxa"/>
              <w:bottom w:w="0" w:type="dxa"/>
              <w:right w:w="115" w:type="dxa"/>
            </w:tcMar>
            <w:vAlign w:val="center"/>
          </w:tcPr>
          <w:p w14:paraId="7533A03A"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5896CCC7" w14:textId="55209CBB"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0.0004</w:t>
            </w:r>
          </w:p>
        </w:tc>
        <w:tc>
          <w:tcPr>
            <w:tcW w:w="786" w:type="dxa"/>
            <w:noWrap/>
            <w:tcMar>
              <w:top w:w="0" w:type="dxa"/>
              <w:left w:w="14" w:type="dxa"/>
              <w:bottom w:w="0" w:type="dxa"/>
              <w:right w:w="14" w:type="dxa"/>
            </w:tcMar>
            <w:vAlign w:val="center"/>
            <w:hideMark/>
          </w:tcPr>
          <w:p w14:paraId="2C3AC3F0" w14:textId="59A1888E"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0.5418</w:t>
            </w:r>
          </w:p>
        </w:tc>
        <w:tc>
          <w:tcPr>
            <w:tcW w:w="250" w:type="dxa"/>
            <w:tcMar>
              <w:top w:w="0" w:type="dxa"/>
              <w:left w:w="115" w:type="dxa"/>
              <w:bottom w:w="0" w:type="dxa"/>
              <w:right w:w="115" w:type="dxa"/>
            </w:tcMar>
            <w:vAlign w:val="center"/>
          </w:tcPr>
          <w:p w14:paraId="657B9944"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51B39FB1" w14:textId="329BC450"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0.0022</w:t>
            </w:r>
            <w:r w:rsidRPr="00361437">
              <w:rPr>
                <w:rFonts w:ascii="Arial" w:hAnsi="Arial" w:cs="Arial"/>
                <w:color w:val="000000"/>
                <w:sz w:val="20"/>
                <w:vertAlign w:val="superscript"/>
              </w:rPr>
              <w:t>***</w:t>
            </w:r>
          </w:p>
        </w:tc>
        <w:tc>
          <w:tcPr>
            <w:tcW w:w="956" w:type="dxa"/>
            <w:noWrap/>
            <w:tcMar>
              <w:top w:w="0" w:type="dxa"/>
              <w:left w:w="14" w:type="dxa"/>
              <w:bottom w:w="0" w:type="dxa"/>
              <w:right w:w="14" w:type="dxa"/>
            </w:tcMar>
            <w:vAlign w:val="center"/>
            <w:hideMark/>
          </w:tcPr>
          <w:p w14:paraId="730228E8" w14:textId="15F645CF"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r>
      <w:tr w:rsidR="00D245A4" w:rsidRPr="00361437" w14:paraId="2061672C" w14:textId="77777777" w:rsidTr="004F27B4">
        <w:trPr>
          <w:trHeight w:val="288"/>
        </w:trPr>
        <w:tc>
          <w:tcPr>
            <w:tcW w:w="4076" w:type="dxa"/>
            <w:noWrap/>
            <w:vAlign w:val="center"/>
            <w:hideMark/>
          </w:tcPr>
          <w:p w14:paraId="4D7D91CC" w14:textId="468967A5" w:rsidR="00D245A4" w:rsidRPr="00361437" w:rsidRDefault="00505A3D" w:rsidP="00D245A4">
            <w:pPr>
              <w:spacing w:line="256" w:lineRule="auto"/>
              <w:ind w:left="180" w:hanging="180"/>
              <w:contextualSpacing/>
              <w:rPr>
                <w:rFonts w:ascii="Arial" w:eastAsia="Times New Roman" w:hAnsi="Arial" w:cs="Arial"/>
                <w:sz w:val="18"/>
              </w:rPr>
            </w:pPr>
            <w:r w:rsidRPr="00361437">
              <w:rPr>
                <w:rFonts w:ascii="Arial" w:eastAsia="Calibri" w:hAnsi="Arial" w:cs="Arial"/>
                <w:sz w:val="18"/>
              </w:rPr>
              <w:t>NUMBER_OF_FUNDS_IN_THE_FAMILY</w:t>
            </w:r>
          </w:p>
        </w:tc>
        <w:tc>
          <w:tcPr>
            <w:tcW w:w="995" w:type="dxa"/>
            <w:tcMar>
              <w:top w:w="0" w:type="dxa"/>
              <w:left w:w="14" w:type="dxa"/>
              <w:bottom w:w="0" w:type="dxa"/>
              <w:right w:w="14" w:type="dxa"/>
            </w:tcMar>
            <w:vAlign w:val="center"/>
            <w:hideMark/>
          </w:tcPr>
          <w:p w14:paraId="654F0AC9" w14:textId="05FB519B"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-0.0003</w:t>
            </w:r>
          </w:p>
        </w:tc>
        <w:tc>
          <w:tcPr>
            <w:tcW w:w="783" w:type="dxa"/>
            <w:tcMar>
              <w:top w:w="0" w:type="dxa"/>
              <w:left w:w="14" w:type="dxa"/>
              <w:bottom w:w="0" w:type="dxa"/>
              <w:right w:w="14" w:type="dxa"/>
            </w:tcMar>
            <w:vAlign w:val="center"/>
            <w:hideMark/>
          </w:tcPr>
          <w:p w14:paraId="245DAC65" w14:textId="75C8423E"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0.4248</w:t>
            </w:r>
          </w:p>
        </w:tc>
        <w:tc>
          <w:tcPr>
            <w:tcW w:w="250" w:type="dxa"/>
            <w:tcMar>
              <w:top w:w="0" w:type="dxa"/>
              <w:left w:w="115" w:type="dxa"/>
              <w:bottom w:w="0" w:type="dxa"/>
              <w:right w:w="115" w:type="dxa"/>
            </w:tcMar>
            <w:vAlign w:val="center"/>
          </w:tcPr>
          <w:p w14:paraId="38AB5D55"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10BF0AC9" w14:textId="156062A2"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-0.0005</w:t>
            </w:r>
            <w:r w:rsidRPr="00361437">
              <w:rPr>
                <w:rFonts w:ascii="Arial" w:hAnsi="Arial" w:cs="Arial"/>
                <w:color w:val="000000"/>
                <w:sz w:val="20"/>
                <w:vertAlign w:val="superscript"/>
              </w:rPr>
              <w:t>***</w:t>
            </w:r>
          </w:p>
        </w:tc>
        <w:tc>
          <w:tcPr>
            <w:tcW w:w="784" w:type="dxa"/>
            <w:tcMar>
              <w:top w:w="0" w:type="dxa"/>
              <w:left w:w="14" w:type="dxa"/>
              <w:bottom w:w="0" w:type="dxa"/>
              <w:right w:w="14" w:type="dxa"/>
            </w:tcMar>
            <w:vAlign w:val="center"/>
            <w:hideMark/>
          </w:tcPr>
          <w:p w14:paraId="0C0D8BE0" w14:textId="510641CE"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0.0001</w:t>
            </w:r>
          </w:p>
        </w:tc>
        <w:tc>
          <w:tcPr>
            <w:tcW w:w="250" w:type="dxa"/>
            <w:tcMar>
              <w:top w:w="0" w:type="dxa"/>
              <w:left w:w="115" w:type="dxa"/>
              <w:bottom w:w="0" w:type="dxa"/>
              <w:right w:w="115" w:type="dxa"/>
            </w:tcMar>
            <w:vAlign w:val="center"/>
          </w:tcPr>
          <w:p w14:paraId="7EBBD575"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06F8D57B" w14:textId="33D9AD07"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0.0002</w:t>
            </w:r>
          </w:p>
        </w:tc>
        <w:tc>
          <w:tcPr>
            <w:tcW w:w="784" w:type="dxa"/>
            <w:tcMar>
              <w:top w:w="0" w:type="dxa"/>
              <w:left w:w="14" w:type="dxa"/>
              <w:bottom w:w="0" w:type="dxa"/>
              <w:right w:w="14" w:type="dxa"/>
            </w:tcMar>
            <w:vAlign w:val="center"/>
            <w:hideMark/>
          </w:tcPr>
          <w:p w14:paraId="1322796C" w14:textId="7ACBBCD8"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0.9481</w:t>
            </w:r>
          </w:p>
        </w:tc>
        <w:tc>
          <w:tcPr>
            <w:tcW w:w="250" w:type="dxa"/>
            <w:tcMar>
              <w:top w:w="0" w:type="dxa"/>
              <w:left w:w="115" w:type="dxa"/>
              <w:bottom w:w="0" w:type="dxa"/>
              <w:right w:w="115" w:type="dxa"/>
            </w:tcMar>
            <w:vAlign w:val="center"/>
          </w:tcPr>
          <w:p w14:paraId="2C98DE61"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7F980747" w14:textId="4767C62D"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0.0017</w:t>
            </w:r>
            <w:r w:rsidRPr="00361437">
              <w:rPr>
                <w:rFonts w:ascii="Arial" w:hAnsi="Arial" w:cs="Arial"/>
                <w:color w:val="000000"/>
                <w:sz w:val="20"/>
                <w:vertAlign w:val="superscript"/>
              </w:rPr>
              <w:t>**</w:t>
            </w:r>
          </w:p>
        </w:tc>
        <w:tc>
          <w:tcPr>
            <w:tcW w:w="786" w:type="dxa"/>
            <w:noWrap/>
            <w:tcMar>
              <w:top w:w="0" w:type="dxa"/>
              <w:left w:w="14" w:type="dxa"/>
              <w:bottom w:w="0" w:type="dxa"/>
              <w:right w:w="14" w:type="dxa"/>
            </w:tcMar>
            <w:vAlign w:val="center"/>
            <w:hideMark/>
          </w:tcPr>
          <w:p w14:paraId="065C190C" w14:textId="173BBC46"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0.0263</w:t>
            </w:r>
          </w:p>
        </w:tc>
        <w:tc>
          <w:tcPr>
            <w:tcW w:w="250" w:type="dxa"/>
            <w:tcMar>
              <w:top w:w="0" w:type="dxa"/>
              <w:left w:w="115" w:type="dxa"/>
              <w:bottom w:w="0" w:type="dxa"/>
              <w:right w:w="115" w:type="dxa"/>
            </w:tcMar>
            <w:vAlign w:val="center"/>
          </w:tcPr>
          <w:p w14:paraId="1639845B"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379743DE" w14:textId="19E99F95"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0.0041</w:t>
            </w:r>
            <w:r w:rsidRPr="00361437">
              <w:rPr>
                <w:rFonts w:ascii="Arial" w:hAnsi="Arial" w:cs="Arial"/>
                <w:color w:val="000000"/>
                <w:sz w:val="20"/>
                <w:vertAlign w:val="superscript"/>
              </w:rPr>
              <w:t>***</w:t>
            </w:r>
          </w:p>
        </w:tc>
        <w:tc>
          <w:tcPr>
            <w:tcW w:w="956" w:type="dxa"/>
            <w:noWrap/>
            <w:tcMar>
              <w:top w:w="0" w:type="dxa"/>
              <w:left w:w="14" w:type="dxa"/>
              <w:bottom w:w="0" w:type="dxa"/>
              <w:right w:w="14" w:type="dxa"/>
            </w:tcMar>
            <w:vAlign w:val="center"/>
            <w:hideMark/>
          </w:tcPr>
          <w:p w14:paraId="411366F4" w14:textId="26B134D8"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r>
      <w:tr w:rsidR="00D245A4" w:rsidRPr="00361437" w14:paraId="20A75937" w14:textId="77777777" w:rsidTr="004F27B4">
        <w:trPr>
          <w:trHeight w:val="288"/>
        </w:trPr>
        <w:tc>
          <w:tcPr>
            <w:tcW w:w="4076" w:type="dxa"/>
            <w:noWrap/>
            <w:vAlign w:val="center"/>
            <w:hideMark/>
          </w:tcPr>
          <w:p w14:paraId="53BFD63B" w14:textId="503E67C9" w:rsidR="00D245A4" w:rsidRPr="00361437" w:rsidRDefault="00505A3D" w:rsidP="00D245A4">
            <w:pPr>
              <w:spacing w:line="256" w:lineRule="auto"/>
              <w:ind w:left="180" w:hanging="180"/>
              <w:contextualSpacing/>
              <w:rPr>
                <w:rFonts w:ascii="Arial" w:eastAsia="Times New Roman" w:hAnsi="Arial" w:cs="Arial"/>
                <w:sz w:val="18"/>
              </w:rPr>
            </w:pPr>
            <w:r w:rsidRPr="00361437">
              <w:rPr>
                <w:rFonts w:ascii="Arial" w:eastAsia="Calibri" w:hAnsi="Arial" w:cs="Arial"/>
                <w:sz w:val="18"/>
              </w:rPr>
              <w:t>DISTRESS_(0,1)</w:t>
            </w:r>
          </w:p>
        </w:tc>
        <w:tc>
          <w:tcPr>
            <w:tcW w:w="995" w:type="dxa"/>
            <w:tcMar>
              <w:top w:w="0" w:type="dxa"/>
              <w:left w:w="14" w:type="dxa"/>
              <w:bottom w:w="0" w:type="dxa"/>
              <w:right w:w="14" w:type="dxa"/>
            </w:tcMar>
            <w:vAlign w:val="center"/>
            <w:hideMark/>
          </w:tcPr>
          <w:p w14:paraId="018A67B6" w14:textId="23F91EE9"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-0.0016</w:t>
            </w:r>
            <w:r w:rsidRPr="00361437">
              <w:rPr>
                <w:rFonts w:ascii="Arial" w:hAnsi="Arial" w:cs="Arial"/>
                <w:color w:val="000000"/>
                <w:sz w:val="20"/>
                <w:vertAlign w:val="superscript"/>
              </w:rPr>
              <w:t>**</w:t>
            </w:r>
          </w:p>
        </w:tc>
        <w:tc>
          <w:tcPr>
            <w:tcW w:w="783" w:type="dxa"/>
            <w:tcMar>
              <w:top w:w="0" w:type="dxa"/>
              <w:left w:w="14" w:type="dxa"/>
              <w:bottom w:w="0" w:type="dxa"/>
              <w:right w:w="14" w:type="dxa"/>
            </w:tcMar>
            <w:vAlign w:val="center"/>
            <w:hideMark/>
          </w:tcPr>
          <w:p w14:paraId="35B94F2A" w14:textId="2146D001"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0.0168</w:t>
            </w:r>
          </w:p>
        </w:tc>
        <w:tc>
          <w:tcPr>
            <w:tcW w:w="250" w:type="dxa"/>
            <w:tcMar>
              <w:top w:w="0" w:type="dxa"/>
              <w:left w:w="115" w:type="dxa"/>
              <w:bottom w:w="0" w:type="dxa"/>
              <w:right w:w="115" w:type="dxa"/>
            </w:tcMar>
            <w:vAlign w:val="center"/>
          </w:tcPr>
          <w:p w14:paraId="211ED1E2"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4D8AE581" w14:textId="6F202FCF"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-0.0007</w:t>
            </w:r>
          </w:p>
        </w:tc>
        <w:tc>
          <w:tcPr>
            <w:tcW w:w="784" w:type="dxa"/>
            <w:tcMar>
              <w:top w:w="0" w:type="dxa"/>
              <w:left w:w="14" w:type="dxa"/>
              <w:bottom w:w="0" w:type="dxa"/>
              <w:right w:w="14" w:type="dxa"/>
            </w:tcMar>
            <w:vAlign w:val="center"/>
            <w:hideMark/>
          </w:tcPr>
          <w:p w14:paraId="6493665E" w14:textId="15EFC341"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0.2287</w:t>
            </w:r>
          </w:p>
        </w:tc>
        <w:tc>
          <w:tcPr>
            <w:tcW w:w="250" w:type="dxa"/>
            <w:tcMar>
              <w:top w:w="0" w:type="dxa"/>
              <w:left w:w="115" w:type="dxa"/>
              <w:bottom w:w="0" w:type="dxa"/>
              <w:right w:w="115" w:type="dxa"/>
            </w:tcMar>
            <w:vAlign w:val="center"/>
          </w:tcPr>
          <w:p w14:paraId="05CB228E"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5CF96578" w14:textId="266DDB3D"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-0.0145</w:t>
            </w:r>
            <w:r w:rsidRPr="00361437">
              <w:rPr>
                <w:rFonts w:ascii="Arial" w:hAnsi="Arial" w:cs="Arial"/>
                <w:color w:val="000000"/>
                <w:sz w:val="20"/>
                <w:vertAlign w:val="superscript"/>
              </w:rPr>
              <w:t>***</w:t>
            </w:r>
          </w:p>
        </w:tc>
        <w:tc>
          <w:tcPr>
            <w:tcW w:w="784" w:type="dxa"/>
            <w:tcMar>
              <w:top w:w="0" w:type="dxa"/>
              <w:left w:w="14" w:type="dxa"/>
              <w:bottom w:w="0" w:type="dxa"/>
              <w:right w:w="14" w:type="dxa"/>
            </w:tcMar>
            <w:vAlign w:val="center"/>
            <w:hideMark/>
          </w:tcPr>
          <w:p w14:paraId="66B69C29" w14:textId="0EE3A508"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c>
          <w:tcPr>
            <w:tcW w:w="250" w:type="dxa"/>
            <w:tcMar>
              <w:top w:w="0" w:type="dxa"/>
              <w:left w:w="115" w:type="dxa"/>
              <w:bottom w:w="0" w:type="dxa"/>
              <w:right w:w="115" w:type="dxa"/>
            </w:tcMar>
            <w:vAlign w:val="center"/>
          </w:tcPr>
          <w:p w14:paraId="0691BC7F"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1FF90152" w14:textId="2F1DAF58"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-0.0036</w:t>
            </w:r>
            <w:r w:rsidRPr="00361437">
              <w:rPr>
                <w:rFonts w:ascii="Arial" w:hAnsi="Arial" w:cs="Arial"/>
                <w:color w:val="000000"/>
                <w:sz w:val="20"/>
                <w:vertAlign w:val="superscript"/>
              </w:rPr>
              <w:t>***</w:t>
            </w:r>
          </w:p>
        </w:tc>
        <w:tc>
          <w:tcPr>
            <w:tcW w:w="786" w:type="dxa"/>
            <w:noWrap/>
            <w:tcMar>
              <w:top w:w="0" w:type="dxa"/>
              <w:left w:w="14" w:type="dxa"/>
              <w:bottom w:w="0" w:type="dxa"/>
              <w:right w:w="14" w:type="dxa"/>
            </w:tcMar>
            <w:vAlign w:val="center"/>
            <w:hideMark/>
          </w:tcPr>
          <w:p w14:paraId="2EB46E92" w14:textId="20EDEDD7"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c>
          <w:tcPr>
            <w:tcW w:w="250" w:type="dxa"/>
            <w:tcMar>
              <w:top w:w="0" w:type="dxa"/>
              <w:left w:w="115" w:type="dxa"/>
              <w:bottom w:w="0" w:type="dxa"/>
              <w:right w:w="115" w:type="dxa"/>
            </w:tcMar>
            <w:vAlign w:val="center"/>
          </w:tcPr>
          <w:p w14:paraId="5B02B154"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1159B8A3" w14:textId="7C40ECBC"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0.0004</w:t>
            </w:r>
          </w:p>
        </w:tc>
        <w:tc>
          <w:tcPr>
            <w:tcW w:w="956" w:type="dxa"/>
            <w:noWrap/>
            <w:tcMar>
              <w:top w:w="0" w:type="dxa"/>
              <w:left w:w="14" w:type="dxa"/>
              <w:bottom w:w="0" w:type="dxa"/>
              <w:right w:w="14" w:type="dxa"/>
            </w:tcMar>
            <w:vAlign w:val="center"/>
            <w:hideMark/>
          </w:tcPr>
          <w:p w14:paraId="3A0D05E1" w14:textId="279E5F24"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0.3424</w:t>
            </w:r>
          </w:p>
        </w:tc>
      </w:tr>
      <w:tr w:rsidR="00D245A4" w:rsidRPr="00361437" w14:paraId="060C62B8" w14:textId="77777777" w:rsidTr="004F27B4">
        <w:trPr>
          <w:trHeight w:val="288"/>
        </w:trPr>
        <w:tc>
          <w:tcPr>
            <w:tcW w:w="4076" w:type="dxa"/>
            <w:noWrap/>
            <w:vAlign w:val="center"/>
            <w:hideMark/>
          </w:tcPr>
          <w:p w14:paraId="4F16499A" w14:textId="77777777" w:rsidR="00D245A4" w:rsidRPr="00361437" w:rsidRDefault="00D245A4" w:rsidP="00D245A4">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Intercept</w:t>
            </w:r>
          </w:p>
        </w:tc>
        <w:tc>
          <w:tcPr>
            <w:tcW w:w="995" w:type="dxa"/>
            <w:tcMar>
              <w:top w:w="0" w:type="dxa"/>
              <w:left w:w="14" w:type="dxa"/>
              <w:bottom w:w="0" w:type="dxa"/>
              <w:right w:w="14" w:type="dxa"/>
            </w:tcMar>
            <w:vAlign w:val="center"/>
            <w:hideMark/>
          </w:tcPr>
          <w:p w14:paraId="251282BF" w14:textId="412954F3"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0.0051</w:t>
            </w:r>
            <w:r w:rsidRPr="00361437">
              <w:rPr>
                <w:rFonts w:ascii="Arial" w:hAnsi="Arial" w:cs="Arial"/>
                <w:color w:val="000000"/>
                <w:sz w:val="20"/>
                <w:vertAlign w:val="superscript"/>
              </w:rPr>
              <w:t>**</w:t>
            </w:r>
          </w:p>
        </w:tc>
        <w:tc>
          <w:tcPr>
            <w:tcW w:w="783" w:type="dxa"/>
            <w:tcMar>
              <w:top w:w="0" w:type="dxa"/>
              <w:left w:w="14" w:type="dxa"/>
              <w:bottom w:w="0" w:type="dxa"/>
              <w:right w:w="14" w:type="dxa"/>
            </w:tcMar>
            <w:vAlign w:val="center"/>
            <w:hideMark/>
          </w:tcPr>
          <w:p w14:paraId="522E9F25" w14:textId="1DDD8799"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0.0276</w:t>
            </w:r>
          </w:p>
        </w:tc>
        <w:tc>
          <w:tcPr>
            <w:tcW w:w="250" w:type="dxa"/>
            <w:tcMar>
              <w:top w:w="0" w:type="dxa"/>
              <w:left w:w="115" w:type="dxa"/>
              <w:bottom w:w="0" w:type="dxa"/>
              <w:right w:w="115" w:type="dxa"/>
            </w:tcMar>
            <w:vAlign w:val="center"/>
          </w:tcPr>
          <w:p w14:paraId="619C2C66"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7E946EC5" w14:textId="7CE5C26A"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0.0027</w:t>
            </w:r>
            <w:r w:rsidRPr="00361437">
              <w:rPr>
                <w:rFonts w:ascii="Arial" w:hAnsi="Arial" w:cs="Arial"/>
                <w:color w:val="000000"/>
                <w:sz w:val="20"/>
                <w:vertAlign w:val="superscript"/>
              </w:rPr>
              <w:t>***</w:t>
            </w:r>
          </w:p>
        </w:tc>
        <w:tc>
          <w:tcPr>
            <w:tcW w:w="784" w:type="dxa"/>
            <w:tcMar>
              <w:top w:w="0" w:type="dxa"/>
              <w:left w:w="14" w:type="dxa"/>
              <w:bottom w:w="0" w:type="dxa"/>
              <w:right w:w="14" w:type="dxa"/>
            </w:tcMar>
            <w:vAlign w:val="center"/>
            <w:hideMark/>
          </w:tcPr>
          <w:p w14:paraId="1F6A7F84" w14:textId="68F281D8"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c>
          <w:tcPr>
            <w:tcW w:w="250" w:type="dxa"/>
            <w:tcMar>
              <w:top w:w="0" w:type="dxa"/>
              <w:left w:w="115" w:type="dxa"/>
              <w:bottom w:w="0" w:type="dxa"/>
              <w:right w:w="115" w:type="dxa"/>
            </w:tcMar>
            <w:vAlign w:val="center"/>
          </w:tcPr>
          <w:p w14:paraId="53AABFD9"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588EB9F4" w14:textId="2463DEFA"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0.3865</w:t>
            </w:r>
            <w:r w:rsidRPr="00361437">
              <w:rPr>
                <w:rFonts w:ascii="Arial" w:hAnsi="Arial" w:cs="Arial"/>
                <w:color w:val="000000"/>
                <w:sz w:val="20"/>
                <w:vertAlign w:val="superscript"/>
              </w:rPr>
              <w:t>**</w:t>
            </w:r>
          </w:p>
        </w:tc>
        <w:tc>
          <w:tcPr>
            <w:tcW w:w="784" w:type="dxa"/>
            <w:tcMar>
              <w:top w:w="0" w:type="dxa"/>
              <w:left w:w="14" w:type="dxa"/>
              <w:bottom w:w="0" w:type="dxa"/>
              <w:right w:w="14" w:type="dxa"/>
            </w:tcMar>
            <w:vAlign w:val="center"/>
            <w:hideMark/>
          </w:tcPr>
          <w:p w14:paraId="7680A279" w14:textId="602E9FDB"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0.0373</w:t>
            </w:r>
          </w:p>
        </w:tc>
        <w:tc>
          <w:tcPr>
            <w:tcW w:w="250" w:type="dxa"/>
            <w:tcMar>
              <w:top w:w="0" w:type="dxa"/>
              <w:left w:w="115" w:type="dxa"/>
              <w:bottom w:w="0" w:type="dxa"/>
              <w:right w:w="115" w:type="dxa"/>
            </w:tcMar>
            <w:vAlign w:val="center"/>
          </w:tcPr>
          <w:p w14:paraId="3FE5FE2F"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75551F39" w14:textId="56BF0670"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-0.0009</w:t>
            </w:r>
          </w:p>
        </w:tc>
        <w:tc>
          <w:tcPr>
            <w:tcW w:w="786" w:type="dxa"/>
            <w:noWrap/>
            <w:tcMar>
              <w:top w:w="0" w:type="dxa"/>
              <w:left w:w="14" w:type="dxa"/>
              <w:bottom w:w="0" w:type="dxa"/>
              <w:right w:w="14" w:type="dxa"/>
            </w:tcMar>
            <w:vAlign w:val="center"/>
            <w:hideMark/>
          </w:tcPr>
          <w:p w14:paraId="5D9BB8DA" w14:textId="779165C4"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0.9389</w:t>
            </w:r>
          </w:p>
        </w:tc>
        <w:tc>
          <w:tcPr>
            <w:tcW w:w="250" w:type="dxa"/>
            <w:tcMar>
              <w:top w:w="0" w:type="dxa"/>
              <w:left w:w="115" w:type="dxa"/>
              <w:bottom w:w="0" w:type="dxa"/>
              <w:right w:w="115" w:type="dxa"/>
            </w:tcMar>
            <w:vAlign w:val="center"/>
          </w:tcPr>
          <w:p w14:paraId="3A0F79CF" w14:textId="77777777" w:rsidR="00D245A4" w:rsidRPr="00361437" w:rsidRDefault="00D245A4" w:rsidP="00D245A4">
            <w:pPr>
              <w:tabs>
                <w:tab w:val="decimal" w:pos="256"/>
              </w:tabs>
              <w:spacing w:line="256" w:lineRule="auto"/>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7EC0C247" w14:textId="0132EE39"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-0.0176</w:t>
            </w:r>
            <w:r w:rsidRPr="00361437">
              <w:rPr>
                <w:rFonts w:ascii="Arial" w:hAnsi="Arial" w:cs="Arial"/>
                <w:color w:val="000000"/>
                <w:sz w:val="20"/>
                <w:vertAlign w:val="superscript"/>
              </w:rPr>
              <w:t>***</w:t>
            </w:r>
          </w:p>
        </w:tc>
        <w:tc>
          <w:tcPr>
            <w:tcW w:w="956" w:type="dxa"/>
            <w:noWrap/>
            <w:tcMar>
              <w:top w:w="0" w:type="dxa"/>
              <w:left w:w="14" w:type="dxa"/>
              <w:bottom w:w="0" w:type="dxa"/>
              <w:right w:w="14" w:type="dxa"/>
            </w:tcMar>
            <w:vAlign w:val="center"/>
            <w:hideMark/>
          </w:tcPr>
          <w:p w14:paraId="43EA13F4" w14:textId="67C0446C" w:rsidR="00D245A4" w:rsidRPr="00361437" w:rsidRDefault="00D245A4" w:rsidP="00D245A4">
            <w:pPr>
              <w:tabs>
                <w:tab w:val="decimal" w:pos="256"/>
              </w:tabs>
              <w:spacing w:line="256" w:lineRule="auto"/>
              <w:rPr>
                <w:rFonts w:ascii="Arial" w:eastAsia="Calibri" w:hAnsi="Arial" w:cs="Arial"/>
                <w:color w:val="000000"/>
                <w:sz w:val="20"/>
              </w:rPr>
            </w:pPr>
            <w:r w:rsidRPr="00361437">
              <w:rPr>
                <w:rFonts w:ascii="Arial" w:hAnsi="Arial" w:cs="Arial"/>
                <w:color w:val="000000"/>
                <w:sz w:val="20"/>
              </w:rPr>
              <w:t>0.0000</w:t>
            </w:r>
          </w:p>
        </w:tc>
      </w:tr>
      <w:tr w:rsidR="00D0402B" w:rsidRPr="00361437" w14:paraId="433E7DC7" w14:textId="77777777" w:rsidTr="004F27B4">
        <w:trPr>
          <w:trHeight w:val="288"/>
        </w:trPr>
        <w:tc>
          <w:tcPr>
            <w:tcW w:w="4076" w:type="dxa"/>
            <w:noWrap/>
            <w:vAlign w:val="center"/>
            <w:hideMark/>
          </w:tcPr>
          <w:p w14:paraId="2433CF9D" w14:textId="77777777" w:rsidR="002C6D89" w:rsidRPr="00361437" w:rsidRDefault="002C6D89" w:rsidP="00032E88">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 xml:space="preserve">N </w:t>
            </w:r>
          </w:p>
        </w:tc>
        <w:tc>
          <w:tcPr>
            <w:tcW w:w="995" w:type="dxa"/>
            <w:tcMar>
              <w:top w:w="0" w:type="dxa"/>
              <w:left w:w="14" w:type="dxa"/>
              <w:bottom w:w="0" w:type="dxa"/>
              <w:right w:w="14" w:type="dxa"/>
            </w:tcMar>
            <w:vAlign w:val="center"/>
            <w:hideMark/>
          </w:tcPr>
          <w:p w14:paraId="72B0784C" w14:textId="47350C9F" w:rsidR="002C6D89" w:rsidRPr="00361437" w:rsidRDefault="002C6D89" w:rsidP="00032E88">
            <w:pPr>
              <w:spacing w:line="256" w:lineRule="auto"/>
              <w:jc w:val="center"/>
              <w:rPr>
                <w:rFonts w:ascii="Arial" w:eastAsia="Calibri" w:hAnsi="Arial" w:cs="Arial"/>
                <w:color w:val="000000"/>
                <w:sz w:val="20"/>
              </w:rPr>
            </w:pPr>
            <w:r w:rsidRPr="00361437">
              <w:rPr>
                <w:rFonts w:ascii="Arial" w:eastAsia="Times New Roman" w:hAnsi="Arial" w:cs="Arial"/>
                <w:sz w:val="20"/>
              </w:rPr>
              <w:t>12,327</w:t>
            </w:r>
          </w:p>
        </w:tc>
        <w:tc>
          <w:tcPr>
            <w:tcW w:w="783" w:type="dxa"/>
            <w:tcMar>
              <w:top w:w="0" w:type="dxa"/>
              <w:left w:w="14" w:type="dxa"/>
              <w:bottom w:w="0" w:type="dxa"/>
              <w:right w:w="14" w:type="dxa"/>
            </w:tcMar>
            <w:vAlign w:val="center"/>
          </w:tcPr>
          <w:p w14:paraId="7703F9A3" w14:textId="77777777" w:rsidR="002C6D89" w:rsidRPr="00361437" w:rsidRDefault="002C6D89" w:rsidP="00032E88">
            <w:pPr>
              <w:spacing w:line="256" w:lineRule="auto"/>
              <w:jc w:val="center"/>
              <w:rPr>
                <w:rFonts w:ascii="Arial" w:eastAsia="Calibri" w:hAnsi="Arial" w:cs="Arial"/>
                <w:color w:val="000000"/>
                <w:sz w:val="20"/>
              </w:rPr>
            </w:pPr>
          </w:p>
        </w:tc>
        <w:tc>
          <w:tcPr>
            <w:tcW w:w="250" w:type="dxa"/>
            <w:tcMar>
              <w:top w:w="0" w:type="dxa"/>
              <w:left w:w="115" w:type="dxa"/>
              <w:bottom w:w="0" w:type="dxa"/>
              <w:right w:w="115" w:type="dxa"/>
            </w:tcMar>
            <w:vAlign w:val="center"/>
          </w:tcPr>
          <w:p w14:paraId="6E8CD022" w14:textId="77777777" w:rsidR="002C6D89" w:rsidRPr="00361437" w:rsidRDefault="002C6D89" w:rsidP="00032E88">
            <w:pPr>
              <w:tabs>
                <w:tab w:val="decimal" w:pos="206"/>
              </w:tabs>
              <w:spacing w:line="256" w:lineRule="auto"/>
              <w:jc w:val="center"/>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3B97A91D" w14:textId="47C88BC6" w:rsidR="002C6D89" w:rsidRPr="00361437" w:rsidRDefault="002C6D89" w:rsidP="00032E88">
            <w:pPr>
              <w:spacing w:line="256" w:lineRule="auto"/>
              <w:jc w:val="center"/>
              <w:rPr>
                <w:rFonts w:ascii="Arial" w:eastAsia="Calibri" w:hAnsi="Arial" w:cs="Arial"/>
                <w:color w:val="000000"/>
                <w:sz w:val="20"/>
              </w:rPr>
            </w:pPr>
            <w:r w:rsidRPr="00361437">
              <w:rPr>
                <w:rFonts w:ascii="Arial" w:eastAsia="Times New Roman" w:hAnsi="Arial" w:cs="Arial"/>
                <w:sz w:val="20"/>
              </w:rPr>
              <w:t>12,327</w:t>
            </w:r>
          </w:p>
        </w:tc>
        <w:tc>
          <w:tcPr>
            <w:tcW w:w="784" w:type="dxa"/>
            <w:tcMar>
              <w:top w:w="0" w:type="dxa"/>
              <w:left w:w="14" w:type="dxa"/>
              <w:bottom w:w="0" w:type="dxa"/>
              <w:right w:w="14" w:type="dxa"/>
            </w:tcMar>
            <w:vAlign w:val="center"/>
          </w:tcPr>
          <w:p w14:paraId="443F888A" w14:textId="77777777" w:rsidR="002C6D89" w:rsidRPr="00361437" w:rsidRDefault="002C6D89" w:rsidP="00032E88">
            <w:pPr>
              <w:tabs>
                <w:tab w:val="decimal" w:pos="206"/>
              </w:tabs>
              <w:spacing w:line="256" w:lineRule="auto"/>
              <w:jc w:val="center"/>
              <w:rPr>
                <w:rFonts w:ascii="Arial" w:eastAsia="Calibri" w:hAnsi="Arial" w:cs="Arial"/>
                <w:color w:val="000000"/>
                <w:sz w:val="20"/>
              </w:rPr>
            </w:pPr>
          </w:p>
        </w:tc>
        <w:tc>
          <w:tcPr>
            <w:tcW w:w="250" w:type="dxa"/>
            <w:tcMar>
              <w:top w:w="0" w:type="dxa"/>
              <w:left w:w="115" w:type="dxa"/>
              <w:bottom w:w="0" w:type="dxa"/>
              <w:right w:w="115" w:type="dxa"/>
            </w:tcMar>
            <w:vAlign w:val="center"/>
          </w:tcPr>
          <w:p w14:paraId="5465E927" w14:textId="77777777" w:rsidR="002C6D89" w:rsidRPr="00361437" w:rsidRDefault="002C6D89" w:rsidP="00032E88">
            <w:pPr>
              <w:tabs>
                <w:tab w:val="decimal" w:pos="206"/>
              </w:tabs>
              <w:spacing w:line="256" w:lineRule="auto"/>
              <w:jc w:val="center"/>
              <w:rPr>
                <w:rFonts w:ascii="Arial" w:eastAsia="Calibri" w:hAnsi="Arial" w:cs="Arial"/>
                <w:color w:val="000000"/>
                <w:sz w:val="20"/>
              </w:rPr>
            </w:pPr>
          </w:p>
        </w:tc>
        <w:tc>
          <w:tcPr>
            <w:tcW w:w="996" w:type="dxa"/>
            <w:tcMar>
              <w:top w:w="0" w:type="dxa"/>
              <w:left w:w="14" w:type="dxa"/>
              <w:bottom w:w="0" w:type="dxa"/>
              <w:right w:w="14" w:type="dxa"/>
            </w:tcMar>
            <w:vAlign w:val="center"/>
            <w:hideMark/>
          </w:tcPr>
          <w:p w14:paraId="64AE60E5" w14:textId="69B0E843" w:rsidR="002C6D89" w:rsidRPr="00361437" w:rsidRDefault="002C6D89" w:rsidP="00032E88">
            <w:pPr>
              <w:spacing w:line="256" w:lineRule="auto"/>
              <w:jc w:val="center"/>
              <w:rPr>
                <w:rFonts w:ascii="Arial" w:eastAsia="Calibri" w:hAnsi="Arial" w:cs="Arial"/>
                <w:color w:val="000000"/>
                <w:sz w:val="20"/>
              </w:rPr>
            </w:pPr>
            <w:r w:rsidRPr="00361437">
              <w:rPr>
                <w:rFonts w:ascii="Arial" w:eastAsia="Times New Roman" w:hAnsi="Arial" w:cs="Arial"/>
                <w:sz w:val="20"/>
              </w:rPr>
              <w:t>12,327</w:t>
            </w:r>
          </w:p>
        </w:tc>
        <w:tc>
          <w:tcPr>
            <w:tcW w:w="784" w:type="dxa"/>
            <w:tcMar>
              <w:top w:w="0" w:type="dxa"/>
              <w:left w:w="14" w:type="dxa"/>
              <w:bottom w:w="0" w:type="dxa"/>
              <w:right w:w="14" w:type="dxa"/>
            </w:tcMar>
            <w:vAlign w:val="center"/>
          </w:tcPr>
          <w:p w14:paraId="10C82855" w14:textId="77777777" w:rsidR="002C6D89" w:rsidRPr="00361437" w:rsidRDefault="002C6D89" w:rsidP="00032E88">
            <w:pPr>
              <w:tabs>
                <w:tab w:val="decimal" w:pos="206"/>
              </w:tabs>
              <w:spacing w:line="256" w:lineRule="auto"/>
              <w:jc w:val="center"/>
              <w:rPr>
                <w:rFonts w:ascii="Arial" w:eastAsia="Calibri" w:hAnsi="Arial" w:cs="Arial"/>
                <w:color w:val="000000"/>
                <w:sz w:val="20"/>
              </w:rPr>
            </w:pPr>
          </w:p>
        </w:tc>
        <w:tc>
          <w:tcPr>
            <w:tcW w:w="250" w:type="dxa"/>
            <w:tcMar>
              <w:top w:w="0" w:type="dxa"/>
              <w:left w:w="115" w:type="dxa"/>
              <w:bottom w:w="0" w:type="dxa"/>
              <w:right w:w="115" w:type="dxa"/>
            </w:tcMar>
            <w:vAlign w:val="center"/>
          </w:tcPr>
          <w:p w14:paraId="69BFF102" w14:textId="77777777" w:rsidR="002C6D89" w:rsidRPr="00361437" w:rsidRDefault="002C6D89" w:rsidP="00032E88">
            <w:pPr>
              <w:tabs>
                <w:tab w:val="decimal" w:pos="206"/>
              </w:tabs>
              <w:spacing w:line="256" w:lineRule="auto"/>
              <w:jc w:val="center"/>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038DD969" w14:textId="0A674FFC" w:rsidR="002C6D89" w:rsidRPr="00361437" w:rsidRDefault="002C6D89" w:rsidP="00032E88">
            <w:pPr>
              <w:spacing w:line="256" w:lineRule="auto"/>
              <w:jc w:val="center"/>
              <w:rPr>
                <w:rFonts w:ascii="Arial" w:eastAsia="Calibri" w:hAnsi="Arial" w:cs="Arial"/>
                <w:color w:val="000000"/>
                <w:sz w:val="20"/>
              </w:rPr>
            </w:pPr>
            <w:r w:rsidRPr="00361437">
              <w:rPr>
                <w:rFonts w:ascii="Arial" w:eastAsia="Times New Roman" w:hAnsi="Arial" w:cs="Arial"/>
                <w:sz w:val="20"/>
              </w:rPr>
              <w:t>12,327</w:t>
            </w:r>
          </w:p>
        </w:tc>
        <w:tc>
          <w:tcPr>
            <w:tcW w:w="786" w:type="dxa"/>
            <w:noWrap/>
            <w:tcMar>
              <w:top w:w="0" w:type="dxa"/>
              <w:left w:w="14" w:type="dxa"/>
              <w:bottom w:w="0" w:type="dxa"/>
              <w:right w:w="14" w:type="dxa"/>
            </w:tcMar>
            <w:vAlign w:val="center"/>
          </w:tcPr>
          <w:p w14:paraId="73DA3209" w14:textId="77777777" w:rsidR="002C6D89" w:rsidRPr="00361437" w:rsidRDefault="002C6D89" w:rsidP="00032E88">
            <w:pPr>
              <w:tabs>
                <w:tab w:val="decimal" w:pos="206"/>
              </w:tabs>
              <w:spacing w:line="256" w:lineRule="auto"/>
              <w:jc w:val="center"/>
              <w:rPr>
                <w:rFonts w:ascii="Arial" w:eastAsia="Calibri" w:hAnsi="Arial" w:cs="Arial"/>
                <w:color w:val="000000"/>
                <w:sz w:val="20"/>
              </w:rPr>
            </w:pPr>
          </w:p>
        </w:tc>
        <w:tc>
          <w:tcPr>
            <w:tcW w:w="250" w:type="dxa"/>
            <w:tcMar>
              <w:top w:w="0" w:type="dxa"/>
              <w:left w:w="115" w:type="dxa"/>
              <w:bottom w:w="0" w:type="dxa"/>
              <w:right w:w="115" w:type="dxa"/>
            </w:tcMar>
            <w:vAlign w:val="center"/>
          </w:tcPr>
          <w:p w14:paraId="14BE7982" w14:textId="77777777" w:rsidR="002C6D89" w:rsidRPr="00361437" w:rsidRDefault="002C6D89" w:rsidP="00032E88">
            <w:pPr>
              <w:tabs>
                <w:tab w:val="decimal" w:pos="206"/>
              </w:tabs>
              <w:spacing w:line="256" w:lineRule="auto"/>
              <w:jc w:val="center"/>
              <w:rPr>
                <w:rFonts w:ascii="Arial" w:eastAsia="Calibri" w:hAnsi="Arial" w:cs="Arial"/>
                <w:color w:val="000000"/>
                <w:sz w:val="20"/>
              </w:rPr>
            </w:pPr>
          </w:p>
        </w:tc>
        <w:tc>
          <w:tcPr>
            <w:tcW w:w="996" w:type="dxa"/>
            <w:noWrap/>
            <w:tcMar>
              <w:top w:w="0" w:type="dxa"/>
              <w:left w:w="14" w:type="dxa"/>
              <w:bottom w:w="0" w:type="dxa"/>
              <w:right w:w="14" w:type="dxa"/>
            </w:tcMar>
            <w:vAlign w:val="center"/>
            <w:hideMark/>
          </w:tcPr>
          <w:p w14:paraId="6A483BFA" w14:textId="5DDE5E6F" w:rsidR="002C6D89" w:rsidRPr="00361437" w:rsidRDefault="002C6D89" w:rsidP="00032E88">
            <w:pPr>
              <w:spacing w:line="256" w:lineRule="auto"/>
              <w:jc w:val="center"/>
              <w:rPr>
                <w:rFonts w:ascii="Arial" w:eastAsia="Calibri" w:hAnsi="Arial" w:cs="Arial"/>
                <w:color w:val="000000"/>
                <w:sz w:val="20"/>
              </w:rPr>
            </w:pPr>
            <w:r w:rsidRPr="00361437">
              <w:rPr>
                <w:rFonts w:ascii="Arial" w:eastAsia="Times New Roman" w:hAnsi="Arial" w:cs="Arial"/>
                <w:sz w:val="20"/>
              </w:rPr>
              <w:t>12,327</w:t>
            </w:r>
          </w:p>
        </w:tc>
        <w:tc>
          <w:tcPr>
            <w:tcW w:w="956" w:type="dxa"/>
            <w:noWrap/>
            <w:vAlign w:val="center"/>
          </w:tcPr>
          <w:p w14:paraId="7031D829" w14:textId="77777777" w:rsidR="002C6D89" w:rsidRPr="00361437" w:rsidRDefault="002C6D89" w:rsidP="00032E88">
            <w:pPr>
              <w:tabs>
                <w:tab w:val="decimal" w:pos="206"/>
              </w:tabs>
              <w:spacing w:line="256" w:lineRule="auto"/>
              <w:jc w:val="center"/>
              <w:rPr>
                <w:rFonts w:ascii="Arial" w:eastAsia="Calibri" w:hAnsi="Arial" w:cs="Arial"/>
                <w:color w:val="000000"/>
                <w:sz w:val="20"/>
              </w:rPr>
            </w:pPr>
          </w:p>
        </w:tc>
      </w:tr>
      <w:tr w:rsidR="00D0402B" w:rsidRPr="00361437" w14:paraId="0B34611E" w14:textId="77777777" w:rsidTr="004F27B4">
        <w:trPr>
          <w:trHeight w:val="288"/>
        </w:trPr>
        <w:tc>
          <w:tcPr>
            <w:tcW w:w="4076" w:type="dxa"/>
            <w:tcBorders>
              <w:top w:val="nil"/>
              <w:left w:val="nil"/>
              <w:bottom w:val="single" w:sz="4" w:space="0" w:color="auto"/>
              <w:right w:val="nil"/>
            </w:tcBorders>
            <w:noWrap/>
            <w:vAlign w:val="center"/>
            <w:hideMark/>
          </w:tcPr>
          <w:p w14:paraId="4F6C0FE3" w14:textId="77777777" w:rsidR="002C6D89" w:rsidRPr="00361437" w:rsidRDefault="002C6D89" w:rsidP="00032E88">
            <w:pPr>
              <w:spacing w:line="256" w:lineRule="auto"/>
              <w:ind w:left="180" w:hanging="180"/>
              <w:contextualSpacing/>
              <w:rPr>
                <w:rFonts w:ascii="Arial" w:eastAsia="Times New Roman" w:hAnsi="Arial" w:cs="Arial"/>
                <w:sz w:val="18"/>
              </w:rPr>
            </w:pPr>
            <w:r w:rsidRPr="00361437">
              <w:rPr>
                <w:rFonts w:ascii="Arial" w:eastAsia="Times New Roman" w:hAnsi="Arial" w:cs="Arial"/>
                <w:sz w:val="18"/>
              </w:rPr>
              <w:t>Adjusted R</w:t>
            </w:r>
            <w:r w:rsidRPr="00361437">
              <w:rPr>
                <w:rFonts w:ascii="Arial" w:eastAsia="Times New Roman" w:hAnsi="Arial" w:cs="Arial"/>
                <w:sz w:val="18"/>
                <w:vertAlign w:val="superscript"/>
              </w:rPr>
              <w:t>2</w:t>
            </w:r>
          </w:p>
        </w:tc>
        <w:tc>
          <w:tcPr>
            <w:tcW w:w="995" w:type="dxa"/>
            <w:tcBorders>
              <w:top w:val="nil"/>
              <w:left w:val="nil"/>
              <w:bottom w:val="single" w:sz="4" w:space="0" w:color="auto"/>
              <w:right w:val="nil"/>
            </w:tcBorders>
            <w:tcMar>
              <w:top w:w="0" w:type="dxa"/>
              <w:left w:w="14" w:type="dxa"/>
              <w:bottom w:w="0" w:type="dxa"/>
              <w:right w:w="14" w:type="dxa"/>
            </w:tcMar>
            <w:vAlign w:val="center"/>
            <w:hideMark/>
          </w:tcPr>
          <w:p w14:paraId="7FAA5413" w14:textId="32A0F365" w:rsidR="002C6D89" w:rsidRPr="00361437" w:rsidRDefault="002C6D89"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w:t>
            </w:r>
            <w:r w:rsidR="002146D0" w:rsidRPr="00361437">
              <w:rPr>
                <w:rFonts w:ascii="Arial" w:eastAsia="Calibri" w:hAnsi="Arial" w:cs="Arial"/>
                <w:color w:val="000000"/>
                <w:sz w:val="20"/>
              </w:rPr>
              <w:t>4</w:t>
            </w:r>
            <w:r w:rsidR="003E089F" w:rsidRPr="00361437">
              <w:rPr>
                <w:rFonts w:ascii="Arial" w:eastAsia="Calibri" w:hAnsi="Arial" w:cs="Arial"/>
                <w:color w:val="000000"/>
                <w:sz w:val="20"/>
              </w:rPr>
              <w:t>962</w:t>
            </w:r>
          </w:p>
        </w:tc>
        <w:tc>
          <w:tcPr>
            <w:tcW w:w="783" w:type="dxa"/>
            <w:tcBorders>
              <w:top w:val="nil"/>
              <w:left w:val="nil"/>
              <w:bottom w:val="single" w:sz="4" w:space="0" w:color="auto"/>
              <w:right w:val="nil"/>
            </w:tcBorders>
            <w:tcMar>
              <w:top w:w="0" w:type="dxa"/>
              <w:left w:w="14" w:type="dxa"/>
              <w:bottom w:w="0" w:type="dxa"/>
              <w:right w:w="14" w:type="dxa"/>
            </w:tcMar>
            <w:vAlign w:val="center"/>
          </w:tcPr>
          <w:p w14:paraId="44684A39" w14:textId="77777777" w:rsidR="002C6D89" w:rsidRPr="00361437" w:rsidRDefault="002C6D89" w:rsidP="00032E88">
            <w:pPr>
              <w:spacing w:line="256" w:lineRule="auto"/>
              <w:jc w:val="center"/>
              <w:rPr>
                <w:rFonts w:ascii="Arial" w:eastAsia="Calibri" w:hAnsi="Arial" w:cs="Arial"/>
                <w:color w:val="000000"/>
                <w:sz w:val="20"/>
              </w:rPr>
            </w:pPr>
          </w:p>
        </w:tc>
        <w:tc>
          <w:tcPr>
            <w:tcW w:w="250" w:type="dxa"/>
            <w:tcBorders>
              <w:top w:val="nil"/>
              <w:left w:val="nil"/>
              <w:bottom w:val="single" w:sz="4" w:space="0" w:color="auto"/>
              <w:right w:val="nil"/>
            </w:tcBorders>
            <w:tcMar>
              <w:top w:w="0" w:type="dxa"/>
              <w:left w:w="115" w:type="dxa"/>
              <w:bottom w:w="0" w:type="dxa"/>
              <w:right w:w="115" w:type="dxa"/>
            </w:tcMar>
            <w:vAlign w:val="center"/>
          </w:tcPr>
          <w:p w14:paraId="6FF44725" w14:textId="77777777" w:rsidR="002C6D89" w:rsidRPr="00361437" w:rsidRDefault="002C6D89" w:rsidP="00032E88">
            <w:pPr>
              <w:tabs>
                <w:tab w:val="decimal" w:pos="206"/>
              </w:tabs>
              <w:spacing w:line="256" w:lineRule="auto"/>
              <w:jc w:val="center"/>
              <w:rPr>
                <w:rFonts w:ascii="Arial" w:eastAsia="Calibri" w:hAnsi="Arial" w:cs="Arial"/>
                <w:color w:val="000000"/>
                <w:sz w:val="20"/>
              </w:rPr>
            </w:pPr>
          </w:p>
        </w:tc>
        <w:tc>
          <w:tcPr>
            <w:tcW w:w="996" w:type="dxa"/>
            <w:tcBorders>
              <w:top w:val="nil"/>
              <w:left w:val="nil"/>
              <w:bottom w:val="single" w:sz="4" w:space="0" w:color="auto"/>
              <w:right w:val="nil"/>
            </w:tcBorders>
            <w:tcMar>
              <w:top w:w="0" w:type="dxa"/>
              <w:left w:w="14" w:type="dxa"/>
              <w:bottom w:w="0" w:type="dxa"/>
              <w:right w:w="14" w:type="dxa"/>
            </w:tcMar>
            <w:vAlign w:val="center"/>
            <w:hideMark/>
          </w:tcPr>
          <w:p w14:paraId="1837C9BB" w14:textId="6B640748" w:rsidR="002C6D89" w:rsidRPr="00361437" w:rsidRDefault="002C6D89"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w:t>
            </w:r>
            <w:r w:rsidR="007D0BE9" w:rsidRPr="00361437">
              <w:rPr>
                <w:rFonts w:ascii="Arial" w:eastAsia="Calibri" w:hAnsi="Arial" w:cs="Arial"/>
                <w:color w:val="000000"/>
                <w:sz w:val="20"/>
              </w:rPr>
              <w:t>2</w:t>
            </w:r>
            <w:r w:rsidR="001C593C" w:rsidRPr="00361437">
              <w:rPr>
                <w:rFonts w:ascii="Arial" w:eastAsia="Calibri" w:hAnsi="Arial" w:cs="Arial"/>
                <w:color w:val="000000"/>
                <w:sz w:val="20"/>
              </w:rPr>
              <w:t>042</w:t>
            </w:r>
          </w:p>
        </w:tc>
        <w:tc>
          <w:tcPr>
            <w:tcW w:w="784" w:type="dxa"/>
            <w:tcBorders>
              <w:top w:val="nil"/>
              <w:left w:val="nil"/>
              <w:bottom w:val="single" w:sz="4" w:space="0" w:color="auto"/>
              <w:right w:val="nil"/>
            </w:tcBorders>
            <w:tcMar>
              <w:top w:w="0" w:type="dxa"/>
              <w:left w:w="14" w:type="dxa"/>
              <w:bottom w:w="0" w:type="dxa"/>
              <w:right w:w="14" w:type="dxa"/>
            </w:tcMar>
            <w:vAlign w:val="center"/>
          </w:tcPr>
          <w:p w14:paraId="2F42CC46" w14:textId="77777777" w:rsidR="002C6D89" w:rsidRPr="00361437" w:rsidRDefault="002C6D89" w:rsidP="00032E88">
            <w:pPr>
              <w:tabs>
                <w:tab w:val="decimal" w:pos="206"/>
              </w:tabs>
              <w:spacing w:line="256" w:lineRule="auto"/>
              <w:jc w:val="center"/>
              <w:rPr>
                <w:rFonts w:ascii="Arial" w:eastAsia="Calibri" w:hAnsi="Arial" w:cs="Arial"/>
                <w:color w:val="000000"/>
                <w:sz w:val="20"/>
              </w:rPr>
            </w:pPr>
          </w:p>
        </w:tc>
        <w:tc>
          <w:tcPr>
            <w:tcW w:w="250" w:type="dxa"/>
            <w:tcBorders>
              <w:top w:val="nil"/>
              <w:left w:val="nil"/>
              <w:bottom w:val="single" w:sz="4" w:space="0" w:color="auto"/>
              <w:right w:val="nil"/>
            </w:tcBorders>
            <w:tcMar>
              <w:top w:w="0" w:type="dxa"/>
              <w:left w:w="115" w:type="dxa"/>
              <w:bottom w:w="0" w:type="dxa"/>
              <w:right w:w="115" w:type="dxa"/>
            </w:tcMar>
            <w:vAlign w:val="center"/>
          </w:tcPr>
          <w:p w14:paraId="30A35BE4" w14:textId="77777777" w:rsidR="002C6D89" w:rsidRPr="00361437" w:rsidRDefault="002C6D89" w:rsidP="00032E88">
            <w:pPr>
              <w:tabs>
                <w:tab w:val="decimal" w:pos="206"/>
              </w:tabs>
              <w:spacing w:line="256" w:lineRule="auto"/>
              <w:jc w:val="center"/>
              <w:rPr>
                <w:rFonts w:ascii="Arial" w:eastAsia="Calibri" w:hAnsi="Arial" w:cs="Arial"/>
                <w:color w:val="000000"/>
                <w:sz w:val="20"/>
              </w:rPr>
            </w:pPr>
          </w:p>
        </w:tc>
        <w:tc>
          <w:tcPr>
            <w:tcW w:w="996" w:type="dxa"/>
            <w:tcBorders>
              <w:top w:val="nil"/>
              <w:left w:val="nil"/>
              <w:bottom w:val="single" w:sz="4" w:space="0" w:color="auto"/>
              <w:right w:val="nil"/>
            </w:tcBorders>
            <w:tcMar>
              <w:top w:w="0" w:type="dxa"/>
              <w:left w:w="14" w:type="dxa"/>
              <w:bottom w:w="0" w:type="dxa"/>
              <w:right w:w="14" w:type="dxa"/>
            </w:tcMar>
            <w:vAlign w:val="center"/>
            <w:hideMark/>
          </w:tcPr>
          <w:p w14:paraId="06091817" w14:textId="4334D417" w:rsidR="002C6D89" w:rsidRPr="00361437" w:rsidRDefault="002C6D89"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w:t>
            </w:r>
            <w:r w:rsidR="007D0BE9" w:rsidRPr="00361437">
              <w:rPr>
                <w:rFonts w:ascii="Arial" w:eastAsia="Calibri" w:hAnsi="Arial" w:cs="Arial"/>
                <w:color w:val="000000"/>
                <w:sz w:val="20"/>
              </w:rPr>
              <w:t>02</w:t>
            </w:r>
            <w:r w:rsidR="001C593C" w:rsidRPr="00361437">
              <w:rPr>
                <w:rFonts w:ascii="Arial" w:eastAsia="Calibri" w:hAnsi="Arial" w:cs="Arial"/>
                <w:color w:val="000000"/>
                <w:sz w:val="20"/>
              </w:rPr>
              <w:t>03</w:t>
            </w:r>
          </w:p>
        </w:tc>
        <w:tc>
          <w:tcPr>
            <w:tcW w:w="784" w:type="dxa"/>
            <w:tcBorders>
              <w:top w:val="nil"/>
              <w:left w:val="nil"/>
              <w:bottom w:val="single" w:sz="4" w:space="0" w:color="auto"/>
              <w:right w:val="nil"/>
            </w:tcBorders>
            <w:tcMar>
              <w:top w:w="0" w:type="dxa"/>
              <w:left w:w="14" w:type="dxa"/>
              <w:bottom w:w="0" w:type="dxa"/>
              <w:right w:w="14" w:type="dxa"/>
            </w:tcMar>
            <w:vAlign w:val="center"/>
          </w:tcPr>
          <w:p w14:paraId="25EDF12A" w14:textId="77777777" w:rsidR="002C6D89" w:rsidRPr="00361437" w:rsidRDefault="002C6D89" w:rsidP="00032E88">
            <w:pPr>
              <w:tabs>
                <w:tab w:val="decimal" w:pos="206"/>
              </w:tabs>
              <w:spacing w:line="256" w:lineRule="auto"/>
              <w:jc w:val="center"/>
              <w:rPr>
                <w:rFonts w:ascii="Arial" w:eastAsia="Calibri" w:hAnsi="Arial" w:cs="Arial"/>
                <w:color w:val="000000"/>
                <w:sz w:val="20"/>
              </w:rPr>
            </w:pPr>
          </w:p>
        </w:tc>
        <w:tc>
          <w:tcPr>
            <w:tcW w:w="250" w:type="dxa"/>
            <w:tcBorders>
              <w:top w:val="nil"/>
              <w:left w:val="nil"/>
              <w:bottom w:val="single" w:sz="4" w:space="0" w:color="auto"/>
              <w:right w:val="nil"/>
            </w:tcBorders>
            <w:tcMar>
              <w:top w:w="0" w:type="dxa"/>
              <w:left w:w="115" w:type="dxa"/>
              <w:bottom w:w="0" w:type="dxa"/>
              <w:right w:w="115" w:type="dxa"/>
            </w:tcMar>
            <w:vAlign w:val="center"/>
          </w:tcPr>
          <w:p w14:paraId="3449A4B0" w14:textId="77777777" w:rsidR="002C6D89" w:rsidRPr="00361437" w:rsidRDefault="002C6D89" w:rsidP="00032E88">
            <w:pPr>
              <w:tabs>
                <w:tab w:val="decimal" w:pos="206"/>
              </w:tabs>
              <w:spacing w:line="256" w:lineRule="auto"/>
              <w:jc w:val="center"/>
              <w:rPr>
                <w:rFonts w:ascii="Arial" w:eastAsia="Calibri" w:hAnsi="Arial" w:cs="Arial"/>
                <w:color w:val="000000"/>
                <w:sz w:val="20"/>
              </w:rPr>
            </w:pPr>
          </w:p>
        </w:tc>
        <w:tc>
          <w:tcPr>
            <w:tcW w:w="996" w:type="dxa"/>
            <w:tcBorders>
              <w:top w:val="nil"/>
              <w:left w:val="nil"/>
              <w:bottom w:val="single" w:sz="4" w:space="0" w:color="auto"/>
              <w:right w:val="nil"/>
            </w:tcBorders>
            <w:noWrap/>
            <w:tcMar>
              <w:top w:w="0" w:type="dxa"/>
              <w:left w:w="14" w:type="dxa"/>
              <w:bottom w:w="0" w:type="dxa"/>
              <w:right w:w="14" w:type="dxa"/>
            </w:tcMar>
            <w:vAlign w:val="center"/>
            <w:hideMark/>
          </w:tcPr>
          <w:p w14:paraId="083FB1E8" w14:textId="72BBCBF6" w:rsidR="002C6D89" w:rsidRPr="00361437" w:rsidRDefault="002C6D89"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0.0</w:t>
            </w:r>
            <w:r w:rsidR="007D0BE9" w:rsidRPr="00361437">
              <w:rPr>
                <w:rFonts w:ascii="Arial" w:eastAsia="Calibri" w:hAnsi="Arial" w:cs="Arial"/>
                <w:color w:val="000000"/>
                <w:sz w:val="20"/>
              </w:rPr>
              <w:t>7</w:t>
            </w:r>
            <w:r w:rsidR="001C593C" w:rsidRPr="00361437">
              <w:rPr>
                <w:rFonts w:ascii="Arial" w:eastAsia="Calibri" w:hAnsi="Arial" w:cs="Arial"/>
                <w:color w:val="000000"/>
                <w:sz w:val="20"/>
              </w:rPr>
              <w:t>35</w:t>
            </w:r>
          </w:p>
        </w:tc>
        <w:tc>
          <w:tcPr>
            <w:tcW w:w="786" w:type="dxa"/>
            <w:tcBorders>
              <w:top w:val="nil"/>
              <w:left w:val="nil"/>
              <w:bottom w:val="single" w:sz="4" w:space="0" w:color="auto"/>
              <w:right w:val="nil"/>
            </w:tcBorders>
            <w:noWrap/>
            <w:tcMar>
              <w:top w:w="0" w:type="dxa"/>
              <w:left w:w="14" w:type="dxa"/>
              <w:bottom w:w="0" w:type="dxa"/>
              <w:right w:w="14" w:type="dxa"/>
            </w:tcMar>
            <w:vAlign w:val="center"/>
          </w:tcPr>
          <w:p w14:paraId="0E98CD14" w14:textId="77777777" w:rsidR="002C6D89" w:rsidRPr="00361437" w:rsidRDefault="002C6D89" w:rsidP="00032E88">
            <w:pPr>
              <w:tabs>
                <w:tab w:val="decimal" w:pos="206"/>
              </w:tabs>
              <w:spacing w:line="256" w:lineRule="auto"/>
              <w:jc w:val="center"/>
              <w:rPr>
                <w:rFonts w:ascii="Arial" w:eastAsia="Calibri" w:hAnsi="Arial" w:cs="Arial"/>
                <w:color w:val="000000"/>
                <w:sz w:val="20"/>
              </w:rPr>
            </w:pPr>
          </w:p>
        </w:tc>
        <w:tc>
          <w:tcPr>
            <w:tcW w:w="250" w:type="dxa"/>
            <w:tcBorders>
              <w:top w:val="nil"/>
              <w:left w:val="nil"/>
              <w:bottom w:val="single" w:sz="4" w:space="0" w:color="auto"/>
              <w:right w:val="nil"/>
            </w:tcBorders>
            <w:tcMar>
              <w:top w:w="0" w:type="dxa"/>
              <w:left w:w="115" w:type="dxa"/>
              <w:bottom w:w="0" w:type="dxa"/>
              <w:right w:w="115" w:type="dxa"/>
            </w:tcMar>
            <w:vAlign w:val="center"/>
          </w:tcPr>
          <w:p w14:paraId="170029CC" w14:textId="77777777" w:rsidR="002C6D89" w:rsidRPr="00361437" w:rsidRDefault="002C6D89" w:rsidP="00032E88">
            <w:pPr>
              <w:tabs>
                <w:tab w:val="decimal" w:pos="206"/>
              </w:tabs>
              <w:spacing w:line="256" w:lineRule="auto"/>
              <w:jc w:val="center"/>
              <w:rPr>
                <w:rFonts w:ascii="Arial" w:eastAsia="Calibri" w:hAnsi="Arial" w:cs="Arial"/>
                <w:color w:val="000000"/>
                <w:sz w:val="20"/>
              </w:rPr>
            </w:pPr>
          </w:p>
        </w:tc>
        <w:tc>
          <w:tcPr>
            <w:tcW w:w="996" w:type="dxa"/>
            <w:tcBorders>
              <w:top w:val="nil"/>
              <w:left w:val="nil"/>
              <w:bottom w:val="single" w:sz="4" w:space="0" w:color="auto"/>
              <w:right w:val="nil"/>
            </w:tcBorders>
            <w:noWrap/>
            <w:tcMar>
              <w:top w:w="0" w:type="dxa"/>
              <w:left w:w="14" w:type="dxa"/>
              <w:bottom w:w="0" w:type="dxa"/>
              <w:right w:w="14" w:type="dxa"/>
            </w:tcMar>
            <w:vAlign w:val="center"/>
            <w:hideMark/>
          </w:tcPr>
          <w:p w14:paraId="7C502D0E" w14:textId="496F208E" w:rsidR="002C6D89" w:rsidRPr="00361437" w:rsidRDefault="002C6D89" w:rsidP="00032E88">
            <w:pPr>
              <w:spacing w:line="256" w:lineRule="auto"/>
              <w:jc w:val="center"/>
              <w:rPr>
                <w:rFonts w:ascii="Arial" w:eastAsia="Calibri" w:hAnsi="Arial" w:cs="Arial"/>
                <w:color w:val="000000"/>
                <w:sz w:val="20"/>
              </w:rPr>
            </w:pPr>
            <w:r w:rsidRPr="00361437">
              <w:rPr>
                <w:rFonts w:ascii="Arial" w:eastAsia="Calibri" w:hAnsi="Arial" w:cs="Arial"/>
                <w:color w:val="000000"/>
                <w:sz w:val="20"/>
              </w:rPr>
              <w:t>0.1</w:t>
            </w:r>
            <w:r w:rsidR="007D0BE9" w:rsidRPr="00361437">
              <w:rPr>
                <w:rFonts w:ascii="Arial" w:eastAsia="Calibri" w:hAnsi="Arial" w:cs="Arial"/>
                <w:color w:val="000000"/>
                <w:sz w:val="20"/>
              </w:rPr>
              <w:t>62</w:t>
            </w:r>
            <w:r w:rsidR="001C593C" w:rsidRPr="00361437">
              <w:rPr>
                <w:rFonts w:ascii="Arial" w:eastAsia="Calibri" w:hAnsi="Arial" w:cs="Arial"/>
                <w:color w:val="000000"/>
                <w:sz w:val="20"/>
              </w:rPr>
              <w:t>2</w:t>
            </w:r>
          </w:p>
        </w:tc>
        <w:tc>
          <w:tcPr>
            <w:tcW w:w="956" w:type="dxa"/>
            <w:tcBorders>
              <w:top w:val="nil"/>
              <w:left w:val="nil"/>
              <w:bottom w:val="single" w:sz="4" w:space="0" w:color="auto"/>
              <w:right w:val="nil"/>
            </w:tcBorders>
            <w:noWrap/>
            <w:vAlign w:val="center"/>
          </w:tcPr>
          <w:p w14:paraId="2ADD69E6" w14:textId="77777777" w:rsidR="002C6D89" w:rsidRPr="00361437" w:rsidRDefault="002C6D89" w:rsidP="00032E88">
            <w:pPr>
              <w:tabs>
                <w:tab w:val="decimal" w:pos="206"/>
              </w:tabs>
              <w:spacing w:line="256" w:lineRule="auto"/>
              <w:jc w:val="center"/>
              <w:rPr>
                <w:rFonts w:ascii="Arial" w:eastAsia="Calibri" w:hAnsi="Arial" w:cs="Arial"/>
                <w:color w:val="000000"/>
                <w:sz w:val="20"/>
              </w:rPr>
            </w:pPr>
          </w:p>
        </w:tc>
      </w:tr>
    </w:tbl>
    <w:p w14:paraId="737E7717" w14:textId="77777777" w:rsidR="00032E88" w:rsidRPr="00361437" w:rsidRDefault="00032E88" w:rsidP="00032E88">
      <w:pPr>
        <w:rPr>
          <w:rFonts w:ascii="Arial" w:eastAsia="Calibri" w:hAnsi="Arial" w:cs="Arial"/>
          <w:b/>
          <w:sz w:val="20"/>
        </w:rPr>
      </w:pPr>
    </w:p>
    <w:p w14:paraId="55AB9A3A" w14:textId="77777777" w:rsidR="00032E88" w:rsidRPr="00361437" w:rsidRDefault="00032E88" w:rsidP="00032E88">
      <w:pPr>
        <w:rPr>
          <w:rFonts w:ascii="Arial" w:eastAsia="Calibri" w:hAnsi="Arial" w:cs="Arial"/>
          <w:sz w:val="20"/>
        </w:rPr>
        <w:sectPr w:rsidR="00032E88" w:rsidRPr="00361437" w:rsidSect="000E77D9">
          <w:pgSz w:w="16838" w:h="11906" w:orient="landscape"/>
          <w:pgMar w:top="1440" w:right="1440" w:bottom="1440" w:left="1440" w:header="706" w:footer="0" w:gutter="0"/>
          <w:cols w:space="720"/>
        </w:sectPr>
      </w:pPr>
    </w:p>
    <w:p w14:paraId="19ECAB98" w14:textId="77777777" w:rsidR="006F39AD" w:rsidRPr="00361437" w:rsidRDefault="00032E88" w:rsidP="006F39AD">
      <w:pPr>
        <w:pBdr>
          <w:top w:val="single" w:sz="4" w:space="1" w:color="auto"/>
        </w:pBdr>
        <w:jc w:val="center"/>
        <w:rPr>
          <w:rFonts w:ascii="Arial" w:eastAsia="Calibri" w:hAnsi="Arial" w:cs="Arial"/>
          <w:sz w:val="24"/>
        </w:rPr>
      </w:pPr>
      <w:r w:rsidRPr="00361437">
        <w:rPr>
          <w:rFonts w:ascii="Arial" w:eastAsia="Calibri" w:hAnsi="Arial" w:cs="Arial"/>
          <w:sz w:val="24"/>
        </w:rPr>
        <w:lastRenderedPageBreak/>
        <w:t>T</w:t>
      </w:r>
      <w:r w:rsidR="006F39AD" w:rsidRPr="00361437">
        <w:rPr>
          <w:rFonts w:ascii="Arial" w:eastAsia="Calibri" w:hAnsi="Arial" w:cs="Arial"/>
          <w:sz w:val="24"/>
        </w:rPr>
        <w:t>ABLE</w:t>
      </w:r>
      <w:r w:rsidRPr="00361437">
        <w:rPr>
          <w:rFonts w:ascii="Arial" w:eastAsia="Calibri" w:hAnsi="Arial" w:cs="Arial"/>
          <w:sz w:val="24"/>
        </w:rPr>
        <w:t xml:space="preserve"> 9</w:t>
      </w:r>
    </w:p>
    <w:p w14:paraId="33487A10" w14:textId="66DEA053" w:rsidR="00032E88" w:rsidRPr="00361437" w:rsidRDefault="00032E88" w:rsidP="006F39AD">
      <w:pPr>
        <w:pBdr>
          <w:bottom w:val="single" w:sz="4" w:space="1" w:color="auto"/>
        </w:pBdr>
        <w:jc w:val="center"/>
        <w:rPr>
          <w:rFonts w:ascii="Arial" w:eastAsia="Calibri" w:hAnsi="Arial" w:cs="Arial"/>
          <w:sz w:val="24"/>
        </w:rPr>
      </w:pPr>
      <w:r w:rsidRPr="00361437">
        <w:rPr>
          <w:rFonts w:ascii="Arial" w:eastAsia="Calibri" w:hAnsi="Arial" w:cs="Arial"/>
          <w:sz w:val="24"/>
        </w:rPr>
        <w:t xml:space="preserve">Robustness </w:t>
      </w:r>
      <w:r w:rsidR="006F39AD" w:rsidRPr="00361437">
        <w:rPr>
          <w:rFonts w:ascii="Arial" w:eastAsia="Calibri" w:hAnsi="Arial" w:cs="Arial"/>
          <w:sz w:val="24"/>
        </w:rPr>
        <w:t>T</w:t>
      </w:r>
      <w:r w:rsidRPr="00361437">
        <w:rPr>
          <w:rFonts w:ascii="Arial" w:eastAsia="Calibri" w:hAnsi="Arial" w:cs="Arial"/>
          <w:sz w:val="24"/>
        </w:rPr>
        <w:t>ests</w:t>
      </w:r>
    </w:p>
    <w:p w14:paraId="7E7F8D3A" w14:textId="77777777" w:rsidR="00032E88" w:rsidRPr="00361437" w:rsidRDefault="00032E88" w:rsidP="00032E88">
      <w:pPr>
        <w:rPr>
          <w:rFonts w:ascii="Arial" w:eastAsia="Calibri" w:hAnsi="Arial" w:cs="Arial"/>
          <w:sz w:val="20"/>
        </w:rPr>
      </w:pPr>
    </w:p>
    <w:p w14:paraId="7E59ECF7" w14:textId="053E2C86" w:rsidR="00032E88" w:rsidRPr="00361437" w:rsidRDefault="00032E88" w:rsidP="00032E88">
      <w:pPr>
        <w:jc w:val="both"/>
        <w:rPr>
          <w:rFonts w:ascii="Arial" w:eastAsia="Calibri" w:hAnsi="Arial" w:cs="Arial"/>
          <w:sz w:val="20"/>
        </w:rPr>
      </w:pPr>
      <w:r w:rsidRPr="00361437">
        <w:rPr>
          <w:rFonts w:ascii="Arial" w:eastAsia="Calibri" w:hAnsi="Arial" w:cs="Arial"/>
          <w:sz w:val="20"/>
        </w:rPr>
        <w:t xml:space="preserve">This table presents the robustness tests of the main analysis of fund debt holdings on voting as in model 2 of Table 3 Panel A. Panel A shows the results using alternative measures of financial distress: </w:t>
      </w:r>
      <w:r w:rsidR="00214643" w:rsidRPr="00361437">
        <w:rPr>
          <w:rFonts w:ascii="Arial" w:eastAsia="Calibri" w:hAnsi="Arial" w:cs="Arial"/>
          <w:sz w:val="20"/>
        </w:rPr>
        <w:t>industry distress</w:t>
      </w:r>
      <w:r w:rsidRPr="00361437">
        <w:rPr>
          <w:rFonts w:ascii="Arial" w:eastAsia="Calibri" w:hAnsi="Arial" w:cs="Arial"/>
          <w:sz w:val="20"/>
        </w:rPr>
        <w:t xml:space="preserve"> and debt rating. </w:t>
      </w:r>
      <w:r w:rsidR="00214643" w:rsidRPr="00361437">
        <w:rPr>
          <w:rFonts w:ascii="Arial" w:eastAsia="Calibri" w:hAnsi="Arial" w:cs="Arial"/>
          <w:sz w:val="20"/>
        </w:rPr>
        <w:t xml:space="preserve">First, we define </w:t>
      </w:r>
      <w:r w:rsidR="00013673" w:rsidRPr="00361437">
        <w:rPr>
          <w:rFonts w:ascii="Arial" w:eastAsia="Calibri" w:hAnsi="Arial" w:cs="Arial"/>
          <w:sz w:val="20"/>
        </w:rPr>
        <w:t>DISTRESS_(0,1)</w:t>
      </w:r>
      <w:r w:rsidR="00214643" w:rsidRPr="00361437">
        <w:rPr>
          <w:rFonts w:ascii="Arial" w:eastAsia="Calibri" w:hAnsi="Arial" w:cs="Arial"/>
          <w:sz w:val="20"/>
        </w:rPr>
        <w:t xml:space="preserve"> to be one if the three</w:t>
      </w:r>
      <w:r w:rsidR="001F6778" w:rsidRPr="00361437">
        <w:rPr>
          <w:rFonts w:ascii="Arial" w:eastAsia="Calibri" w:hAnsi="Arial" w:cs="Arial"/>
          <w:sz w:val="20"/>
        </w:rPr>
        <w:t>-</w:t>
      </w:r>
      <w:r w:rsidR="00214643" w:rsidRPr="00361437">
        <w:rPr>
          <w:rFonts w:ascii="Arial" w:eastAsia="Calibri" w:hAnsi="Arial" w:cs="Arial"/>
          <w:sz w:val="20"/>
        </w:rPr>
        <w:t>digit SIC industry a firm is in is experiencing financial distress in that year</w:t>
      </w:r>
      <w:r w:rsidR="008E006B" w:rsidRPr="00361437">
        <w:rPr>
          <w:rFonts w:ascii="Arial" w:eastAsia="Calibri" w:hAnsi="Arial" w:cs="Arial"/>
          <w:sz w:val="20"/>
        </w:rPr>
        <w:t>, and zero otherwise</w:t>
      </w:r>
      <w:r w:rsidR="00214643" w:rsidRPr="00361437">
        <w:rPr>
          <w:rFonts w:ascii="Arial" w:eastAsia="Calibri" w:hAnsi="Arial" w:cs="Arial"/>
          <w:sz w:val="20"/>
        </w:rPr>
        <w:t>. Based on Opler and Titman (1994), a three</w:t>
      </w:r>
      <w:r w:rsidR="001F6778" w:rsidRPr="00361437">
        <w:rPr>
          <w:rFonts w:ascii="Arial" w:eastAsia="Calibri" w:hAnsi="Arial" w:cs="Arial"/>
          <w:sz w:val="20"/>
        </w:rPr>
        <w:t>-</w:t>
      </w:r>
      <w:r w:rsidR="00214643" w:rsidRPr="00361437">
        <w:rPr>
          <w:rFonts w:ascii="Arial" w:eastAsia="Calibri" w:hAnsi="Arial" w:cs="Arial"/>
          <w:sz w:val="20"/>
        </w:rPr>
        <w:t xml:space="preserve">digit SIC code industry is in financial distress if the median sales growth is negative and the median stock return is below -30%. </w:t>
      </w:r>
      <w:r w:rsidRPr="00361437">
        <w:rPr>
          <w:rFonts w:ascii="Arial" w:eastAsia="Calibri" w:hAnsi="Arial" w:cs="Arial"/>
          <w:sz w:val="20"/>
        </w:rPr>
        <w:t xml:space="preserve">Second, we define </w:t>
      </w:r>
      <w:r w:rsidR="00013673" w:rsidRPr="00361437">
        <w:rPr>
          <w:rFonts w:ascii="Arial" w:eastAsia="Calibri" w:hAnsi="Arial" w:cs="Arial"/>
          <w:sz w:val="20"/>
        </w:rPr>
        <w:t>DISTRESS_(0,1)</w:t>
      </w:r>
      <w:r w:rsidRPr="00361437">
        <w:rPr>
          <w:rFonts w:ascii="Arial" w:eastAsia="Calibri" w:hAnsi="Arial" w:cs="Arial"/>
          <w:sz w:val="20"/>
        </w:rPr>
        <w:t xml:space="preserve"> to be one if the firm’s debt rating is CCC and below in the year concerned</w:t>
      </w:r>
      <w:r w:rsidR="008E006B" w:rsidRPr="00361437">
        <w:rPr>
          <w:rFonts w:ascii="Arial" w:eastAsia="Calibri" w:hAnsi="Arial" w:cs="Arial"/>
          <w:sz w:val="20"/>
        </w:rPr>
        <w:t>, and zero otherwise</w:t>
      </w:r>
      <w:r w:rsidRPr="00361437">
        <w:rPr>
          <w:rFonts w:ascii="Arial" w:eastAsia="Calibri" w:hAnsi="Arial" w:cs="Arial"/>
          <w:sz w:val="20"/>
        </w:rPr>
        <w:t>. Panel B shows the results using the fraction of funds that hold debt in a fund family to measure the average importance of debt for fund families. We calculate the value of equity vs debt owned by each fund in each year across all firms to categorize each fund into debt, equity, or mixed. If the fund owns at least 95% of its holding as debt (equity) then we classify it as a debt (equity) fund. Debt fraction at the family level for debt and mixed funds (debt funds) is the proportion of the number of debt and mixed funds (debt funds) in the tot</w:t>
      </w:r>
      <w:r w:rsidR="00013673" w:rsidRPr="00361437">
        <w:rPr>
          <w:rFonts w:ascii="Arial" w:eastAsia="Calibri" w:hAnsi="Arial" w:cs="Arial"/>
          <w:sz w:val="20"/>
        </w:rPr>
        <w:t xml:space="preserve">al number of funds in the family. </w:t>
      </w:r>
      <w:r w:rsidRPr="00361437">
        <w:rPr>
          <w:rFonts w:ascii="Arial" w:eastAsia="Calibri" w:hAnsi="Arial" w:cs="Arial"/>
          <w:sz w:val="20"/>
        </w:rPr>
        <w:t>Panel C shows the results when we include only fund families holding both debt and equity in a particular year. Panel D shows the results when we exclude firms in the financial industry (with four</w:t>
      </w:r>
      <w:r w:rsidR="001F6778" w:rsidRPr="00361437">
        <w:rPr>
          <w:rFonts w:ascii="Arial" w:eastAsia="Calibri" w:hAnsi="Arial" w:cs="Arial"/>
          <w:sz w:val="20"/>
        </w:rPr>
        <w:t>-</w:t>
      </w:r>
      <w:r w:rsidRPr="00361437">
        <w:rPr>
          <w:rFonts w:ascii="Arial" w:eastAsia="Calibri" w:hAnsi="Arial" w:cs="Arial"/>
          <w:sz w:val="20"/>
        </w:rPr>
        <w:t xml:space="preserve">digit SIC codes starting with 6). Panel E shows the results when we exclude funds holding credit default swap contracts. All other variables are defined in </w:t>
      </w:r>
      <w:r w:rsidR="00D10EEF" w:rsidRPr="00361437">
        <w:rPr>
          <w:rFonts w:ascii="Arial" w:eastAsia="Calibri" w:hAnsi="Arial" w:cs="Arial"/>
          <w:sz w:val="20"/>
        </w:rPr>
        <w:t xml:space="preserve">the </w:t>
      </w:r>
      <w:r w:rsidRPr="00361437">
        <w:rPr>
          <w:rFonts w:ascii="Arial" w:eastAsia="Calibri" w:hAnsi="Arial" w:cs="Arial"/>
          <w:sz w:val="20"/>
        </w:rPr>
        <w:t xml:space="preserve">Appendix. </w:t>
      </w:r>
      <w:r w:rsidRPr="00361437">
        <w:rPr>
          <w:rFonts w:ascii="Arial" w:eastAsia="Calibri" w:hAnsi="Arial" w:cs="Arial"/>
          <w:sz w:val="20"/>
          <w:vertAlign w:val="superscript"/>
        </w:rPr>
        <w:t>*</w:t>
      </w:r>
      <w:r w:rsidRPr="00361437">
        <w:rPr>
          <w:rFonts w:ascii="Arial" w:eastAsia="Calibri" w:hAnsi="Arial" w:cs="Arial"/>
          <w:sz w:val="20"/>
        </w:rPr>
        <w:t xml:space="preserve">, </w:t>
      </w:r>
      <w:r w:rsidRPr="00361437">
        <w:rPr>
          <w:rFonts w:ascii="Arial" w:eastAsia="Calibri" w:hAnsi="Arial" w:cs="Arial"/>
          <w:sz w:val="20"/>
          <w:vertAlign w:val="superscript"/>
        </w:rPr>
        <w:t>**</w:t>
      </w:r>
      <w:r w:rsidRPr="00361437">
        <w:rPr>
          <w:rFonts w:ascii="Arial" w:eastAsia="Calibri" w:hAnsi="Arial" w:cs="Arial"/>
          <w:sz w:val="20"/>
        </w:rPr>
        <w:t xml:space="preserve">, and </w:t>
      </w:r>
      <w:r w:rsidRPr="00361437">
        <w:rPr>
          <w:rFonts w:ascii="Arial" w:eastAsia="Calibri" w:hAnsi="Arial" w:cs="Arial"/>
          <w:sz w:val="20"/>
          <w:vertAlign w:val="superscript"/>
        </w:rPr>
        <w:t>***</w:t>
      </w:r>
      <w:r w:rsidRPr="00361437">
        <w:rPr>
          <w:rFonts w:ascii="Arial" w:eastAsia="Calibri" w:hAnsi="Arial" w:cs="Arial"/>
          <w:sz w:val="20"/>
        </w:rPr>
        <w:t xml:space="preserve"> denote statistical significance at the 10%, 5%, and 1% level, respectively.</w:t>
      </w:r>
    </w:p>
    <w:p w14:paraId="5AE4CC85" w14:textId="77777777" w:rsidR="00032E88" w:rsidRPr="00361437" w:rsidRDefault="00032E88" w:rsidP="00032E88">
      <w:pPr>
        <w:rPr>
          <w:rFonts w:ascii="Arial" w:eastAsia="Calibri" w:hAnsi="Arial" w:cs="Arial"/>
          <w:sz w:val="20"/>
        </w:rPr>
      </w:pPr>
    </w:p>
    <w:tbl>
      <w:tblPr>
        <w:tblW w:w="5000" w:type="pct"/>
        <w:tblLook w:val="04A0" w:firstRow="1" w:lastRow="0" w:firstColumn="1" w:lastColumn="0" w:noHBand="0" w:noVBand="1"/>
      </w:tblPr>
      <w:tblGrid>
        <w:gridCol w:w="3065"/>
        <w:gridCol w:w="695"/>
        <w:gridCol w:w="1222"/>
        <w:gridCol w:w="847"/>
        <w:gridCol w:w="240"/>
        <w:gridCol w:w="695"/>
        <w:gridCol w:w="1211"/>
        <w:gridCol w:w="1051"/>
      </w:tblGrid>
      <w:tr w:rsidR="00032E88" w:rsidRPr="00361437" w14:paraId="51AC1007" w14:textId="77777777" w:rsidTr="006F39AD">
        <w:trPr>
          <w:trHeight w:val="360"/>
        </w:trPr>
        <w:tc>
          <w:tcPr>
            <w:tcW w:w="5000" w:type="pct"/>
            <w:gridSpan w:val="8"/>
            <w:tcBorders>
              <w:left w:val="nil"/>
              <w:bottom w:val="nil"/>
              <w:right w:val="nil"/>
            </w:tcBorders>
            <w:noWrap/>
            <w:vAlign w:val="center"/>
            <w:hideMark/>
          </w:tcPr>
          <w:p w14:paraId="1686EFD9" w14:textId="77777777" w:rsidR="00032E88" w:rsidRPr="00361437" w:rsidRDefault="00032E88" w:rsidP="00032E88">
            <w:pPr>
              <w:spacing w:line="256" w:lineRule="auto"/>
              <w:rPr>
                <w:rFonts w:ascii="Arial" w:eastAsia="Times New Roman" w:hAnsi="Arial" w:cs="Arial"/>
                <w:i/>
                <w:sz w:val="20"/>
              </w:rPr>
            </w:pPr>
            <w:r w:rsidRPr="00361437">
              <w:rPr>
                <w:rFonts w:ascii="Arial" w:eastAsia="Times New Roman" w:hAnsi="Arial" w:cs="Arial"/>
                <w:i/>
                <w:sz w:val="20"/>
              </w:rPr>
              <w:t>Panel A: Alternative measures of financial distress</w:t>
            </w:r>
          </w:p>
        </w:tc>
      </w:tr>
      <w:tr w:rsidR="00032E88" w:rsidRPr="00361437" w14:paraId="0CF69CB2" w14:textId="77777777" w:rsidTr="00032E88">
        <w:tc>
          <w:tcPr>
            <w:tcW w:w="1698" w:type="pct"/>
            <w:tcBorders>
              <w:top w:val="single" w:sz="4" w:space="0" w:color="auto"/>
              <w:left w:val="nil"/>
              <w:bottom w:val="nil"/>
              <w:right w:val="nil"/>
            </w:tcBorders>
            <w:vAlign w:val="center"/>
            <w:hideMark/>
          </w:tcPr>
          <w:p w14:paraId="50EFBF39" w14:textId="77777777" w:rsidR="00032E88" w:rsidRPr="00361437" w:rsidRDefault="00032E88" w:rsidP="00032E88">
            <w:pPr>
              <w:spacing w:line="256" w:lineRule="auto"/>
              <w:rPr>
                <w:rFonts w:ascii="Arial" w:eastAsia="Times New Roman" w:hAnsi="Arial" w:cs="Arial"/>
                <w:sz w:val="20"/>
              </w:rPr>
            </w:pPr>
            <w:r w:rsidRPr="00361437">
              <w:rPr>
                <w:rFonts w:ascii="Arial" w:eastAsia="Times New Roman" w:hAnsi="Arial" w:cs="Arial"/>
                <w:sz w:val="20"/>
              </w:rPr>
              <w:t xml:space="preserve">Regression coefficient and </w:t>
            </w:r>
          </w:p>
          <w:p w14:paraId="1887D004" w14:textId="7280FA1E" w:rsidR="00032E88" w:rsidRPr="00361437" w:rsidRDefault="00032E88" w:rsidP="00032E88">
            <w:pPr>
              <w:spacing w:line="256" w:lineRule="auto"/>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 xml:space="preserve">-value for </w:t>
            </w:r>
            <w:r w:rsidR="009F6C4A" w:rsidRPr="00361437">
              <w:rPr>
                <w:rFonts w:ascii="Arial" w:eastAsia="Times New Roman" w:hAnsi="Arial" w:cs="Arial"/>
                <w:sz w:val="18"/>
              </w:rPr>
              <w:t>FAMILY_DEBT_FRACTION × DISTRESS_(0,1)</w:t>
            </w:r>
          </w:p>
        </w:tc>
        <w:tc>
          <w:tcPr>
            <w:tcW w:w="1531" w:type="pct"/>
            <w:gridSpan w:val="3"/>
            <w:tcBorders>
              <w:top w:val="single" w:sz="4" w:space="0" w:color="auto"/>
              <w:left w:val="nil"/>
              <w:bottom w:val="single" w:sz="4" w:space="0" w:color="auto"/>
              <w:right w:val="nil"/>
            </w:tcBorders>
            <w:vAlign w:val="center"/>
            <w:hideMark/>
          </w:tcPr>
          <w:p w14:paraId="2D43E8EB" w14:textId="36F5A72B" w:rsidR="00032E88" w:rsidRPr="00361437" w:rsidRDefault="006D0B71" w:rsidP="00032E88">
            <w:pPr>
              <w:spacing w:line="256" w:lineRule="auto"/>
              <w:jc w:val="center"/>
              <w:rPr>
                <w:rFonts w:ascii="Arial" w:eastAsia="Times New Roman" w:hAnsi="Arial" w:cs="Arial"/>
                <w:sz w:val="20"/>
              </w:rPr>
            </w:pPr>
            <w:r w:rsidRPr="00361437">
              <w:rPr>
                <w:rFonts w:ascii="Arial" w:eastAsia="Times New Roman" w:hAnsi="Arial" w:cs="Arial"/>
                <w:color w:val="000000"/>
                <w:sz w:val="20"/>
                <w:lang w:eastAsia="en-GB"/>
              </w:rPr>
              <w:t xml:space="preserve">Industry </w:t>
            </w:r>
            <w:r w:rsidR="00027D7F" w:rsidRPr="00361437">
              <w:rPr>
                <w:rFonts w:ascii="Arial" w:eastAsia="Times New Roman" w:hAnsi="Arial" w:cs="Arial"/>
                <w:color w:val="000000"/>
                <w:sz w:val="20"/>
                <w:lang w:eastAsia="en-GB"/>
              </w:rPr>
              <w:t>in distress</w:t>
            </w:r>
            <w:r w:rsidR="00032E88" w:rsidRPr="00361437">
              <w:rPr>
                <w:rFonts w:ascii="Arial" w:eastAsia="Times New Roman" w:hAnsi="Arial" w:cs="Arial"/>
                <w:color w:val="000000"/>
                <w:sz w:val="20"/>
                <w:lang w:eastAsia="en-GB"/>
              </w:rPr>
              <w:t xml:space="preserve"> </w:t>
            </w:r>
          </w:p>
        </w:tc>
        <w:tc>
          <w:tcPr>
            <w:tcW w:w="133" w:type="pct"/>
            <w:tcBorders>
              <w:top w:val="single" w:sz="4" w:space="0" w:color="auto"/>
              <w:left w:val="nil"/>
              <w:bottom w:val="nil"/>
              <w:right w:val="nil"/>
            </w:tcBorders>
          </w:tcPr>
          <w:p w14:paraId="214B5371" w14:textId="77777777" w:rsidR="00032E88" w:rsidRPr="00361437" w:rsidRDefault="00032E88" w:rsidP="00032E88">
            <w:pPr>
              <w:spacing w:line="256" w:lineRule="auto"/>
              <w:jc w:val="center"/>
              <w:rPr>
                <w:rFonts w:ascii="Arial" w:eastAsia="Times New Roman" w:hAnsi="Arial" w:cs="Arial"/>
                <w:sz w:val="20"/>
              </w:rPr>
            </w:pPr>
          </w:p>
        </w:tc>
        <w:tc>
          <w:tcPr>
            <w:tcW w:w="1638" w:type="pct"/>
            <w:gridSpan w:val="3"/>
            <w:tcBorders>
              <w:top w:val="single" w:sz="4" w:space="0" w:color="auto"/>
              <w:left w:val="nil"/>
              <w:bottom w:val="single" w:sz="4" w:space="0" w:color="auto"/>
              <w:right w:val="nil"/>
            </w:tcBorders>
            <w:vAlign w:val="center"/>
            <w:hideMark/>
          </w:tcPr>
          <w:p w14:paraId="61CCE83F"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color w:val="000000"/>
                <w:sz w:val="20"/>
                <w:lang w:eastAsia="en-GB"/>
              </w:rPr>
              <w:t>Debt rating</w:t>
            </w:r>
          </w:p>
        </w:tc>
      </w:tr>
      <w:tr w:rsidR="00032E88" w:rsidRPr="00361437" w14:paraId="74F6B136" w14:textId="77777777" w:rsidTr="006F39AD">
        <w:tc>
          <w:tcPr>
            <w:tcW w:w="1698" w:type="pct"/>
            <w:tcBorders>
              <w:top w:val="nil"/>
              <w:left w:val="nil"/>
              <w:bottom w:val="single" w:sz="4" w:space="0" w:color="auto"/>
              <w:right w:val="nil"/>
            </w:tcBorders>
            <w:vAlign w:val="center"/>
          </w:tcPr>
          <w:p w14:paraId="6BE60A0A" w14:textId="77777777" w:rsidR="00032E88" w:rsidRPr="00361437" w:rsidRDefault="00032E88" w:rsidP="00032E88">
            <w:pPr>
              <w:spacing w:line="256" w:lineRule="auto"/>
              <w:rPr>
                <w:rFonts w:ascii="Arial" w:eastAsia="Times New Roman" w:hAnsi="Arial" w:cs="Arial"/>
                <w:sz w:val="20"/>
              </w:rPr>
            </w:pPr>
          </w:p>
        </w:tc>
        <w:tc>
          <w:tcPr>
            <w:tcW w:w="385" w:type="pct"/>
            <w:tcBorders>
              <w:top w:val="single" w:sz="4" w:space="0" w:color="auto"/>
              <w:left w:val="nil"/>
              <w:bottom w:val="single" w:sz="4" w:space="0" w:color="auto"/>
              <w:right w:val="nil"/>
            </w:tcBorders>
            <w:tcMar>
              <w:top w:w="0" w:type="dxa"/>
              <w:left w:w="14" w:type="dxa"/>
              <w:bottom w:w="0" w:type="dxa"/>
              <w:right w:w="14" w:type="dxa"/>
            </w:tcMar>
            <w:vAlign w:val="center"/>
            <w:hideMark/>
          </w:tcPr>
          <w:p w14:paraId="731C165E"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N</w:t>
            </w:r>
          </w:p>
        </w:tc>
        <w:tc>
          <w:tcPr>
            <w:tcW w:w="677" w:type="pct"/>
            <w:tcBorders>
              <w:top w:val="single" w:sz="4" w:space="0" w:color="auto"/>
              <w:left w:val="nil"/>
              <w:bottom w:val="single" w:sz="4" w:space="0" w:color="auto"/>
              <w:right w:val="nil"/>
            </w:tcBorders>
            <w:tcMar>
              <w:top w:w="0" w:type="dxa"/>
              <w:left w:w="14" w:type="dxa"/>
              <w:bottom w:w="0" w:type="dxa"/>
              <w:right w:w="14" w:type="dxa"/>
            </w:tcMar>
            <w:vAlign w:val="center"/>
            <w:hideMark/>
          </w:tcPr>
          <w:p w14:paraId="1793145B"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469" w:type="pct"/>
            <w:tcBorders>
              <w:top w:val="single" w:sz="4" w:space="0" w:color="auto"/>
              <w:left w:val="nil"/>
              <w:bottom w:val="single" w:sz="4" w:space="0" w:color="auto"/>
              <w:right w:val="nil"/>
            </w:tcBorders>
            <w:tcMar>
              <w:top w:w="0" w:type="dxa"/>
              <w:left w:w="14" w:type="dxa"/>
              <w:bottom w:w="0" w:type="dxa"/>
              <w:right w:w="14" w:type="dxa"/>
            </w:tcMar>
            <w:vAlign w:val="center"/>
            <w:hideMark/>
          </w:tcPr>
          <w:p w14:paraId="00809272"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c>
          <w:tcPr>
            <w:tcW w:w="133" w:type="pct"/>
            <w:tcBorders>
              <w:top w:val="nil"/>
              <w:left w:val="nil"/>
              <w:bottom w:val="single" w:sz="4" w:space="0" w:color="auto"/>
              <w:right w:val="nil"/>
            </w:tcBorders>
            <w:tcMar>
              <w:top w:w="0" w:type="dxa"/>
              <w:left w:w="14" w:type="dxa"/>
              <w:bottom w:w="0" w:type="dxa"/>
              <w:right w:w="14" w:type="dxa"/>
            </w:tcMar>
          </w:tcPr>
          <w:p w14:paraId="5F7ED968" w14:textId="77777777" w:rsidR="00032E88" w:rsidRPr="00361437" w:rsidRDefault="00032E88" w:rsidP="00032E88">
            <w:pPr>
              <w:spacing w:line="256" w:lineRule="auto"/>
              <w:jc w:val="center"/>
              <w:rPr>
                <w:rFonts w:ascii="Arial" w:eastAsia="Times New Roman" w:hAnsi="Arial" w:cs="Arial"/>
                <w:sz w:val="20"/>
              </w:rPr>
            </w:pPr>
          </w:p>
        </w:tc>
        <w:tc>
          <w:tcPr>
            <w:tcW w:w="385" w:type="pct"/>
            <w:tcBorders>
              <w:top w:val="single" w:sz="4" w:space="0" w:color="auto"/>
              <w:left w:val="nil"/>
              <w:bottom w:val="single" w:sz="4" w:space="0" w:color="auto"/>
              <w:right w:val="nil"/>
            </w:tcBorders>
            <w:tcMar>
              <w:top w:w="0" w:type="dxa"/>
              <w:left w:w="14" w:type="dxa"/>
              <w:bottom w:w="0" w:type="dxa"/>
              <w:right w:w="14" w:type="dxa"/>
            </w:tcMar>
            <w:vAlign w:val="center"/>
            <w:hideMark/>
          </w:tcPr>
          <w:p w14:paraId="20675B41"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N</w:t>
            </w:r>
          </w:p>
        </w:tc>
        <w:tc>
          <w:tcPr>
            <w:tcW w:w="671" w:type="pct"/>
            <w:tcBorders>
              <w:top w:val="single" w:sz="4" w:space="0" w:color="auto"/>
              <w:left w:val="nil"/>
              <w:bottom w:val="single" w:sz="4" w:space="0" w:color="auto"/>
              <w:right w:val="nil"/>
            </w:tcBorders>
            <w:tcMar>
              <w:top w:w="0" w:type="dxa"/>
              <w:left w:w="14" w:type="dxa"/>
              <w:bottom w:w="0" w:type="dxa"/>
              <w:right w:w="14" w:type="dxa"/>
            </w:tcMar>
            <w:vAlign w:val="center"/>
            <w:hideMark/>
          </w:tcPr>
          <w:p w14:paraId="38247DD8"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582" w:type="pct"/>
            <w:tcBorders>
              <w:top w:val="single" w:sz="4" w:space="0" w:color="auto"/>
              <w:left w:val="nil"/>
              <w:bottom w:val="single" w:sz="4" w:space="0" w:color="auto"/>
              <w:right w:val="nil"/>
            </w:tcBorders>
            <w:vAlign w:val="center"/>
            <w:hideMark/>
          </w:tcPr>
          <w:p w14:paraId="6AFC87E8"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r>
      <w:tr w:rsidR="00032E88" w:rsidRPr="00361437" w14:paraId="4C55FE65" w14:textId="77777777" w:rsidTr="006F39AD">
        <w:tc>
          <w:tcPr>
            <w:tcW w:w="1698" w:type="pct"/>
            <w:tcBorders>
              <w:top w:val="single" w:sz="4" w:space="0" w:color="auto"/>
              <w:bottom w:val="single" w:sz="4" w:space="0" w:color="auto"/>
            </w:tcBorders>
            <w:vAlign w:val="center"/>
            <w:hideMark/>
          </w:tcPr>
          <w:p w14:paraId="36F94E0B" w14:textId="7262979C" w:rsidR="00032E88" w:rsidRPr="00361437" w:rsidRDefault="00013673" w:rsidP="00032E88">
            <w:pPr>
              <w:spacing w:line="256" w:lineRule="auto"/>
              <w:rPr>
                <w:rFonts w:ascii="Arial" w:eastAsia="Times New Roman" w:hAnsi="Arial" w:cs="Arial"/>
                <w:sz w:val="20"/>
              </w:rPr>
            </w:pPr>
            <w:r w:rsidRPr="00361437">
              <w:rPr>
                <w:rFonts w:ascii="Arial" w:eastAsia="Times New Roman" w:hAnsi="Arial" w:cs="Arial"/>
                <w:sz w:val="18"/>
              </w:rPr>
              <w:t>VOTE_WITH_CREDITORS_(0,1)</w:t>
            </w:r>
          </w:p>
        </w:tc>
        <w:tc>
          <w:tcPr>
            <w:tcW w:w="385" w:type="pct"/>
            <w:tcBorders>
              <w:top w:val="single" w:sz="4" w:space="0" w:color="auto"/>
              <w:bottom w:val="single" w:sz="4" w:space="0" w:color="auto"/>
            </w:tcBorders>
            <w:tcMar>
              <w:top w:w="0" w:type="dxa"/>
              <w:left w:w="14" w:type="dxa"/>
              <w:bottom w:w="0" w:type="dxa"/>
              <w:right w:w="14" w:type="dxa"/>
            </w:tcMar>
            <w:vAlign w:val="bottom"/>
            <w:hideMark/>
          </w:tcPr>
          <w:p w14:paraId="1533C55B" w14:textId="4A957FAC" w:rsidR="00032E88" w:rsidRPr="00361437" w:rsidRDefault="00027D7F" w:rsidP="00032E88">
            <w:pPr>
              <w:spacing w:line="256" w:lineRule="auto"/>
              <w:jc w:val="right"/>
              <w:rPr>
                <w:rFonts w:ascii="Arial" w:eastAsia="Times New Roman" w:hAnsi="Arial" w:cs="Arial"/>
                <w:sz w:val="20"/>
              </w:rPr>
            </w:pPr>
            <w:r w:rsidRPr="00361437">
              <w:rPr>
                <w:rFonts w:ascii="Arial" w:eastAsia="Times New Roman" w:hAnsi="Arial" w:cs="Arial"/>
                <w:sz w:val="20"/>
              </w:rPr>
              <w:t>61</w:t>
            </w:r>
            <w:r w:rsidR="00032E88" w:rsidRPr="00361437">
              <w:rPr>
                <w:rFonts w:ascii="Arial" w:eastAsia="Times New Roman" w:hAnsi="Arial" w:cs="Arial"/>
                <w:sz w:val="20"/>
              </w:rPr>
              <w:t>,</w:t>
            </w:r>
            <w:r w:rsidRPr="00361437">
              <w:rPr>
                <w:rFonts w:ascii="Arial" w:eastAsia="Times New Roman" w:hAnsi="Arial" w:cs="Arial"/>
                <w:sz w:val="20"/>
              </w:rPr>
              <w:t>3</w:t>
            </w:r>
            <w:r w:rsidR="00032E88" w:rsidRPr="00361437">
              <w:rPr>
                <w:rFonts w:ascii="Arial" w:eastAsia="Times New Roman" w:hAnsi="Arial" w:cs="Arial"/>
                <w:sz w:val="20"/>
              </w:rPr>
              <w:t>45</w:t>
            </w:r>
          </w:p>
        </w:tc>
        <w:tc>
          <w:tcPr>
            <w:tcW w:w="677" w:type="pct"/>
            <w:tcBorders>
              <w:top w:val="single" w:sz="4" w:space="0" w:color="auto"/>
              <w:bottom w:val="single" w:sz="4" w:space="0" w:color="auto"/>
            </w:tcBorders>
            <w:tcMar>
              <w:top w:w="0" w:type="dxa"/>
              <w:left w:w="14" w:type="dxa"/>
              <w:bottom w:w="0" w:type="dxa"/>
              <w:right w:w="14" w:type="dxa"/>
            </w:tcMar>
            <w:vAlign w:val="bottom"/>
            <w:hideMark/>
          </w:tcPr>
          <w:p w14:paraId="7E26E0DD" w14:textId="7A88630B" w:rsidR="00032E88" w:rsidRPr="00361437" w:rsidRDefault="00032E88" w:rsidP="00032E88">
            <w:pPr>
              <w:tabs>
                <w:tab w:val="decimal" w:pos="390"/>
              </w:tabs>
              <w:spacing w:line="256" w:lineRule="auto"/>
              <w:rPr>
                <w:rFonts w:ascii="Arial" w:eastAsia="Calibri" w:hAnsi="Arial" w:cs="Arial"/>
                <w:color w:val="000000"/>
                <w:sz w:val="20"/>
              </w:rPr>
            </w:pPr>
            <w:r w:rsidRPr="00361437">
              <w:rPr>
                <w:rFonts w:ascii="Arial" w:eastAsia="Calibri" w:hAnsi="Arial" w:cs="Arial"/>
                <w:color w:val="000000"/>
                <w:sz w:val="20"/>
              </w:rPr>
              <w:t>0.1</w:t>
            </w:r>
            <w:r w:rsidR="00027D7F" w:rsidRPr="00361437">
              <w:rPr>
                <w:rFonts w:ascii="Arial" w:eastAsia="Calibri" w:hAnsi="Arial" w:cs="Arial"/>
                <w:color w:val="000000"/>
                <w:sz w:val="20"/>
              </w:rPr>
              <w:t>998</w:t>
            </w:r>
            <w:r w:rsidRPr="00361437">
              <w:rPr>
                <w:rFonts w:ascii="Arial" w:eastAsia="Calibri" w:hAnsi="Arial" w:cs="Arial"/>
                <w:color w:val="000000"/>
                <w:sz w:val="20"/>
                <w:vertAlign w:val="superscript"/>
              </w:rPr>
              <w:t>**</w:t>
            </w:r>
          </w:p>
        </w:tc>
        <w:tc>
          <w:tcPr>
            <w:tcW w:w="469" w:type="pct"/>
            <w:tcBorders>
              <w:top w:val="single" w:sz="4" w:space="0" w:color="auto"/>
              <w:bottom w:val="single" w:sz="4" w:space="0" w:color="auto"/>
            </w:tcBorders>
            <w:tcMar>
              <w:top w:w="0" w:type="dxa"/>
              <w:left w:w="14" w:type="dxa"/>
              <w:bottom w:w="0" w:type="dxa"/>
              <w:right w:w="14" w:type="dxa"/>
            </w:tcMar>
            <w:vAlign w:val="bottom"/>
            <w:hideMark/>
          </w:tcPr>
          <w:p w14:paraId="348D6FF4" w14:textId="66CB8F7C"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027D7F" w:rsidRPr="00361437">
              <w:rPr>
                <w:rFonts w:ascii="Arial" w:eastAsia="Calibri" w:hAnsi="Arial" w:cs="Arial"/>
                <w:color w:val="000000"/>
                <w:sz w:val="20"/>
              </w:rPr>
              <w:t>307</w:t>
            </w:r>
          </w:p>
        </w:tc>
        <w:tc>
          <w:tcPr>
            <w:tcW w:w="133" w:type="pct"/>
            <w:tcBorders>
              <w:top w:val="single" w:sz="4" w:space="0" w:color="auto"/>
              <w:bottom w:val="single" w:sz="4" w:space="0" w:color="auto"/>
            </w:tcBorders>
            <w:tcMar>
              <w:top w:w="0" w:type="dxa"/>
              <w:left w:w="14" w:type="dxa"/>
              <w:bottom w:w="0" w:type="dxa"/>
              <w:right w:w="14" w:type="dxa"/>
            </w:tcMar>
          </w:tcPr>
          <w:p w14:paraId="310CAC3F" w14:textId="77777777" w:rsidR="00032E88" w:rsidRPr="00361437" w:rsidRDefault="00032E88" w:rsidP="00032E88">
            <w:pPr>
              <w:tabs>
                <w:tab w:val="decimal" w:pos="252"/>
              </w:tabs>
              <w:spacing w:line="256" w:lineRule="auto"/>
              <w:rPr>
                <w:rFonts w:ascii="Arial" w:eastAsia="Calibri" w:hAnsi="Arial" w:cs="Arial"/>
                <w:color w:val="000000"/>
                <w:sz w:val="20"/>
              </w:rPr>
            </w:pPr>
          </w:p>
        </w:tc>
        <w:tc>
          <w:tcPr>
            <w:tcW w:w="385" w:type="pct"/>
            <w:tcBorders>
              <w:top w:val="single" w:sz="4" w:space="0" w:color="auto"/>
              <w:bottom w:val="single" w:sz="4" w:space="0" w:color="auto"/>
            </w:tcBorders>
            <w:tcMar>
              <w:top w:w="0" w:type="dxa"/>
              <w:left w:w="14" w:type="dxa"/>
              <w:bottom w:w="0" w:type="dxa"/>
              <w:right w:w="14" w:type="dxa"/>
            </w:tcMar>
            <w:vAlign w:val="bottom"/>
            <w:hideMark/>
          </w:tcPr>
          <w:p w14:paraId="4E38C71A" w14:textId="77777777" w:rsidR="00032E88" w:rsidRPr="00361437" w:rsidRDefault="00032E88" w:rsidP="00032E88">
            <w:pPr>
              <w:spacing w:line="256" w:lineRule="auto"/>
              <w:jc w:val="right"/>
              <w:rPr>
                <w:rFonts w:ascii="Arial" w:eastAsia="Calibri" w:hAnsi="Arial" w:cs="Arial"/>
                <w:color w:val="000000"/>
                <w:sz w:val="20"/>
              </w:rPr>
            </w:pPr>
            <w:r w:rsidRPr="00361437">
              <w:rPr>
                <w:rFonts w:ascii="Arial" w:eastAsia="Calibri" w:hAnsi="Arial" w:cs="Arial"/>
                <w:color w:val="000000"/>
                <w:sz w:val="20"/>
              </w:rPr>
              <w:t>40,443</w:t>
            </w:r>
          </w:p>
        </w:tc>
        <w:tc>
          <w:tcPr>
            <w:tcW w:w="671" w:type="pct"/>
            <w:tcBorders>
              <w:top w:val="single" w:sz="4" w:space="0" w:color="auto"/>
              <w:bottom w:val="single" w:sz="4" w:space="0" w:color="auto"/>
            </w:tcBorders>
            <w:tcMar>
              <w:top w:w="0" w:type="dxa"/>
              <w:left w:w="14" w:type="dxa"/>
              <w:bottom w:w="0" w:type="dxa"/>
              <w:right w:w="14" w:type="dxa"/>
            </w:tcMar>
            <w:vAlign w:val="bottom"/>
            <w:hideMark/>
          </w:tcPr>
          <w:p w14:paraId="733AFE98" w14:textId="77777777" w:rsidR="00032E88" w:rsidRPr="00361437" w:rsidRDefault="00032E88" w:rsidP="00032E88">
            <w:pPr>
              <w:tabs>
                <w:tab w:val="decimal" w:pos="380"/>
              </w:tabs>
              <w:spacing w:line="256" w:lineRule="auto"/>
              <w:rPr>
                <w:rFonts w:ascii="Arial" w:eastAsia="Calibri" w:hAnsi="Arial" w:cs="Arial"/>
                <w:color w:val="000000"/>
                <w:sz w:val="20"/>
              </w:rPr>
            </w:pPr>
            <w:r w:rsidRPr="00361437">
              <w:rPr>
                <w:rFonts w:ascii="Arial" w:eastAsia="Calibri" w:hAnsi="Arial" w:cs="Arial"/>
                <w:color w:val="000000"/>
                <w:sz w:val="20"/>
              </w:rPr>
              <w:t>0.1534</w:t>
            </w:r>
            <w:r w:rsidRPr="00361437">
              <w:rPr>
                <w:rFonts w:ascii="Arial" w:eastAsia="Calibri" w:hAnsi="Arial" w:cs="Arial"/>
                <w:color w:val="000000"/>
                <w:sz w:val="20"/>
                <w:vertAlign w:val="superscript"/>
              </w:rPr>
              <w:t>**</w:t>
            </w:r>
          </w:p>
        </w:tc>
        <w:tc>
          <w:tcPr>
            <w:tcW w:w="582" w:type="pct"/>
            <w:tcBorders>
              <w:top w:val="single" w:sz="4" w:space="0" w:color="auto"/>
              <w:bottom w:val="single" w:sz="4" w:space="0" w:color="auto"/>
            </w:tcBorders>
            <w:vAlign w:val="bottom"/>
            <w:hideMark/>
          </w:tcPr>
          <w:p w14:paraId="3945F85E" w14:textId="77777777"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0.0102</w:t>
            </w:r>
          </w:p>
        </w:tc>
      </w:tr>
    </w:tbl>
    <w:p w14:paraId="1A0D5723" w14:textId="77777777" w:rsidR="00032E88" w:rsidRPr="00361437" w:rsidRDefault="00032E88" w:rsidP="00032E88">
      <w:pPr>
        <w:rPr>
          <w:rFonts w:ascii="Arial" w:eastAsia="Calibri" w:hAnsi="Arial" w:cs="Arial"/>
          <w:sz w:val="6"/>
        </w:rPr>
      </w:pPr>
    </w:p>
    <w:tbl>
      <w:tblPr>
        <w:tblW w:w="5000" w:type="pct"/>
        <w:tblLook w:val="04A0" w:firstRow="1" w:lastRow="0" w:firstColumn="1" w:lastColumn="0" w:noHBand="0" w:noVBand="1"/>
      </w:tblPr>
      <w:tblGrid>
        <w:gridCol w:w="3504"/>
        <w:gridCol w:w="847"/>
        <w:gridCol w:w="1184"/>
        <w:gridCol w:w="1034"/>
        <w:gridCol w:w="235"/>
        <w:gridCol w:w="1193"/>
        <w:gridCol w:w="1029"/>
      </w:tblGrid>
      <w:tr w:rsidR="00032E88" w:rsidRPr="00361437" w14:paraId="5577F196" w14:textId="77777777" w:rsidTr="006F39AD">
        <w:trPr>
          <w:trHeight w:val="360"/>
        </w:trPr>
        <w:tc>
          <w:tcPr>
            <w:tcW w:w="5000" w:type="pct"/>
            <w:gridSpan w:val="7"/>
            <w:tcBorders>
              <w:left w:val="nil"/>
              <w:bottom w:val="nil"/>
              <w:right w:val="nil"/>
            </w:tcBorders>
            <w:noWrap/>
            <w:vAlign w:val="center"/>
            <w:hideMark/>
          </w:tcPr>
          <w:p w14:paraId="0CD4A984" w14:textId="77777777" w:rsidR="00032E88" w:rsidRPr="00361437" w:rsidRDefault="00032E88" w:rsidP="00032E88">
            <w:pPr>
              <w:spacing w:line="256" w:lineRule="auto"/>
              <w:rPr>
                <w:rFonts w:ascii="Arial" w:eastAsia="Times New Roman" w:hAnsi="Arial" w:cs="Arial"/>
                <w:i/>
                <w:sz w:val="20"/>
              </w:rPr>
            </w:pPr>
            <w:r w:rsidRPr="00361437">
              <w:rPr>
                <w:rFonts w:ascii="Arial" w:eastAsia="Times New Roman" w:hAnsi="Arial" w:cs="Arial"/>
                <w:i/>
                <w:sz w:val="20"/>
              </w:rPr>
              <w:t>Panel B: Using the proportion of the number of debt funds in the family as debt fraction</w:t>
            </w:r>
          </w:p>
        </w:tc>
      </w:tr>
      <w:tr w:rsidR="00032E88" w:rsidRPr="00361437" w14:paraId="4C2FD6C3" w14:textId="77777777" w:rsidTr="00DC2331">
        <w:trPr>
          <w:trHeight w:val="404"/>
        </w:trPr>
        <w:tc>
          <w:tcPr>
            <w:tcW w:w="1941" w:type="pct"/>
            <w:tcBorders>
              <w:top w:val="single" w:sz="4" w:space="0" w:color="auto"/>
              <w:left w:val="nil"/>
              <w:bottom w:val="nil"/>
              <w:right w:val="nil"/>
            </w:tcBorders>
            <w:vAlign w:val="center"/>
            <w:hideMark/>
          </w:tcPr>
          <w:p w14:paraId="757BF004" w14:textId="77777777" w:rsidR="00032E88" w:rsidRPr="00361437" w:rsidRDefault="00032E88" w:rsidP="00032E88">
            <w:pPr>
              <w:spacing w:line="256" w:lineRule="auto"/>
              <w:rPr>
                <w:rFonts w:ascii="Arial" w:eastAsia="Times New Roman" w:hAnsi="Arial" w:cs="Arial"/>
                <w:sz w:val="20"/>
              </w:rPr>
            </w:pPr>
            <w:r w:rsidRPr="00361437">
              <w:rPr>
                <w:rFonts w:ascii="Arial" w:eastAsia="Times New Roman" w:hAnsi="Arial" w:cs="Arial"/>
                <w:sz w:val="20"/>
              </w:rPr>
              <w:t>Summary statistics</w:t>
            </w:r>
          </w:p>
        </w:tc>
        <w:tc>
          <w:tcPr>
            <w:tcW w:w="469" w:type="pct"/>
            <w:tcBorders>
              <w:top w:val="single" w:sz="4" w:space="0" w:color="auto"/>
              <w:left w:val="nil"/>
              <w:bottom w:val="nil"/>
              <w:right w:val="nil"/>
            </w:tcBorders>
            <w:noWrap/>
            <w:vAlign w:val="center"/>
          </w:tcPr>
          <w:p w14:paraId="2EB3B234" w14:textId="77777777" w:rsidR="00032E88" w:rsidRPr="00361437" w:rsidRDefault="00032E88" w:rsidP="00032E88">
            <w:pPr>
              <w:spacing w:line="256" w:lineRule="auto"/>
              <w:rPr>
                <w:rFonts w:ascii="Arial" w:eastAsia="Times New Roman" w:hAnsi="Arial" w:cs="Arial"/>
                <w:sz w:val="20"/>
              </w:rPr>
            </w:pPr>
          </w:p>
        </w:tc>
        <w:tc>
          <w:tcPr>
            <w:tcW w:w="1229" w:type="pct"/>
            <w:gridSpan w:val="2"/>
            <w:tcBorders>
              <w:top w:val="single" w:sz="4" w:space="0" w:color="auto"/>
              <w:left w:val="nil"/>
              <w:bottom w:val="single" w:sz="4" w:space="0" w:color="auto"/>
              <w:right w:val="nil"/>
            </w:tcBorders>
            <w:vAlign w:val="center"/>
            <w:hideMark/>
          </w:tcPr>
          <w:p w14:paraId="3EC84C55"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color w:val="000000"/>
                <w:sz w:val="20"/>
                <w:lang w:eastAsia="en-GB"/>
              </w:rPr>
              <w:t>Debt and mixed funds</w:t>
            </w:r>
          </w:p>
        </w:tc>
        <w:tc>
          <w:tcPr>
            <w:tcW w:w="130" w:type="pct"/>
            <w:tcBorders>
              <w:top w:val="single" w:sz="4" w:space="0" w:color="auto"/>
              <w:left w:val="nil"/>
              <w:bottom w:val="nil"/>
              <w:right w:val="nil"/>
            </w:tcBorders>
            <w:vAlign w:val="center"/>
          </w:tcPr>
          <w:p w14:paraId="252531BF" w14:textId="77777777" w:rsidR="00032E88" w:rsidRPr="00361437" w:rsidRDefault="00032E88" w:rsidP="00032E88">
            <w:pPr>
              <w:spacing w:line="256" w:lineRule="auto"/>
              <w:jc w:val="center"/>
              <w:rPr>
                <w:rFonts w:ascii="Arial" w:eastAsia="Times New Roman" w:hAnsi="Arial" w:cs="Arial"/>
                <w:sz w:val="20"/>
              </w:rPr>
            </w:pPr>
          </w:p>
        </w:tc>
        <w:tc>
          <w:tcPr>
            <w:tcW w:w="1231" w:type="pct"/>
            <w:gridSpan w:val="2"/>
            <w:tcBorders>
              <w:top w:val="single" w:sz="4" w:space="0" w:color="auto"/>
              <w:left w:val="nil"/>
              <w:bottom w:val="single" w:sz="4" w:space="0" w:color="auto"/>
              <w:right w:val="nil"/>
            </w:tcBorders>
            <w:vAlign w:val="center"/>
            <w:hideMark/>
          </w:tcPr>
          <w:p w14:paraId="1EF23033"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color w:val="000000"/>
                <w:sz w:val="20"/>
                <w:lang w:eastAsia="en-GB"/>
              </w:rPr>
              <w:t>Debt funds</w:t>
            </w:r>
          </w:p>
        </w:tc>
      </w:tr>
      <w:tr w:rsidR="00032E88" w:rsidRPr="00361437" w14:paraId="1930C476" w14:textId="77777777" w:rsidTr="00DC2331">
        <w:tc>
          <w:tcPr>
            <w:tcW w:w="1941" w:type="pct"/>
            <w:tcBorders>
              <w:top w:val="nil"/>
              <w:left w:val="nil"/>
              <w:bottom w:val="single" w:sz="4" w:space="0" w:color="auto"/>
              <w:right w:val="nil"/>
            </w:tcBorders>
            <w:vAlign w:val="center"/>
          </w:tcPr>
          <w:p w14:paraId="624EE68E" w14:textId="77777777" w:rsidR="00032E88" w:rsidRPr="00361437" w:rsidRDefault="00032E88" w:rsidP="00032E88">
            <w:pPr>
              <w:spacing w:line="256" w:lineRule="auto"/>
              <w:rPr>
                <w:rFonts w:ascii="Arial" w:eastAsia="Times New Roman" w:hAnsi="Arial" w:cs="Arial"/>
                <w:sz w:val="20"/>
              </w:rPr>
            </w:pPr>
          </w:p>
        </w:tc>
        <w:tc>
          <w:tcPr>
            <w:tcW w:w="469" w:type="pct"/>
            <w:tcBorders>
              <w:top w:val="nil"/>
              <w:left w:val="nil"/>
              <w:bottom w:val="single" w:sz="4" w:space="0" w:color="auto"/>
              <w:right w:val="nil"/>
            </w:tcBorders>
            <w:noWrap/>
            <w:vAlign w:val="center"/>
          </w:tcPr>
          <w:p w14:paraId="07EFCF20" w14:textId="77777777" w:rsidR="00032E88" w:rsidRPr="00361437" w:rsidRDefault="00032E88" w:rsidP="00032E88">
            <w:pPr>
              <w:spacing w:line="256" w:lineRule="auto"/>
              <w:jc w:val="center"/>
              <w:rPr>
                <w:rFonts w:ascii="Arial" w:eastAsia="Times New Roman" w:hAnsi="Arial" w:cs="Arial"/>
                <w:sz w:val="20"/>
              </w:rPr>
            </w:pPr>
          </w:p>
        </w:tc>
        <w:tc>
          <w:tcPr>
            <w:tcW w:w="656" w:type="pct"/>
            <w:tcBorders>
              <w:top w:val="single" w:sz="4" w:space="0" w:color="auto"/>
              <w:left w:val="nil"/>
              <w:bottom w:val="single" w:sz="4" w:space="0" w:color="auto"/>
              <w:right w:val="nil"/>
            </w:tcBorders>
            <w:vAlign w:val="center"/>
            <w:hideMark/>
          </w:tcPr>
          <w:p w14:paraId="15E9A391"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color w:val="000000"/>
                <w:sz w:val="20"/>
                <w:lang w:eastAsia="en-GB"/>
              </w:rPr>
              <w:t>N</w:t>
            </w:r>
          </w:p>
        </w:tc>
        <w:tc>
          <w:tcPr>
            <w:tcW w:w="573" w:type="pct"/>
            <w:tcBorders>
              <w:top w:val="single" w:sz="4" w:space="0" w:color="auto"/>
              <w:left w:val="nil"/>
              <w:bottom w:val="single" w:sz="4" w:space="0" w:color="auto"/>
              <w:right w:val="nil"/>
            </w:tcBorders>
            <w:vAlign w:val="center"/>
            <w:hideMark/>
          </w:tcPr>
          <w:p w14:paraId="3F34BA35"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Mean</w:t>
            </w:r>
          </w:p>
          <w:p w14:paraId="64D8567F"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color w:val="000000"/>
                <w:sz w:val="20"/>
                <w:lang w:eastAsia="en-GB"/>
              </w:rPr>
              <w:t>[Median]</w:t>
            </w:r>
          </w:p>
        </w:tc>
        <w:tc>
          <w:tcPr>
            <w:tcW w:w="130" w:type="pct"/>
            <w:tcBorders>
              <w:top w:val="nil"/>
              <w:left w:val="nil"/>
              <w:bottom w:val="single" w:sz="4" w:space="0" w:color="auto"/>
              <w:right w:val="nil"/>
            </w:tcBorders>
            <w:vAlign w:val="center"/>
          </w:tcPr>
          <w:p w14:paraId="5A7B3EC5" w14:textId="77777777" w:rsidR="00032E88" w:rsidRPr="00361437" w:rsidRDefault="00032E88" w:rsidP="00032E88">
            <w:pPr>
              <w:spacing w:line="256" w:lineRule="auto"/>
              <w:jc w:val="center"/>
              <w:rPr>
                <w:rFonts w:ascii="Arial" w:eastAsia="Times New Roman" w:hAnsi="Arial" w:cs="Arial"/>
                <w:sz w:val="20"/>
              </w:rPr>
            </w:pPr>
          </w:p>
        </w:tc>
        <w:tc>
          <w:tcPr>
            <w:tcW w:w="661" w:type="pct"/>
            <w:tcBorders>
              <w:top w:val="single" w:sz="4" w:space="0" w:color="auto"/>
              <w:left w:val="nil"/>
              <w:bottom w:val="single" w:sz="4" w:space="0" w:color="auto"/>
              <w:right w:val="nil"/>
            </w:tcBorders>
            <w:vAlign w:val="center"/>
            <w:hideMark/>
          </w:tcPr>
          <w:p w14:paraId="4523F657"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color w:val="000000"/>
                <w:sz w:val="20"/>
                <w:lang w:eastAsia="en-GB"/>
              </w:rPr>
              <w:t>N</w:t>
            </w:r>
          </w:p>
        </w:tc>
        <w:tc>
          <w:tcPr>
            <w:tcW w:w="570" w:type="pct"/>
            <w:tcBorders>
              <w:top w:val="single" w:sz="4" w:space="0" w:color="auto"/>
              <w:left w:val="nil"/>
              <w:bottom w:val="single" w:sz="4" w:space="0" w:color="auto"/>
              <w:right w:val="nil"/>
            </w:tcBorders>
            <w:tcMar>
              <w:top w:w="0" w:type="dxa"/>
              <w:left w:w="29" w:type="dxa"/>
              <w:bottom w:w="0" w:type="dxa"/>
              <w:right w:w="115" w:type="dxa"/>
            </w:tcMar>
            <w:vAlign w:val="center"/>
            <w:hideMark/>
          </w:tcPr>
          <w:p w14:paraId="0FAE3B3B"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Mean</w:t>
            </w:r>
          </w:p>
          <w:p w14:paraId="2A22EED2"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color w:val="000000"/>
                <w:sz w:val="20"/>
                <w:lang w:eastAsia="en-GB"/>
              </w:rPr>
              <w:t>[Median]</w:t>
            </w:r>
          </w:p>
        </w:tc>
      </w:tr>
      <w:tr w:rsidR="00032E88" w:rsidRPr="00361437" w14:paraId="64784A18" w14:textId="77777777" w:rsidTr="00DC2331">
        <w:tc>
          <w:tcPr>
            <w:tcW w:w="1941" w:type="pct"/>
            <w:hideMark/>
          </w:tcPr>
          <w:p w14:paraId="7EED91FE" w14:textId="76EC3C43" w:rsidR="00032E88" w:rsidRPr="00361437" w:rsidRDefault="009F6C4A" w:rsidP="00032E88">
            <w:pPr>
              <w:spacing w:line="256" w:lineRule="auto"/>
              <w:ind w:left="162" w:hanging="198"/>
              <w:contextualSpacing/>
              <w:rPr>
                <w:rFonts w:ascii="Arial" w:eastAsia="Times New Roman" w:hAnsi="Arial" w:cs="Arial"/>
                <w:sz w:val="20"/>
              </w:rPr>
            </w:pPr>
            <w:r w:rsidRPr="00361437">
              <w:rPr>
                <w:rFonts w:ascii="Arial" w:eastAsia="Times New Roman" w:hAnsi="Arial" w:cs="Arial"/>
                <w:color w:val="000000"/>
                <w:sz w:val="18"/>
                <w:lang w:eastAsia="en-GB"/>
              </w:rPr>
              <w:t>FAMILY_DEBT_FRACTION</w:t>
            </w:r>
            <w:r w:rsidR="00032E88" w:rsidRPr="00361437">
              <w:rPr>
                <w:rFonts w:ascii="Arial" w:eastAsia="Times New Roman" w:hAnsi="Arial" w:cs="Arial"/>
                <w:color w:val="000000"/>
                <w:sz w:val="20"/>
                <w:lang w:eastAsia="en-GB"/>
              </w:rPr>
              <w:t xml:space="preserve"> </w:t>
            </w:r>
            <w:r w:rsidR="00032E88" w:rsidRPr="00361437">
              <w:rPr>
                <w:rFonts w:ascii="Arial" w:eastAsia="Times New Roman" w:hAnsi="Arial" w:cs="Arial"/>
                <w:color w:val="000000"/>
                <w:sz w:val="20"/>
                <w:lang w:eastAsia="en-GB"/>
              </w:rPr>
              <w:br/>
            </w:r>
          </w:p>
        </w:tc>
        <w:tc>
          <w:tcPr>
            <w:tcW w:w="469" w:type="pct"/>
            <w:noWrap/>
            <w:vAlign w:val="center"/>
          </w:tcPr>
          <w:p w14:paraId="7B06C723" w14:textId="77777777" w:rsidR="00032E88" w:rsidRPr="00361437" w:rsidRDefault="00032E88" w:rsidP="00032E88">
            <w:pPr>
              <w:spacing w:line="256" w:lineRule="auto"/>
              <w:rPr>
                <w:rFonts w:ascii="Arial" w:eastAsia="Times New Roman" w:hAnsi="Arial" w:cs="Arial"/>
                <w:sz w:val="20"/>
              </w:rPr>
            </w:pPr>
          </w:p>
        </w:tc>
        <w:tc>
          <w:tcPr>
            <w:tcW w:w="656" w:type="pct"/>
            <w:tcMar>
              <w:top w:w="0" w:type="dxa"/>
              <w:left w:w="14" w:type="dxa"/>
              <w:bottom w:w="0" w:type="dxa"/>
              <w:right w:w="14" w:type="dxa"/>
            </w:tcMar>
            <w:hideMark/>
          </w:tcPr>
          <w:p w14:paraId="4E12924F" w14:textId="21553ADE" w:rsidR="00032E88" w:rsidRPr="00361437" w:rsidRDefault="00655474" w:rsidP="00032E88">
            <w:pPr>
              <w:tabs>
                <w:tab w:val="decimal" w:pos="390"/>
              </w:tabs>
              <w:spacing w:line="256" w:lineRule="auto"/>
              <w:jc w:val="center"/>
              <w:rPr>
                <w:rFonts w:ascii="Arial" w:eastAsia="Calibri" w:hAnsi="Arial" w:cs="Arial"/>
                <w:color w:val="000000"/>
                <w:sz w:val="20"/>
              </w:rPr>
            </w:pPr>
            <w:r w:rsidRPr="00361437">
              <w:rPr>
                <w:rFonts w:ascii="Arial" w:eastAsia="Times New Roman" w:hAnsi="Arial" w:cs="Arial"/>
                <w:color w:val="000000"/>
                <w:sz w:val="20"/>
                <w:lang w:eastAsia="en-GB"/>
              </w:rPr>
              <w:t>52,745</w:t>
            </w:r>
          </w:p>
        </w:tc>
        <w:tc>
          <w:tcPr>
            <w:tcW w:w="573" w:type="pct"/>
            <w:hideMark/>
          </w:tcPr>
          <w:p w14:paraId="3983BFA2" w14:textId="564817E0"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0.0</w:t>
            </w:r>
            <w:r w:rsidR="00F70091" w:rsidRPr="00361437">
              <w:rPr>
                <w:rFonts w:ascii="Arial" w:eastAsia="Times New Roman" w:hAnsi="Arial" w:cs="Arial"/>
                <w:color w:val="000000"/>
                <w:sz w:val="20"/>
                <w:lang w:eastAsia="en-GB"/>
              </w:rPr>
              <w:t>48</w:t>
            </w:r>
            <w:r w:rsidRPr="00361437">
              <w:rPr>
                <w:rFonts w:ascii="Arial" w:eastAsia="Times New Roman" w:hAnsi="Arial" w:cs="Arial"/>
                <w:color w:val="000000"/>
                <w:sz w:val="20"/>
                <w:lang w:eastAsia="en-GB"/>
              </w:rPr>
              <w:t>3</w:t>
            </w:r>
          </w:p>
          <w:p w14:paraId="0E5B8904" w14:textId="77777777" w:rsidR="00032E88" w:rsidRPr="00361437" w:rsidRDefault="00032E88" w:rsidP="00032E88">
            <w:pPr>
              <w:spacing w:line="256" w:lineRule="auto"/>
              <w:jc w:val="center"/>
              <w:rPr>
                <w:rFonts w:ascii="Arial" w:eastAsia="Calibri" w:hAnsi="Arial" w:cs="Arial"/>
                <w:color w:val="000000"/>
                <w:sz w:val="20"/>
              </w:rPr>
            </w:pPr>
            <w:r w:rsidRPr="00361437">
              <w:rPr>
                <w:rFonts w:ascii="Arial" w:eastAsia="Times New Roman" w:hAnsi="Arial" w:cs="Arial"/>
                <w:color w:val="000000"/>
                <w:sz w:val="20"/>
                <w:lang w:eastAsia="en-GB"/>
              </w:rPr>
              <w:t>[0.0000]</w:t>
            </w:r>
          </w:p>
        </w:tc>
        <w:tc>
          <w:tcPr>
            <w:tcW w:w="130" w:type="pct"/>
          </w:tcPr>
          <w:p w14:paraId="68A405CA" w14:textId="77777777" w:rsidR="00032E88" w:rsidRPr="00361437" w:rsidRDefault="00032E88" w:rsidP="00032E88">
            <w:pPr>
              <w:tabs>
                <w:tab w:val="decimal" w:pos="252"/>
              </w:tabs>
              <w:spacing w:line="256" w:lineRule="auto"/>
              <w:jc w:val="center"/>
              <w:rPr>
                <w:rFonts w:ascii="Arial" w:eastAsia="Calibri" w:hAnsi="Arial" w:cs="Arial"/>
                <w:color w:val="000000"/>
                <w:sz w:val="20"/>
              </w:rPr>
            </w:pPr>
          </w:p>
        </w:tc>
        <w:tc>
          <w:tcPr>
            <w:tcW w:w="661" w:type="pct"/>
            <w:hideMark/>
          </w:tcPr>
          <w:p w14:paraId="777EFE15" w14:textId="30420665" w:rsidR="00032E88" w:rsidRPr="00361437" w:rsidRDefault="00655474" w:rsidP="00032E88">
            <w:pPr>
              <w:tabs>
                <w:tab w:val="decimal" w:pos="252"/>
              </w:tabs>
              <w:spacing w:line="256" w:lineRule="auto"/>
              <w:jc w:val="center"/>
              <w:rPr>
                <w:rFonts w:ascii="Arial" w:eastAsia="Calibri" w:hAnsi="Arial" w:cs="Arial"/>
                <w:color w:val="000000"/>
                <w:sz w:val="20"/>
              </w:rPr>
            </w:pPr>
            <w:r w:rsidRPr="00361437">
              <w:rPr>
                <w:rFonts w:ascii="Arial" w:eastAsia="Times New Roman" w:hAnsi="Arial" w:cs="Arial"/>
                <w:color w:val="000000"/>
                <w:sz w:val="20"/>
                <w:lang w:eastAsia="en-GB"/>
              </w:rPr>
              <w:t>52,745</w:t>
            </w:r>
          </w:p>
        </w:tc>
        <w:tc>
          <w:tcPr>
            <w:tcW w:w="570" w:type="pct"/>
            <w:hideMark/>
          </w:tcPr>
          <w:p w14:paraId="5DE65474" w14:textId="50F92C6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0.012</w:t>
            </w:r>
            <w:r w:rsidR="002F5595" w:rsidRPr="00361437">
              <w:rPr>
                <w:rFonts w:ascii="Arial" w:eastAsia="Times New Roman" w:hAnsi="Arial" w:cs="Arial"/>
                <w:color w:val="000000"/>
                <w:sz w:val="20"/>
                <w:lang w:eastAsia="en-GB"/>
              </w:rPr>
              <w:t>3</w:t>
            </w:r>
          </w:p>
          <w:p w14:paraId="6842C479" w14:textId="77777777" w:rsidR="00032E88" w:rsidRPr="00361437" w:rsidRDefault="00032E88" w:rsidP="00032E88">
            <w:pPr>
              <w:spacing w:line="256" w:lineRule="auto"/>
              <w:jc w:val="center"/>
              <w:rPr>
                <w:rFonts w:ascii="Arial" w:eastAsia="Calibri" w:hAnsi="Arial" w:cs="Arial"/>
                <w:color w:val="000000"/>
                <w:sz w:val="20"/>
              </w:rPr>
            </w:pPr>
            <w:r w:rsidRPr="00361437">
              <w:rPr>
                <w:rFonts w:ascii="Arial" w:eastAsia="Times New Roman" w:hAnsi="Arial" w:cs="Arial"/>
                <w:color w:val="000000"/>
                <w:sz w:val="20"/>
                <w:lang w:eastAsia="en-GB"/>
              </w:rPr>
              <w:t>[0.0000]</w:t>
            </w:r>
          </w:p>
        </w:tc>
      </w:tr>
      <w:tr w:rsidR="00032E88" w:rsidRPr="00361437" w14:paraId="1BD492AB" w14:textId="77777777" w:rsidTr="00DC2331">
        <w:tc>
          <w:tcPr>
            <w:tcW w:w="1941" w:type="pct"/>
            <w:hideMark/>
          </w:tcPr>
          <w:p w14:paraId="75BF6963" w14:textId="2DC2F720" w:rsidR="00032E88" w:rsidRPr="00361437" w:rsidRDefault="009F6C4A" w:rsidP="00032E88">
            <w:pPr>
              <w:spacing w:line="256" w:lineRule="auto"/>
              <w:ind w:left="162" w:hanging="198"/>
              <w:contextualSpacing/>
              <w:rPr>
                <w:rFonts w:ascii="Arial" w:eastAsia="Times New Roman" w:hAnsi="Arial" w:cs="Arial"/>
                <w:sz w:val="20"/>
              </w:rPr>
            </w:pPr>
            <w:r w:rsidRPr="00361437">
              <w:rPr>
                <w:rFonts w:ascii="Arial" w:eastAsia="Times New Roman" w:hAnsi="Arial" w:cs="Arial"/>
                <w:color w:val="000000"/>
                <w:sz w:val="18"/>
                <w:lang w:eastAsia="en-GB"/>
              </w:rPr>
              <w:t>FAMILY_DEBT_FRACTION</w:t>
            </w:r>
            <w:r w:rsidR="00032E88" w:rsidRPr="00361437">
              <w:rPr>
                <w:rFonts w:ascii="Arial" w:eastAsia="Times New Roman" w:hAnsi="Arial" w:cs="Arial"/>
                <w:color w:val="000000"/>
                <w:sz w:val="20"/>
                <w:lang w:eastAsia="en-GB"/>
              </w:rPr>
              <w:t xml:space="preserve"> conditiona</w:t>
            </w:r>
            <w:r w:rsidR="00013673" w:rsidRPr="00361437">
              <w:rPr>
                <w:rFonts w:ascii="Arial" w:eastAsia="Times New Roman" w:hAnsi="Arial" w:cs="Arial"/>
                <w:color w:val="000000"/>
                <w:sz w:val="20"/>
                <w:lang w:eastAsia="en-GB"/>
              </w:rPr>
              <w:t xml:space="preserve">l </w:t>
            </w:r>
            <w:r w:rsidR="00032E88" w:rsidRPr="00361437">
              <w:rPr>
                <w:rFonts w:ascii="Arial" w:eastAsia="Times New Roman" w:hAnsi="Arial" w:cs="Arial"/>
                <w:color w:val="000000"/>
                <w:sz w:val="20"/>
                <w:lang w:eastAsia="en-GB"/>
              </w:rPr>
              <w:t>on family debt holding</w:t>
            </w:r>
          </w:p>
        </w:tc>
        <w:tc>
          <w:tcPr>
            <w:tcW w:w="469" w:type="pct"/>
            <w:noWrap/>
          </w:tcPr>
          <w:p w14:paraId="4B3ADFAB" w14:textId="77777777" w:rsidR="00032E88" w:rsidRPr="00361437" w:rsidRDefault="00032E88" w:rsidP="00032E88">
            <w:pPr>
              <w:spacing w:line="256" w:lineRule="auto"/>
              <w:rPr>
                <w:rFonts w:ascii="Arial" w:eastAsia="Times New Roman" w:hAnsi="Arial" w:cs="Arial"/>
                <w:sz w:val="20"/>
              </w:rPr>
            </w:pPr>
          </w:p>
        </w:tc>
        <w:tc>
          <w:tcPr>
            <w:tcW w:w="656" w:type="pct"/>
            <w:tcMar>
              <w:top w:w="0" w:type="dxa"/>
              <w:left w:w="14" w:type="dxa"/>
              <w:bottom w:w="0" w:type="dxa"/>
              <w:right w:w="14" w:type="dxa"/>
            </w:tcMar>
            <w:hideMark/>
          </w:tcPr>
          <w:p w14:paraId="2CA381C2" w14:textId="45D2D8B1" w:rsidR="00032E88" w:rsidRPr="00361437" w:rsidRDefault="00032E88" w:rsidP="00032E88">
            <w:pPr>
              <w:tabs>
                <w:tab w:val="decimal" w:pos="390"/>
              </w:tabs>
              <w:spacing w:line="256" w:lineRule="auto"/>
              <w:jc w:val="center"/>
              <w:rPr>
                <w:rFonts w:ascii="Arial" w:eastAsia="Calibri" w:hAnsi="Arial" w:cs="Arial"/>
                <w:color w:val="000000"/>
                <w:sz w:val="20"/>
              </w:rPr>
            </w:pPr>
            <w:r w:rsidRPr="00361437">
              <w:rPr>
                <w:rFonts w:ascii="Arial" w:eastAsia="Times New Roman" w:hAnsi="Arial" w:cs="Arial"/>
                <w:color w:val="000000"/>
                <w:sz w:val="20"/>
                <w:lang w:eastAsia="en-GB"/>
              </w:rPr>
              <w:t>7,</w:t>
            </w:r>
            <w:r w:rsidR="002F5595" w:rsidRPr="00361437">
              <w:rPr>
                <w:rFonts w:ascii="Arial" w:eastAsia="Times New Roman" w:hAnsi="Arial" w:cs="Arial"/>
                <w:color w:val="000000"/>
                <w:sz w:val="20"/>
                <w:lang w:eastAsia="en-GB"/>
              </w:rPr>
              <w:t>589</w:t>
            </w:r>
          </w:p>
        </w:tc>
        <w:tc>
          <w:tcPr>
            <w:tcW w:w="573" w:type="pct"/>
            <w:hideMark/>
          </w:tcPr>
          <w:p w14:paraId="17B5B2C4" w14:textId="03997F0C"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0.33</w:t>
            </w:r>
            <w:r w:rsidR="002F5595" w:rsidRPr="00361437">
              <w:rPr>
                <w:rFonts w:ascii="Arial" w:eastAsia="Times New Roman" w:hAnsi="Arial" w:cs="Arial"/>
                <w:color w:val="000000"/>
                <w:sz w:val="20"/>
                <w:lang w:eastAsia="en-GB"/>
              </w:rPr>
              <w:t>89</w:t>
            </w:r>
          </w:p>
          <w:p w14:paraId="3097C107" w14:textId="77777777" w:rsidR="00032E88" w:rsidRPr="00361437" w:rsidRDefault="00032E88" w:rsidP="00032E88">
            <w:pPr>
              <w:spacing w:line="256" w:lineRule="auto"/>
              <w:jc w:val="center"/>
              <w:rPr>
                <w:rFonts w:ascii="Arial" w:eastAsia="Calibri" w:hAnsi="Arial" w:cs="Arial"/>
                <w:color w:val="000000"/>
                <w:sz w:val="20"/>
              </w:rPr>
            </w:pPr>
            <w:r w:rsidRPr="00361437">
              <w:rPr>
                <w:rFonts w:ascii="Arial" w:eastAsia="Times New Roman" w:hAnsi="Arial" w:cs="Arial"/>
                <w:color w:val="000000"/>
                <w:sz w:val="20"/>
                <w:lang w:eastAsia="en-GB"/>
              </w:rPr>
              <w:t>[0.2500]</w:t>
            </w:r>
          </w:p>
        </w:tc>
        <w:tc>
          <w:tcPr>
            <w:tcW w:w="130" w:type="pct"/>
          </w:tcPr>
          <w:p w14:paraId="48D4E962" w14:textId="77777777" w:rsidR="00032E88" w:rsidRPr="00361437" w:rsidRDefault="00032E88" w:rsidP="00032E88">
            <w:pPr>
              <w:tabs>
                <w:tab w:val="decimal" w:pos="252"/>
              </w:tabs>
              <w:spacing w:line="256" w:lineRule="auto"/>
              <w:jc w:val="center"/>
              <w:rPr>
                <w:rFonts w:ascii="Arial" w:eastAsia="Calibri" w:hAnsi="Arial" w:cs="Arial"/>
                <w:color w:val="000000"/>
                <w:sz w:val="20"/>
              </w:rPr>
            </w:pPr>
          </w:p>
        </w:tc>
        <w:tc>
          <w:tcPr>
            <w:tcW w:w="661" w:type="pct"/>
            <w:hideMark/>
          </w:tcPr>
          <w:p w14:paraId="2B0A2527" w14:textId="4B5C2BB3" w:rsidR="00032E88" w:rsidRPr="00361437" w:rsidRDefault="00032E88" w:rsidP="00032E88">
            <w:pPr>
              <w:tabs>
                <w:tab w:val="decimal" w:pos="252"/>
              </w:tabs>
              <w:spacing w:line="256" w:lineRule="auto"/>
              <w:jc w:val="center"/>
              <w:rPr>
                <w:rFonts w:ascii="Arial" w:eastAsia="Calibri" w:hAnsi="Arial" w:cs="Arial"/>
                <w:color w:val="000000"/>
                <w:sz w:val="20"/>
              </w:rPr>
            </w:pPr>
            <w:r w:rsidRPr="00361437">
              <w:rPr>
                <w:rFonts w:ascii="Arial" w:eastAsia="Times New Roman" w:hAnsi="Arial" w:cs="Arial"/>
                <w:color w:val="000000"/>
                <w:sz w:val="20"/>
                <w:lang w:eastAsia="en-GB"/>
              </w:rPr>
              <w:t>2,8</w:t>
            </w:r>
            <w:r w:rsidR="002F5595" w:rsidRPr="00361437">
              <w:rPr>
                <w:rFonts w:ascii="Arial" w:eastAsia="Times New Roman" w:hAnsi="Arial" w:cs="Arial"/>
                <w:color w:val="000000"/>
                <w:sz w:val="20"/>
                <w:lang w:eastAsia="en-GB"/>
              </w:rPr>
              <w:t>03</w:t>
            </w:r>
          </w:p>
        </w:tc>
        <w:tc>
          <w:tcPr>
            <w:tcW w:w="570" w:type="pct"/>
            <w:hideMark/>
          </w:tcPr>
          <w:p w14:paraId="3F4006C2" w14:textId="05E43BC5"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0.233</w:t>
            </w:r>
            <w:r w:rsidR="002F5595" w:rsidRPr="00361437">
              <w:rPr>
                <w:rFonts w:ascii="Arial" w:eastAsia="Times New Roman" w:hAnsi="Arial" w:cs="Arial"/>
                <w:color w:val="000000"/>
                <w:sz w:val="20"/>
                <w:lang w:eastAsia="en-GB"/>
              </w:rPr>
              <w:t>5</w:t>
            </w:r>
          </w:p>
          <w:p w14:paraId="16502628" w14:textId="77777777" w:rsidR="00032E88" w:rsidRPr="00361437" w:rsidRDefault="00032E88" w:rsidP="00032E88">
            <w:pPr>
              <w:spacing w:line="256" w:lineRule="auto"/>
              <w:jc w:val="center"/>
              <w:rPr>
                <w:rFonts w:ascii="Arial" w:eastAsia="Calibri" w:hAnsi="Arial" w:cs="Arial"/>
                <w:color w:val="000000"/>
                <w:sz w:val="20"/>
              </w:rPr>
            </w:pPr>
            <w:r w:rsidRPr="00361437">
              <w:rPr>
                <w:rFonts w:ascii="Arial" w:eastAsia="Times New Roman" w:hAnsi="Arial" w:cs="Arial"/>
                <w:color w:val="000000"/>
                <w:sz w:val="20"/>
                <w:lang w:eastAsia="en-GB"/>
              </w:rPr>
              <w:t>[0.2000]</w:t>
            </w:r>
          </w:p>
        </w:tc>
      </w:tr>
      <w:tr w:rsidR="00032E88" w:rsidRPr="00361437" w14:paraId="1A04E33C" w14:textId="77777777" w:rsidTr="00DC2331">
        <w:tc>
          <w:tcPr>
            <w:tcW w:w="1941" w:type="pct"/>
          </w:tcPr>
          <w:p w14:paraId="450B5E32" w14:textId="77777777" w:rsidR="00032E88" w:rsidRPr="00361437" w:rsidRDefault="00032E88" w:rsidP="00032E88">
            <w:pPr>
              <w:spacing w:line="256" w:lineRule="auto"/>
              <w:ind w:left="360" w:hanging="360"/>
              <w:contextualSpacing/>
              <w:rPr>
                <w:rFonts w:ascii="Arial" w:eastAsia="Times New Roman" w:hAnsi="Arial" w:cs="Arial"/>
                <w:sz w:val="20"/>
              </w:rPr>
            </w:pPr>
          </w:p>
        </w:tc>
        <w:tc>
          <w:tcPr>
            <w:tcW w:w="469" w:type="pct"/>
            <w:noWrap/>
          </w:tcPr>
          <w:p w14:paraId="60298738" w14:textId="77777777" w:rsidR="00032E88" w:rsidRPr="00361437" w:rsidRDefault="00032E88" w:rsidP="00032E88">
            <w:pPr>
              <w:spacing w:line="256" w:lineRule="auto"/>
              <w:rPr>
                <w:rFonts w:ascii="Arial" w:eastAsia="Times New Roman" w:hAnsi="Arial" w:cs="Arial"/>
                <w:sz w:val="20"/>
              </w:rPr>
            </w:pPr>
          </w:p>
        </w:tc>
        <w:tc>
          <w:tcPr>
            <w:tcW w:w="656" w:type="pct"/>
            <w:tcMar>
              <w:top w:w="0" w:type="dxa"/>
              <w:left w:w="14" w:type="dxa"/>
              <w:bottom w:w="0" w:type="dxa"/>
              <w:right w:w="14" w:type="dxa"/>
            </w:tcMar>
          </w:tcPr>
          <w:p w14:paraId="34354E21" w14:textId="77777777" w:rsidR="00032E88" w:rsidRPr="00361437" w:rsidRDefault="00032E88" w:rsidP="00032E88">
            <w:pPr>
              <w:tabs>
                <w:tab w:val="decimal" w:pos="390"/>
              </w:tabs>
              <w:spacing w:line="256" w:lineRule="auto"/>
              <w:jc w:val="center"/>
              <w:rPr>
                <w:rFonts w:ascii="Arial" w:eastAsia="Calibri" w:hAnsi="Arial" w:cs="Arial"/>
                <w:color w:val="000000"/>
                <w:sz w:val="20"/>
              </w:rPr>
            </w:pPr>
          </w:p>
        </w:tc>
        <w:tc>
          <w:tcPr>
            <w:tcW w:w="573" w:type="pct"/>
          </w:tcPr>
          <w:p w14:paraId="7C031935" w14:textId="77777777" w:rsidR="00032E88" w:rsidRPr="00361437" w:rsidRDefault="00032E88" w:rsidP="00032E88">
            <w:pPr>
              <w:tabs>
                <w:tab w:val="decimal" w:pos="252"/>
              </w:tabs>
              <w:spacing w:line="256" w:lineRule="auto"/>
              <w:jc w:val="center"/>
              <w:rPr>
                <w:rFonts w:ascii="Arial" w:eastAsia="Calibri" w:hAnsi="Arial" w:cs="Arial"/>
                <w:color w:val="000000"/>
                <w:sz w:val="20"/>
              </w:rPr>
            </w:pPr>
          </w:p>
        </w:tc>
        <w:tc>
          <w:tcPr>
            <w:tcW w:w="130" w:type="pct"/>
          </w:tcPr>
          <w:p w14:paraId="1DEB0290" w14:textId="77777777" w:rsidR="00032E88" w:rsidRPr="00361437" w:rsidRDefault="00032E88" w:rsidP="00032E88">
            <w:pPr>
              <w:tabs>
                <w:tab w:val="decimal" w:pos="252"/>
              </w:tabs>
              <w:spacing w:line="256" w:lineRule="auto"/>
              <w:jc w:val="center"/>
              <w:rPr>
                <w:rFonts w:ascii="Arial" w:eastAsia="Calibri" w:hAnsi="Arial" w:cs="Arial"/>
                <w:color w:val="000000"/>
                <w:sz w:val="20"/>
              </w:rPr>
            </w:pPr>
          </w:p>
        </w:tc>
        <w:tc>
          <w:tcPr>
            <w:tcW w:w="661" w:type="pct"/>
          </w:tcPr>
          <w:p w14:paraId="5BCE0EF9" w14:textId="77777777" w:rsidR="00032E88" w:rsidRPr="00361437" w:rsidRDefault="00032E88" w:rsidP="00032E88">
            <w:pPr>
              <w:tabs>
                <w:tab w:val="decimal" w:pos="252"/>
              </w:tabs>
              <w:spacing w:line="256" w:lineRule="auto"/>
              <w:jc w:val="center"/>
              <w:rPr>
                <w:rFonts w:ascii="Arial" w:eastAsia="Calibri" w:hAnsi="Arial" w:cs="Arial"/>
                <w:color w:val="000000"/>
                <w:sz w:val="20"/>
              </w:rPr>
            </w:pPr>
          </w:p>
        </w:tc>
        <w:tc>
          <w:tcPr>
            <w:tcW w:w="570" w:type="pct"/>
          </w:tcPr>
          <w:p w14:paraId="0B215D4C" w14:textId="77777777" w:rsidR="00032E88" w:rsidRPr="00361437" w:rsidRDefault="00032E88" w:rsidP="00032E88">
            <w:pPr>
              <w:tabs>
                <w:tab w:val="decimal" w:pos="252"/>
              </w:tabs>
              <w:spacing w:line="256" w:lineRule="auto"/>
              <w:jc w:val="center"/>
              <w:rPr>
                <w:rFonts w:ascii="Arial" w:eastAsia="Calibri" w:hAnsi="Arial" w:cs="Arial"/>
                <w:color w:val="000000"/>
                <w:sz w:val="20"/>
              </w:rPr>
            </w:pPr>
          </w:p>
        </w:tc>
      </w:tr>
      <w:tr w:rsidR="00032E88" w:rsidRPr="00361437" w14:paraId="513730C0" w14:textId="77777777" w:rsidTr="00DC2331">
        <w:tc>
          <w:tcPr>
            <w:tcW w:w="2410" w:type="pct"/>
            <w:gridSpan w:val="2"/>
            <w:tcBorders>
              <w:top w:val="single" w:sz="4" w:space="0" w:color="auto"/>
              <w:left w:val="nil"/>
              <w:bottom w:val="nil"/>
              <w:right w:val="nil"/>
            </w:tcBorders>
            <w:vAlign w:val="center"/>
            <w:hideMark/>
          </w:tcPr>
          <w:p w14:paraId="488E383B" w14:textId="77777777" w:rsidR="00032E88" w:rsidRPr="00361437" w:rsidRDefault="00032E88" w:rsidP="00032E88">
            <w:pPr>
              <w:spacing w:line="256" w:lineRule="auto"/>
              <w:rPr>
                <w:rFonts w:ascii="Arial" w:eastAsia="Times New Roman" w:hAnsi="Arial" w:cs="Arial"/>
                <w:sz w:val="20"/>
              </w:rPr>
            </w:pPr>
            <w:r w:rsidRPr="00361437">
              <w:rPr>
                <w:rFonts w:ascii="Arial" w:eastAsia="Times New Roman" w:hAnsi="Arial" w:cs="Arial"/>
                <w:sz w:val="20"/>
              </w:rPr>
              <w:t xml:space="preserve">Regression coefficient and </w:t>
            </w:r>
            <w:r w:rsidRPr="00361437">
              <w:rPr>
                <w:rFonts w:ascii="Arial" w:eastAsia="Times New Roman" w:hAnsi="Arial" w:cs="Arial"/>
                <w:i/>
                <w:sz w:val="20"/>
              </w:rPr>
              <w:t>p</w:t>
            </w:r>
            <w:r w:rsidRPr="00361437">
              <w:rPr>
                <w:rFonts w:ascii="Arial" w:eastAsia="Times New Roman" w:hAnsi="Arial" w:cs="Arial"/>
                <w:sz w:val="20"/>
              </w:rPr>
              <w:t xml:space="preserve">-value for </w:t>
            </w:r>
          </w:p>
          <w:p w14:paraId="13101B8F" w14:textId="2C814232" w:rsidR="00032E88" w:rsidRPr="00361437" w:rsidRDefault="009F6C4A" w:rsidP="00032E88">
            <w:pPr>
              <w:spacing w:line="256" w:lineRule="auto"/>
              <w:rPr>
                <w:rFonts w:ascii="Arial" w:eastAsia="Times New Roman" w:hAnsi="Arial" w:cs="Arial"/>
                <w:sz w:val="20"/>
              </w:rPr>
            </w:pPr>
            <w:r w:rsidRPr="00361437">
              <w:rPr>
                <w:rFonts w:ascii="Arial" w:eastAsia="Times New Roman" w:hAnsi="Arial" w:cs="Arial"/>
                <w:sz w:val="18"/>
              </w:rPr>
              <w:t>FAMILY_DEBT_FRACTION × DISTRESS_(0,1)</w:t>
            </w:r>
          </w:p>
        </w:tc>
        <w:tc>
          <w:tcPr>
            <w:tcW w:w="1229" w:type="pct"/>
            <w:gridSpan w:val="2"/>
            <w:tcBorders>
              <w:top w:val="single" w:sz="4" w:space="0" w:color="auto"/>
              <w:left w:val="nil"/>
              <w:bottom w:val="single" w:sz="4" w:space="0" w:color="auto"/>
              <w:right w:val="nil"/>
            </w:tcBorders>
            <w:vAlign w:val="center"/>
            <w:hideMark/>
          </w:tcPr>
          <w:p w14:paraId="6BFDF48B"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color w:val="000000"/>
                <w:sz w:val="20"/>
                <w:lang w:eastAsia="en-GB"/>
              </w:rPr>
              <w:t>Debt and mixed funds</w:t>
            </w:r>
          </w:p>
        </w:tc>
        <w:tc>
          <w:tcPr>
            <w:tcW w:w="130" w:type="pct"/>
            <w:tcBorders>
              <w:top w:val="single" w:sz="4" w:space="0" w:color="auto"/>
              <w:left w:val="nil"/>
              <w:bottom w:val="nil"/>
              <w:right w:val="nil"/>
            </w:tcBorders>
            <w:vAlign w:val="center"/>
          </w:tcPr>
          <w:p w14:paraId="089B7029" w14:textId="77777777" w:rsidR="00032E88" w:rsidRPr="00361437" w:rsidRDefault="00032E88" w:rsidP="00032E88">
            <w:pPr>
              <w:spacing w:line="256" w:lineRule="auto"/>
              <w:jc w:val="center"/>
              <w:rPr>
                <w:rFonts w:ascii="Arial" w:eastAsia="Times New Roman" w:hAnsi="Arial" w:cs="Arial"/>
                <w:sz w:val="20"/>
              </w:rPr>
            </w:pPr>
          </w:p>
        </w:tc>
        <w:tc>
          <w:tcPr>
            <w:tcW w:w="1231" w:type="pct"/>
            <w:gridSpan w:val="2"/>
            <w:tcBorders>
              <w:top w:val="single" w:sz="4" w:space="0" w:color="auto"/>
              <w:left w:val="nil"/>
              <w:bottom w:val="single" w:sz="4" w:space="0" w:color="auto"/>
              <w:right w:val="nil"/>
            </w:tcBorders>
            <w:vAlign w:val="center"/>
            <w:hideMark/>
          </w:tcPr>
          <w:p w14:paraId="4E2A8B84"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color w:val="000000"/>
                <w:sz w:val="20"/>
                <w:lang w:eastAsia="en-GB"/>
              </w:rPr>
              <w:t>Debt funds only</w:t>
            </w:r>
          </w:p>
        </w:tc>
      </w:tr>
      <w:tr w:rsidR="00032E88" w:rsidRPr="00361437" w14:paraId="4CE0B666" w14:textId="77777777" w:rsidTr="00DC2331">
        <w:tc>
          <w:tcPr>
            <w:tcW w:w="1941" w:type="pct"/>
            <w:tcBorders>
              <w:top w:val="nil"/>
              <w:left w:val="nil"/>
              <w:bottom w:val="single" w:sz="4" w:space="0" w:color="auto"/>
              <w:right w:val="nil"/>
            </w:tcBorders>
            <w:vAlign w:val="center"/>
          </w:tcPr>
          <w:p w14:paraId="4D5621DF" w14:textId="77777777" w:rsidR="00032E88" w:rsidRPr="00361437" w:rsidRDefault="00032E88" w:rsidP="00032E88">
            <w:pPr>
              <w:spacing w:line="256" w:lineRule="auto"/>
              <w:rPr>
                <w:rFonts w:ascii="Arial" w:eastAsia="Times New Roman" w:hAnsi="Arial" w:cs="Arial"/>
                <w:sz w:val="20"/>
              </w:rPr>
            </w:pPr>
          </w:p>
        </w:tc>
        <w:tc>
          <w:tcPr>
            <w:tcW w:w="469" w:type="pct"/>
            <w:tcBorders>
              <w:top w:val="nil"/>
              <w:left w:val="nil"/>
              <w:bottom w:val="single" w:sz="4" w:space="0" w:color="auto"/>
              <w:right w:val="nil"/>
            </w:tcBorders>
            <w:noWrap/>
            <w:vAlign w:val="center"/>
            <w:hideMark/>
          </w:tcPr>
          <w:p w14:paraId="7C5E45F8"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N</w:t>
            </w:r>
          </w:p>
        </w:tc>
        <w:tc>
          <w:tcPr>
            <w:tcW w:w="656" w:type="pct"/>
            <w:tcBorders>
              <w:top w:val="single" w:sz="4" w:space="0" w:color="auto"/>
              <w:left w:val="nil"/>
              <w:bottom w:val="single" w:sz="4" w:space="0" w:color="auto"/>
              <w:right w:val="nil"/>
            </w:tcBorders>
            <w:vAlign w:val="center"/>
            <w:hideMark/>
          </w:tcPr>
          <w:p w14:paraId="47AF32C1" w14:textId="77777777" w:rsidR="00032E88" w:rsidRPr="00361437" w:rsidRDefault="00032E88" w:rsidP="00032E88">
            <w:pPr>
              <w:spacing w:line="256" w:lineRule="auto"/>
              <w:jc w:val="center"/>
              <w:rPr>
                <w:rFonts w:ascii="Arial" w:eastAsia="Times New Roman" w:hAnsi="Arial" w:cs="Arial"/>
                <w:sz w:val="18"/>
              </w:rPr>
            </w:pPr>
            <w:r w:rsidRPr="00361437">
              <w:rPr>
                <w:rFonts w:ascii="Arial" w:eastAsia="Times New Roman" w:hAnsi="Arial" w:cs="Arial"/>
                <w:sz w:val="18"/>
              </w:rPr>
              <w:t>Coefficient</w:t>
            </w:r>
          </w:p>
        </w:tc>
        <w:tc>
          <w:tcPr>
            <w:tcW w:w="573" w:type="pct"/>
            <w:tcBorders>
              <w:top w:val="single" w:sz="4" w:space="0" w:color="auto"/>
              <w:left w:val="nil"/>
              <w:bottom w:val="single" w:sz="4" w:space="0" w:color="auto"/>
              <w:right w:val="nil"/>
            </w:tcBorders>
            <w:vAlign w:val="center"/>
            <w:hideMark/>
          </w:tcPr>
          <w:p w14:paraId="273AF31A" w14:textId="77777777" w:rsidR="00032E88" w:rsidRPr="00361437" w:rsidRDefault="00032E88" w:rsidP="00032E88">
            <w:pPr>
              <w:spacing w:line="256" w:lineRule="auto"/>
              <w:jc w:val="center"/>
              <w:rPr>
                <w:rFonts w:ascii="Arial" w:eastAsia="Times New Roman" w:hAnsi="Arial" w:cs="Arial"/>
                <w:sz w:val="18"/>
              </w:rPr>
            </w:pPr>
            <w:r w:rsidRPr="00361437">
              <w:rPr>
                <w:rFonts w:ascii="Arial" w:eastAsia="Times New Roman" w:hAnsi="Arial" w:cs="Arial"/>
                <w:i/>
                <w:sz w:val="18"/>
              </w:rPr>
              <w:t>p</w:t>
            </w:r>
            <w:r w:rsidRPr="00361437">
              <w:rPr>
                <w:rFonts w:ascii="Arial" w:eastAsia="Times New Roman" w:hAnsi="Arial" w:cs="Arial"/>
                <w:sz w:val="18"/>
              </w:rPr>
              <w:t>-value</w:t>
            </w:r>
          </w:p>
        </w:tc>
        <w:tc>
          <w:tcPr>
            <w:tcW w:w="130" w:type="pct"/>
            <w:tcBorders>
              <w:top w:val="nil"/>
              <w:left w:val="nil"/>
              <w:bottom w:val="single" w:sz="4" w:space="0" w:color="auto"/>
              <w:right w:val="nil"/>
            </w:tcBorders>
            <w:vAlign w:val="center"/>
          </w:tcPr>
          <w:p w14:paraId="1B8CEFE2" w14:textId="77777777" w:rsidR="00032E88" w:rsidRPr="00361437" w:rsidRDefault="00032E88" w:rsidP="00032E88">
            <w:pPr>
              <w:spacing w:line="256" w:lineRule="auto"/>
              <w:jc w:val="center"/>
              <w:rPr>
                <w:rFonts w:ascii="Arial" w:eastAsia="Times New Roman" w:hAnsi="Arial" w:cs="Arial"/>
                <w:sz w:val="18"/>
              </w:rPr>
            </w:pPr>
          </w:p>
        </w:tc>
        <w:tc>
          <w:tcPr>
            <w:tcW w:w="661" w:type="pct"/>
            <w:tcBorders>
              <w:top w:val="single" w:sz="4" w:space="0" w:color="auto"/>
              <w:left w:val="nil"/>
              <w:bottom w:val="single" w:sz="4" w:space="0" w:color="auto"/>
              <w:right w:val="nil"/>
            </w:tcBorders>
            <w:vAlign w:val="center"/>
            <w:hideMark/>
          </w:tcPr>
          <w:p w14:paraId="08DB76DD" w14:textId="77777777" w:rsidR="00032E88" w:rsidRPr="00361437" w:rsidRDefault="00032E88" w:rsidP="00032E88">
            <w:pPr>
              <w:spacing w:line="256" w:lineRule="auto"/>
              <w:jc w:val="center"/>
              <w:rPr>
                <w:rFonts w:ascii="Arial" w:eastAsia="Times New Roman" w:hAnsi="Arial" w:cs="Arial"/>
                <w:sz w:val="18"/>
              </w:rPr>
            </w:pPr>
            <w:r w:rsidRPr="00361437">
              <w:rPr>
                <w:rFonts w:ascii="Arial" w:eastAsia="Times New Roman" w:hAnsi="Arial" w:cs="Arial"/>
                <w:sz w:val="18"/>
              </w:rPr>
              <w:t>Coefficient</w:t>
            </w:r>
          </w:p>
        </w:tc>
        <w:tc>
          <w:tcPr>
            <w:tcW w:w="570" w:type="pct"/>
            <w:tcBorders>
              <w:top w:val="single" w:sz="4" w:space="0" w:color="auto"/>
              <w:left w:val="nil"/>
              <w:bottom w:val="single" w:sz="4" w:space="0" w:color="auto"/>
              <w:right w:val="nil"/>
            </w:tcBorders>
            <w:vAlign w:val="center"/>
            <w:hideMark/>
          </w:tcPr>
          <w:p w14:paraId="666BB3E1" w14:textId="77777777" w:rsidR="00032E88" w:rsidRPr="00361437" w:rsidRDefault="00032E88" w:rsidP="00032E88">
            <w:pPr>
              <w:spacing w:line="256" w:lineRule="auto"/>
              <w:jc w:val="center"/>
              <w:rPr>
                <w:rFonts w:ascii="Arial" w:eastAsia="Times New Roman" w:hAnsi="Arial" w:cs="Arial"/>
                <w:sz w:val="18"/>
              </w:rPr>
            </w:pPr>
            <w:r w:rsidRPr="00361437">
              <w:rPr>
                <w:rFonts w:ascii="Arial" w:eastAsia="Times New Roman" w:hAnsi="Arial" w:cs="Arial"/>
                <w:i/>
                <w:sz w:val="18"/>
              </w:rPr>
              <w:t>p</w:t>
            </w:r>
            <w:r w:rsidRPr="00361437">
              <w:rPr>
                <w:rFonts w:ascii="Arial" w:eastAsia="Times New Roman" w:hAnsi="Arial" w:cs="Arial"/>
                <w:sz w:val="18"/>
              </w:rPr>
              <w:t>-value</w:t>
            </w:r>
          </w:p>
        </w:tc>
      </w:tr>
      <w:tr w:rsidR="00032E88" w:rsidRPr="00361437" w14:paraId="1FE8DD0A" w14:textId="77777777" w:rsidTr="00DC2331">
        <w:tc>
          <w:tcPr>
            <w:tcW w:w="1941" w:type="pct"/>
            <w:tcBorders>
              <w:top w:val="single" w:sz="4" w:space="0" w:color="auto"/>
              <w:left w:val="nil"/>
              <w:bottom w:val="single" w:sz="4" w:space="0" w:color="auto"/>
              <w:right w:val="nil"/>
            </w:tcBorders>
            <w:vAlign w:val="center"/>
            <w:hideMark/>
          </w:tcPr>
          <w:p w14:paraId="63C243F7" w14:textId="57646A6C" w:rsidR="00032E88" w:rsidRPr="00361437" w:rsidRDefault="00013673" w:rsidP="00032E88">
            <w:pPr>
              <w:spacing w:line="256" w:lineRule="auto"/>
              <w:rPr>
                <w:rFonts w:ascii="Arial" w:eastAsia="Times New Roman" w:hAnsi="Arial" w:cs="Arial"/>
                <w:sz w:val="20"/>
              </w:rPr>
            </w:pPr>
            <w:r w:rsidRPr="00361437">
              <w:rPr>
                <w:rFonts w:ascii="Arial" w:eastAsia="Times New Roman" w:hAnsi="Arial" w:cs="Arial"/>
                <w:sz w:val="18"/>
              </w:rPr>
              <w:t>VOTE_WITH_CREDITORS_(0,1)</w:t>
            </w:r>
          </w:p>
        </w:tc>
        <w:tc>
          <w:tcPr>
            <w:tcW w:w="469" w:type="pct"/>
            <w:tcBorders>
              <w:top w:val="single" w:sz="4" w:space="0" w:color="auto"/>
              <w:left w:val="nil"/>
              <w:bottom w:val="single" w:sz="4" w:space="0" w:color="auto"/>
              <w:right w:val="nil"/>
            </w:tcBorders>
            <w:noWrap/>
            <w:tcMar>
              <w:top w:w="0" w:type="dxa"/>
              <w:left w:w="43" w:type="dxa"/>
              <w:bottom w:w="0" w:type="dxa"/>
              <w:right w:w="43" w:type="dxa"/>
            </w:tcMar>
            <w:vAlign w:val="center"/>
            <w:hideMark/>
          </w:tcPr>
          <w:p w14:paraId="2EB63D90" w14:textId="36604771" w:rsidR="00032E88" w:rsidRPr="00361437" w:rsidRDefault="00655474" w:rsidP="00032E88">
            <w:pPr>
              <w:spacing w:line="256" w:lineRule="auto"/>
              <w:rPr>
                <w:rFonts w:ascii="Arial" w:eastAsia="Times New Roman" w:hAnsi="Arial" w:cs="Arial"/>
                <w:sz w:val="20"/>
              </w:rPr>
            </w:pPr>
            <w:r w:rsidRPr="00361437">
              <w:rPr>
                <w:rFonts w:ascii="Arial" w:eastAsia="Times New Roman" w:hAnsi="Arial" w:cs="Arial"/>
                <w:sz w:val="20"/>
              </w:rPr>
              <w:t>52,745</w:t>
            </w:r>
          </w:p>
        </w:tc>
        <w:tc>
          <w:tcPr>
            <w:tcW w:w="656" w:type="pct"/>
            <w:tcBorders>
              <w:top w:val="single" w:sz="4" w:space="0" w:color="auto"/>
              <w:left w:val="nil"/>
              <w:bottom w:val="single" w:sz="4" w:space="0" w:color="auto"/>
              <w:right w:val="nil"/>
            </w:tcBorders>
            <w:tcMar>
              <w:top w:w="0" w:type="dxa"/>
              <w:left w:w="43" w:type="dxa"/>
              <w:bottom w:w="0" w:type="dxa"/>
              <w:right w:w="43" w:type="dxa"/>
            </w:tcMar>
            <w:vAlign w:val="bottom"/>
            <w:hideMark/>
          </w:tcPr>
          <w:p w14:paraId="20648732" w14:textId="1ACD74C4" w:rsidR="00032E88" w:rsidRPr="00361437" w:rsidRDefault="00032E88" w:rsidP="00032E88">
            <w:pPr>
              <w:tabs>
                <w:tab w:val="decimal" w:pos="390"/>
              </w:tabs>
              <w:spacing w:line="256" w:lineRule="auto"/>
              <w:rPr>
                <w:rFonts w:ascii="Arial" w:eastAsia="Calibri" w:hAnsi="Arial" w:cs="Arial"/>
                <w:color w:val="000000"/>
                <w:sz w:val="20"/>
              </w:rPr>
            </w:pPr>
            <w:r w:rsidRPr="00361437">
              <w:rPr>
                <w:rFonts w:ascii="Arial" w:eastAsia="Calibri" w:hAnsi="Arial" w:cs="Arial"/>
                <w:color w:val="000000"/>
                <w:sz w:val="20"/>
              </w:rPr>
              <w:t>0.1</w:t>
            </w:r>
            <w:r w:rsidR="00A760E3" w:rsidRPr="00361437">
              <w:rPr>
                <w:rFonts w:ascii="Arial" w:eastAsia="Calibri" w:hAnsi="Arial" w:cs="Arial"/>
                <w:color w:val="000000"/>
                <w:sz w:val="20"/>
              </w:rPr>
              <w:t>504</w:t>
            </w:r>
            <w:r w:rsidRPr="00361437">
              <w:rPr>
                <w:rFonts w:ascii="Arial" w:eastAsia="Calibri" w:hAnsi="Arial" w:cs="Arial"/>
                <w:color w:val="000000"/>
                <w:sz w:val="20"/>
                <w:vertAlign w:val="superscript"/>
              </w:rPr>
              <w:t>**</w:t>
            </w:r>
          </w:p>
        </w:tc>
        <w:tc>
          <w:tcPr>
            <w:tcW w:w="573" w:type="pct"/>
            <w:tcBorders>
              <w:top w:val="single" w:sz="4" w:space="0" w:color="auto"/>
              <w:left w:val="nil"/>
              <w:bottom w:val="single" w:sz="4" w:space="0" w:color="auto"/>
              <w:right w:val="nil"/>
            </w:tcBorders>
            <w:tcMar>
              <w:top w:w="0" w:type="dxa"/>
              <w:left w:w="43" w:type="dxa"/>
              <w:bottom w:w="0" w:type="dxa"/>
              <w:right w:w="43" w:type="dxa"/>
            </w:tcMar>
            <w:vAlign w:val="bottom"/>
            <w:hideMark/>
          </w:tcPr>
          <w:p w14:paraId="4BA34063" w14:textId="7F08DFD1"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A760E3" w:rsidRPr="00361437">
              <w:rPr>
                <w:rFonts w:ascii="Arial" w:eastAsia="Calibri" w:hAnsi="Arial" w:cs="Arial"/>
                <w:color w:val="000000"/>
                <w:sz w:val="20"/>
              </w:rPr>
              <w:t>407</w:t>
            </w:r>
          </w:p>
        </w:tc>
        <w:tc>
          <w:tcPr>
            <w:tcW w:w="130" w:type="pct"/>
            <w:tcBorders>
              <w:top w:val="single" w:sz="4" w:space="0" w:color="auto"/>
              <w:left w:val="nil"/>
              <w:bottom w:val="single" w:sz="4" w:space="0" w:color="auto"/>
              <w:right w:val="nil"/>
            </w:tcBorders>
            <w:tcMar>
              <w:top w:w="0" w:type="dxa"/>
              <w:left w:w="43" w:type="dxa"/>
              <w:bottom w:w="0" w:type="dxa"/>
              <w:right w:w="43" w:type="dxa"/>
            </w:tcMar>
            <w:vAlign w:val="bottom"/>
          </w:tcPr>
          <w:p w14:paraId="50E9EAC8" w14:textId="77777777" w:rsidR="00032E88" w:rsidRPr="00361437" w:rsidRDefault="00032E88" w:rsidP="00032E88">
            <w:pPr>
              <w:tabs>
                <w:tab w:val="decimal" w:pos="252"/>
              </w:tabs>
              <w:spacing w:line="256" w:lineRule="auto"/>
              <w:rPr>
                <w:rFonts w:ascii="Arial" w:eastAsia="Calibri" w:hAnsi="Arial" w:cs="Arial"/>
                <w:color w:val="000000"/>
                <w:sz w:val="20"/>
              </w:rPr>
            </w:pPr>
          </w:p>
        </w:tc>
        <w:tc>
          <w:tcPr>
            <w:tcW w:w="661" w:type="pct"/>
            <w:tcBorders>
              <w:top w:val="single" w:sz="4" w:space="0" w:color="auto"/>
              <w:left w:val="nil"/>
              <w:bottom w:val="single" w:sz="4" w:space="0" w:color="auto"/>
              <w:right w:val="nil"/>
            </w:tcBorders>
            <w:tcMar>
              <w:top w:w="0" w:type="dxa"/>
              <w:left w:w="43" w:type="dxa"/>
              <w:bottom w:w="0" w:type="dxa"/>
              <w:right w:w="43" w:type="dxa"/>
            </w:tcMar>
            <w:vAlign w:val="bottom"/>
            <w:hideMark/>
          </w:tcPr>
          <w:p w14:paraId="38E0EC2C" w14:textId="5911A87C"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0.1</w:t>
            </w:r>
            <w:r w:rsidR="00AA248A" w:rsidRPr="00361437">
              <w:rPr>
                <w:rFonts w:ascii="Arial" w:eastAsia="Calibri" w:hAnsi="Arial" w:cs="Arial"/>
                <w:color w:val="000000"/>
                <w:sz w:val="20"/>
              </w:rPr>
              <w:t>696</w:t>
            </w:r>
            <w:r w:rsidRPr="00361437">
              <w:rPr>
                <w:rFonts w:ascii="Arial" w:eastAsia="Calibri" w:hAnsi="Arial" w:cs="Arial"/>
                <w:color w:val="000000"/>
                <w:sz w:val="20"/>
                <w:vertAlign w:val="superscript"/>
              </w:rPr>
              <w:t>**</w:t>
            </w:r>
          </w:p>
        </w:tc>
        <w:tc>
          <w:tcPr>
            <w:tcW w:w="570" w:type="pct"/>
            <w:tcBorders>
              <w:top w:val="single" w:sz="4" w:space="0" w:color="auto"/>
              <w:left w:val="nil"/>
              <w:bottom w:val="single" w:sz="4" w:space="0" w:color="auto"/>
              <w:right w:val="nil"/>
            </w:tcBorders>
            <w:vAlign w:val="bottom"/>
            <w:hideMark/>
          </w:tcPr>
          <w:p w14:paraId="27D134F2" w14:textId="6FBAE05F"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AA248A" w:rsidRPr="00361437">
              <w:rPr>
                <w:rFonts w:ascii="Arial" w:eastAsia="Calibri" w:hAnsi="Arial" w:cs="Arial"/>
                <w:color w:val="000000"/>
                <w:sz w:val="20"/>
              </w:rPr>
              <w:t>224</w:t>
            </w:r>
          </w:p>
        </w:tc>
      </w:tr>
    </w:tbl>
    <w:p w14:paraId="43749A28" w14:textId="77777777" w:rsidR="00032E88" w:rsidRPr="00361437" w:rsidRDefault="00032E88" w:rsidP="00032E88">
      <w:pPr>
        <w:rPr>
          <w:rFonts w:ascii="Arial" w:eastAsia="Calibri" w:hAnsi="Arial" w:cs="Arial"/>
          <w:sz w:val="6"/>
        </w:rPr>
      </w:pPr>
    </w:p>
    <w:p w14:paraId="6B4ABBFB" w14:textId="77777777" w:rsidR="00032E88" w:rsidRPr="00361437" w:rsidRDefault="00032E88" w:rsidP="00032E88">
      <w:pPr>
        <w:rPr>
          <w:rFonts w:ascii="Arial" w:eastAsia="Calibri" w:hAnsi="Arial" w:cs="Arial"/>
          <w:sz w:val="20"/>
        </w:rPr>
      </w:pPr>
    </w:p>
    <w:p w14:paraId="2D1A8904" w14:textId="77777777" w:rsidR="00032E88" w:rsidRPr="00361437" w:rsidRDefault="00032E88" w:rsidP="00032E88">
      <w:pPr>
        <w:rPr>
          <w:rFonts w:ascii="Arial" w:eastAsia="Calibri" w:hAnsi="Arial" w:cs="Arial"/>
          <w:sz w:val="20"/>
        </w:rPr>
      </w:pPr>
      <w:r w:rsidRPr="00361437">
        <w:rPr>
          <w:rFonts w:ascii="Arial" w:eastAsia="Calibri" w:hAnsi="Arial" w:cs="Arial"/>
          <w:sz w:val="20"/>
        </w:rPr>
        <w:br w:type="page"/>
      </w:r>
    </w:p>
    <w:p w14:paraId="6E07299B" w14:textId="77777777" w:rsidR="00032E88" w:rsidRPr="00361437" w:rsidRDefault="00032E88" w:rsidP="00032E88">
      <w:pPr>
        <w:rPr>
          <w:rFonts w:ascii="Arial" w:eastAsia="Calibri" w:hAnsi="Arial" w:cs="Arial"/>
          <w:sz w:val="10"/>
          <w:szCs w:val="12"/>
        </w:rPr>
      </w:pPr>
    </w:p>
    <w:tbl>
      <w:tblPr>
        <w:tblW w:w="5000" w:type="pct"/>
        <w:tblLook w:val="04A0" w:firstRow="1" w:lastRow="0" w:firstColumn="1" w:lastColumn="0" w:noHBand="0" w:noVBand="1"/>
      </w:tblPr>
      <w:tblGrid>
        <w:gridCol w:w="5851"/>
        <w:gridCol w:w="953"/>
        <w:gridCol w:w="1186"/>
        <w:gridCol w:w="1036"/>
      </w:tblGrid>
      <w:tr w:rsidR="00032E88" w:rsidRPr="00361437" w14:paraId="171B0C58" w14:textId="77777777" w:rsidTr="006F39AD">
        <w:trPr>
          <w:trHeight w:val="360"/>
        </w:trPr>
        <w:tc>
          <w:tcPr>
            <w:tcW w:w="5000" w:type="pct"/>
            <w:gridSpan w:val="4"/>
            <w:tcBorders>
              <w:left w:val="nil"/>
              <w:bottom w:val="nil"/>
              <w:right w:val="nil"/>
            </w:tcBorders>
            <w:noWrap/>
            <w:vAlign w:val="center"/>
            <w:hideMark/>
          </w:tcPr>
          <w:p w14:paraId="23D40045" w14:textId="77777777" w:rsidR="00032E88" w:rsidRPr="00361437" w:rsidRDefault="00032E88" w:rsidP="00032E88">
            <w:pPr>
              <w:spacing w:line="256" w:lineRule="auto"/>
              <w:rPr>
                <w:rFonts w:ascii="Arial" w:eastAsia="Times New Roman" w:hAnsi="Arial" w:cs="Arial"/>
                <w:i/>
                <w:sz w:val="20"/>
              </w:rPr>
            </w:pPr>
            <w:r w:rsidRPr="00361437">
              <w:rPr>
                <w:rFonts w:ascii="Arial" w:eastAsia="Times New Roman" w:hAnsi="Arial" w:cs="Arial"/>
                <w:i/>
                <w:sz w:val="20"/>
              </w:rPr>
              <w:t>Panel C: Including only fund families holding both debt and equity in the firm</w:t>
            </w:r>
          </w:p>
        </w:tc>
      </w:tr>
      <w:tr w:rsidR="00032E88" w:rsidRPr="00361437" w14:paraId="2E33E366" w14:textId="77777777" w:rsidTr="00032E88">
        <w:tc>
          <w:tcPr>
            <w:tcW w:w="3241" w:type="pct"/>
            <w:tcBorders>
              <w:top w:val="single" w:sz="4" w:space="0" w:color="auto"/>
              <w:left w:val="nil"/>
              <w:bottom w:val="single" w:sz="4" w:space="0" w:color="auto"/>
              <w:right w:val="nil"/>
            </w:tcBorders>
            <w:noWrap/>
            <w:vAlign w:val="center"/>
            <w:hideMark/>
          </w:tcPr>
          <w:p w14:paraId="03B54511" w14:textId="77777777" w:rsidR="00032E88" w:rsidRPr="00361437" w:rsidRDefault="00032E88" w:rsidP="00032E88">
            <w:pPr>
              <w:spacing w:line="256" w:lineRule="auto"/>
              <w:rPr>
                <w:rFonts w:ascii="Arial" w:eastAsia="Times New Roman" w:hAnsi="Arial" w:cs="Arial"/>
                <w:sz w:val="20"/>
              </w:rPr>
            </w:pPr>
            <w:r w:rsidRPr="00361437">
              <w:rPr>
                <w:rFonts w:ascii="Arial" w:eastAsia="Times New Roman" w:hAnsi="Arial" w:cs="Arial"/>
                <w:sz w:val="20"/>
              </w:rPr>
              <w:t>Summary statistics</w:t>
            </w:r>
          </w:p>
        </w:tc>
        <w:tc>
          <w:tcPr>
            <w:tcW w:w="528" w:type="pct"/>
            <w:tcBorders>
              <w:top w:val="single" w:sz="4" w:space="0" w:color="auto"/>
              <w:left w:val="nil"/>
              <w:bottom w:val="single" w:sz="4" w:space="0" w:color="auto"/>
              <w:right w:val="nil"/>
            </w:tcBorders>
            <w:vAlign w:val="center"/>
          </w:tcPr>
          <w:p w14:paraId="5C276063" w14:textId="77777777" w:rsidR="00032E88" w:rsidRPr="00361437" w:rsidRDefault="00032E88" w:rsidP="00032E88">
            <w:pPr>
              <w:spacing w:line="256" w:lineRule="auto"/>
              <w:jc w:val="center"/>
              <w:rPr>
                <w:rFonts w:ascii="Arial" w:eastAsia="Times New Roman" w:hAnsi="Arial" w:cs="Arial"/>
                <w:sz w:val="20"/>
              </w:rPr>
            </w:pPr>
          </w:p>
        </w:tc>
        <w:tc>
          <w:tcPr>
            <w:tcW w:w="657" w:type="pct"/>
            <w:tcBorders>
              <w:top w:val="single" w:sz="4" w:space="0" w:color="auto"/>
              <w:left w:val="nil"/>
              <w:bottom w:val="single" w:sz="4" w:space="0" w:color="auto"/>
              <w:right w:val="nil"/>
            </w:tcBorders>
            <w:vAlign w:val="center"/>
            <w:hideMark/>
          </w:tcPr>
          <w:p w14:paraId="6DA98D2E"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color w:val="000000"/>
                <w:sz w:val="20"/>
                <w:lang w:eastAsia="en-GB"/>
              </w:rPr>
              <w:t>N</w:t>
            </w:r>
          </w:p>
        </w:tc>
        <w:tc>
          <w:tcPr>
            <w:tcW w:w="574" w:type="pct"/>
            <w:tcBorders>
              <w:top w:val="single" w:sz="4" w:space="0" w:color="auto"/>
              <w:left w:val="nil"/>
              <w:bottom w:val="single" w:sz="4" w:space="0" w:color="auto"/>
              <w:right w:val="nil"/>
            </w:tcBorders>
            <w:vAlign w:val="center"/>
            <w:hideMark/>
          </w:tcPr>
          <w:p w14:paraId="1C9A0809" w14:textId="777777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Mean</w:t>
            </w:r>
          </w:p>
          <w:p w14:paraId="5C331184"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color w:val="000000"/>
                <w:sz w:val="20"/>
                <w:lang w:eastAsia="en-GB"/>
              </w:rPr>
              <w:t>[Median]</w:t>
            </w:r>
          </w:p>
        </w:tc>
      </w:tr>
      <w:tr w:rsidR="00032E88" w:rsidRPr="00361437" w14:paraId="31A8948C" w14:textId="77777777" w:rsidTr="00032E88">
        <w:tc>
          <w:tcPr>
            <w:tcW w:w="3241" w:type="pct"/>
            <w:noWrap/>
            <w:hideMark/>
          </w:tcPr>
          <w:p w14:paraId="17A78FDB" w14:textId="11573579" w:rsidR="00032E88" w:rsidRPr="00361437" w:rsidRDefault="009F6C4A" w:rsidP="00032E88">
            <w:pPr>
              <w:spacing w:line="256" w:lineRule="auto"/>
              <w:ind w:left="360" w:hanging="360"/>
              <w:contextualSpacing/>
              <w:rPr>
                <w:rFonts w:ascii="Arial" w:eastAsia="Times New Roman" w:hAnsi="Arial" w:cs="Arial"/>
                <w:sz w:val="20"/>
              </w:rPr>
            </w:pPr>
            <w:r w:rsidRPr="00361437">
              <w:rPr>
                <w:rFonts w:ascii="Arial" w:eastAsia="Times New Roman" w:hAnsi="Arial" w:cs="Arial"/>
                <w:color w:val="000000"/>
                <w:sz w:val="18"/>
                <w:lang w:eastAsia="en-GB"/>
              </w:rPr>
              <w:t>FAMILY_DEBT_FRACTION</w:t>
            </w:r>
            <w:r w:rsidR="00032E88" w:rsidRPr="00361437">
              <w:rPr>
                <w:rFonts w:ascii="Arial" w:eastAsia="Times New Roman" w:hAnsi="Arial" w:cs="Arial"/>
                <w:color w:val="000000"/>
                <w:sz w:val="20"/>
                <w:lang w:eastAsia="en-GB"/>
              </w:rPr>
              <w:t xml:space="preserve"> </w:t>
            </w:r>
          </w:p>
        </w:tc>
        <w:tc>
          <w:tcPr>
            <w:tcW w:w="528" w:type="pct"/>
          </w:tcPr>
          <w:p w14:paraId="12468932" w14:textId="77777777" w:rsidR="00032E88" w:rsidRPr="00361437" w:rsidRDefault="00032E88" w:rsidP="00032E88">
            <w:pPr>
              <w:spacing w:line="256" w:lineRule="auto"/>
              <w:rPr>
                <w:rFonts w:ascii="Arial" w:eastAsia="Times New Roman" w:hAnsi="Arial" w:cs="Arial"/>
                <w:sz w:val="20"/>
              </w:rPr>
            </w:pPr>
          </w:p>
        </w:tc>
        <w:tc>
          <w:tcPr>
            <w:tcW w:w="657" w:type="pct"/>
            <w:tcMar>
              <w:top w:w="0" w:type="dxa"/>
              <w:left w:w="14" w:type="dxa"/>
              <w:bottom w:w="0" w:type="dxa"/>
              <w:right w:w="14" w:type="dxa"/>
            </w:tcMar>
            <w:hideMark/>
          </w:tcPr>
          <w:p w14:paraId="370A0554" w14:textId="64EBED1C" w:rsidR="00032E88" w:rsidRPr="00361437" w:rsidRDefault="00032E88" w:rsidP="00032E88">
            <w:pPr>
              <w:tabs>
                <w:tab w:val="decimal" w:pos="390"/>
              </w:tabs>
              <w:spacing w:line="256" w:lineRule="auto"/>
              <w:jc w:val="center"/>
              <w:rPr>
                <w:rFonts w:ascii="Arial" w:eastAsia="Calibri" w:hAnsi="Arial" w:cs="Arial"/>
                <w:color w:val="000000"/>
                <w:sz w:val="20"/>
              </w:rPr>
            </w:pPr>
            <w:r w:rsidRPr="00361437">
              <w:rPr>
                <w:rFonts w:ascii="Arial" w:eastAsia="Times New Roman" w:hAnsi="Arial" w:cs="Arial"/>
                <w:color w:val="000000"/>
                <w:sz w:val="20"/>
                <w:lang w:eastAsia="en-GB"/>
              </w:rPr>
              <w:t>7,</w:t>
            </w:r>
            <w:r w:rsidR="002F5595" w:rsidRPr="00361437">
              <w:rPr>
                <w:rFonts w:ascii="Arial" w:eastAsia="Times New Roman" w:hAnsi="Arial" w:cs="Arial"/>
                <w:color w:val="000000"/>
                <w:sz w:val="20"/>
                <w:lang w:eastAsia="en-GB"/>
              </w:rPr>
              <w:t>136</w:t>
            </w:r>
          </w:p>
        </w:tc>
        <w:tc>
          <w:tcPr>
            <w:tcW w:w="574" w:type="pct"/>
            <w:hideMark/>
          </w:tcPr>
          <w:p w14:paraId="167B29E8" w14:textId="679D3177"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0.29</w:t>
            </w:r>
            <w:r w:rsidR="002F5595" w:rsidRPr="00361437">
              <w:rPr>
                <w:rFonts w:ascii="Arial" w:eastAsia="Times New Roman" w:hAnsi="Arial" w:cs="Arial"/>
                <w:color w:val="000000"/>
                <w:sz w:val="20"/>
                <w:lang w:eastAsia="en-GB"/>
              </w:rPr>
              <w:t>45</w:t>
            </w:r>
          </w:p>
          <w:p w14:paraId="0E035A36" w14:textId="7C067658" w:rsidR="00032E88" w:rsidRPr="00361437" w:rsidRDefault="00032E88" w:rsidP="00032E88">
            <w:pPr>
              <w:spacing w:line="256" w:lineRule="auto"/>
              <w:jc w:val="center"/>
              <w:rPr>
                <w:rFonts w:ascii="Arial" w:eastAsia="Calibri" w:hAnsi="Arial" w:cs="Arial"/>
                <w:color w:val="000000"/>
                <w:sz w:val="20"/>
              </w:rPr>
            </w:pPr>
            <w:r w:rsidRPr="00361437">
              <w:rPr>
                <w:rFonts w:ascii="Arial" w:eastAsia="Times New Roman" w:hAnsi="Arial" w:cs="Arial"/>
                <w:color w:val="000000"/>
                <w:sz w:val="20"/>
                <w:lang w:eastAsia="en-GB"/>
              </w:rPr>
              <w:t>[0.14</w:t>
            </w:r>
            <w:r w:rsidR="002F5595" w:rsidRPr="00361437">
              <w:rPr>
                <w:rFonts w:ascii="Arial" w:eastAsia="Times New Roman" w:hAnsi="Arial" w:cs="Arial"/>
                <w:color w:val="000000"/>
                <w:sz w:val="20"/>
                <w:lang w:eastAsia="en-GB"/>
              </w:rPr>
              <w:t>8</w:t>
            </w:r>
            <w:r w:rsidRPr="00361437">
              <w:rPr>
                <w:rFonts w:ascii="Arial" w:eastAsia="Times New Roman" w:hAnsi="Arial" w:cs="Arial"/>
                <w:color w:val="000000"/>
                <w:sz w:val="20"/>
                <w:lang w:eastAsia="en-GB"/>
              </w:rPr>
              <w:t>9]</w:t>
            </w:r>
          </w:p>
        </w:tc>
      </w:tr>
      <w:tr w:rsidR="00032E88" w:rsidRPr="00361437" w14:paraId="04C1B003" w14:textId="77777777" w:rsidTr="00327A66">
        <w:tc>
          <w:tcPr>
            <w:tcW w:w="3241" w:type="pct"/>
            <w:tcBorders>
              <w:top w:val="single" w:sz="4" w:space="0" w:color="auto"/>
              <w:left w:val="nil"/>
              <w:bottom w:val="nil"/>
              <w:right w:val="nil"/>
            </w:tcBorders>
            <w:noWrap/>
            <w:vAlign w:val="center"/>
            <w:hideMark/>
          </w:tcPr>
          <w:p w14:paraId="2B578AEA" w14:textId="77777777" w:rsidR="00032E88" w:rsidRPr="00361437" w:rsidRDefault="00032E88" w:rsidP="00032E88">
            <w:pPr>
              <w:spacing w:line="256" w:lineRule="auto"/>
              <w:rPr>
                <w:rFonts w:ascii="Arial" w:eastAsia="Times New Roman" w:hAnsi="Arial" w:cs="Arial"/>
                <w:sz w:val="20"/>
              </w:rPr>
            </w:pPr>
            <w:r w:rsidRPr="00361437">
              <w:rPr>
                <w:rFonts w:ascii="Arial" w:eastAsia="Times New Roman" w:hAnsi="Arial" w:cs="Arial"/>
                <w:sz w:val="20"/>
              </w:rPr>
              <w:t xml:space="preserve">Regression coefficient and </w:t>
            </w:r>
            <w:r w:rsidRPr="00361437">
              <w:rPr>
                <w:rFonts w:ascii="Arial" w:eastAsia="Times New Roman" w:hAnsi="Arial" w:cs="Arial"/>
                <w:i/>
                <w:sz w:val="20"/>
              </w:rPr>
              <w:t>p</w:t>
            </w:r>
            <w:r w:rsidRPr="00361437">
              <w:rPr>
                <w:rFonts w:ascii="Arial" w:eastAsia="Times New Roman" w:hAnsi="Arial" w:cs="Arial"/>
                <w:sz w:val="20"/>
              </w:rPr>
              <w:t xml:space="preserve">-value for </w:t>
            </w:r>
          </w:p>
          <w:p w14:paraId="5878F47E" w14:textId="143EDBF6" w:rsidR="00032E88" w:rsidRPr="00361437" w:rsidRDefault="009F6C4A" w:rsidP="00032E88">
            <w:pPr>
              <w:spacing w:line="256" w:lineRule="auto"/>
              <w:rPr>
                <w:rFonts w:ascii="Arial" w:eastAsia="Times New Roman" w:hAnsi="Arial" w:cs="Arial"/>
                <w:sz w:val="20"/>
              </w:rPr>
            </w:pPr>
            <w:r w:rsidRPr="00361437">
              <w:rPr>
                <w:rFonts w:ascii="Arial" w:eastAsia="Times New Roman" w:hAnsi="Arial" w:cs="Arial"/>
                <w:sz w:val="18"/>
              </w:rPr>
              <w:t>FAMILY_DEBT_FRACTION × DISTRESS_(0,1)</w:t>
            </w:r>
          </w:p>
        </w:tc>
        <w:tc>
          <w:tcPr>
            <w:tcW w:w="528" w:type="pct"/>
            <w:tcBorders>
              <w:top w:val="single" w:sz="4" w:space="0" w:color="auto"/>
              <w:left w:val="nil"/>
              <w:bottom w:val="nil"/>
              <w:right w:val="nil"/>
            </w:tcBorders>
            <w:vAlign w:val="center"/>
          </w:tcPr>
          <w:p w14:paraId="33487C89" w14:textId="77777777" w:rsidR="00032E88" w:rsidRPr="00361437" w:rsidRDefault="00032E88" w:rsidP="00032E88">
            <w:pPr>
              <w:spacing w:line="256" w:lineRule="auto"/>
              <w:rPr>
                <w:rFonts w:ascii="Arial" w:eastAsia="Times New Roman" w:hAnsi="Arial" w:cs="Arial"/>
                <w:sz w:val="20"/>
              </w:rPr>
            </w:pPr>
          </w:p>
          <w:p w14:paraId="7EDE69C9" w14:textId="77777777" w:rsidR="00032E88" w:rsidRPr="00361437" w:rsidRDefault="00032E88" w:rsidP="00032E88">
            <w:pPr>
              <w:spacing w:line="256" w:lineRule="auto"/>
              <w:rPr>
                <w:rFonts w:ascii="Arial" w:eastAsia="Times New Roman" w:hAnsi="Arial" w:cs="Arial"/>
                <w:sz w:val="20"/>
              </w:rPr>
            </w:pPr>
          </w:p>
        </w:tc>
        <w:tc>
          <w:tcPr>
            <w:tcW w:w="1231" w:type="pct"/>
            <w:gridSpan w:val="2"/>
            <w:tcBorders>
              <w:top w:val="single" w:sz="4" w:space="0" w:color="auto"/>
              <w:left w:val="nil"/>
              <w:bottom w:val="single" w:sz="4" w:space="0" w:color="auto"/>
              <w:right w:val="nil"/>
            </w:tcBorders>
            <w:vAlign w:val="center"/>
          </w:tcPr>
          <w:p w14:paraId="358D31F1" w14:textId="6EA7AA6C" w:rsidR="00032E88" w:rsidRPr="00361437" w:rsidRDefault="00032E88" w:rsidP="00032E88">
            <w:pPr>
              <w:spacing w:line="256" w:lineRule="auto"/>
              <w:jc w:val="center"/>
              <w:rPr>
                <w:rFonts w:ascii="Arial" w:eastAsia="Times New Roman" w:hAnsi="Arial" w:cs="Arial"/>
                <w:sz w:val="20"/>
              </w:rPr>
            </w:pPr>
          </w:p>
        </w:tc>
      </w:tr>
      <w:tr w:rsidR="00032E88" w:rsidRPr="00361437" w14:paraId="04491F09" w14:textId="77777777" w:rsidTr="006F39AD">
        <w:tc>
          <w:tcPr>
            <w:tcW w:w="3241" w:type="pct"/>
            <w:tcBorders>
              <w:top w:val="nil"/>
              <w:left w:val="nil"/>
              <w:bottom w:val="single" w:sz="4" w:space="0" w:color="auto"/>
              <w:right w:val="nil"/>
            </w:tcBorders>
            <w:noWrap/>
            <w:vAlign w:val="center"/>
          </w:tcPr>
          <w:p w14:paraId="158A252E" w14:textId="77777777" w:rsidR="00032E88" w:rsidRPr="00361437" w:rsidRDefault="00032E88" w:rsidP="00032E88">
            <w:pPr>
              <w:spacing w:line="256" w:lineRule="auto"/>
              <w:rPr>
                <w:rFonts w:ascii="Arial" w:eastAsia="Times New Roman" w:hAnsi="Arial" w:cs="Arial"/>
                <w:sz w:val="20"/>
              </w:rPr>
            </w:pPr>
          </w:p>
        </w:tc>
        <w:tc>
          <w:tcPr>
            <w:tcW w:w="528" w:type="pct"/>
            <w:tcBorders>
              <w:top w:val="nil"/>
              <w:left w:val="nil"/>
              <w:bottom w:val="single" w:sz="4" w:space="0" w:color="auto"/>
              <w:right w:val="nil"/>
            </w:tcBorders>
            <w:vAlign w:val="center"/>
            <w:hideMark/>
          </w:tcPr>
          <w:p w14:paraId="6FC11120"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N</w:t>
            </w:r>
          </w:p>
        </w:tc>
        <w:tc>
          <w:tcPr>
            <w:tcW w:w="657" w:type="pct"/>
            <w:tcBorders>
              <w:top w:val="single" w:sz="4" w:space="0" w:color="auto"/>
              <w:left w:val="nil"/>
              <w:bottom w:val="single" w:sz="4" w:space="0" w:color="auto"/>
              <w:right w:val="nil"/>
            </w:tcBorders>
            <w:vAlign w:val="center"/>
            <w:hideMark/>
          </w:tcPr>
          <w:p w14:paraId="5CBAFA66"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574" w:type="pct"/>
            <w:tcBorders>
              <w:top w:val="single" w:sz="4" w:space="0" w:color="auto"/>
              <w:left w:val="nil"/>
              <w:bottom w:val="single" w:sz="4" w:space="0" w:color="auto"/>
              <w:right w:val="nil"/>
            </w:tcBorders>
            <w:vAlign w:val="center"/>
            <w:hideMark/>
          </w:tcPr>
          <w:p w14:paraId="0C250BFA"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r>
      <w:tr w:rsidR="00032E88" w:rsidRPr="00361437" w14:paraId="2E5C120E" w14:textId="77777777" w:rsidTr="006F39AD">
        <w:tc>
          <w:tcPr>
            <w:tcW w:w="3241" w:type="pct"/>
            <w:tcBorders>
              <w:top w:val="single" w:sz="4" w:space="0" w:color="auto"/>
              <w:bottom w:val="single" w:sz="4" w:space="0" w:color="auto"/>
            </w:tcBorders>
            <w:noWrap/>
            <w:vAlign w:val="center"/>
            <w:hideMark/>
          </w:tcPr>
          <w:p w14:paraId="04384C01" w14:textId="7DA83C5E" w:rsidR="00032E88" w:rsidRPr="00361437" w:rsidRDefault="00013673" w:rsidP="00032E88">
            <w:pPr>
              <w:spacing w:line="256" w:lineRule="auto"/>
              <w:rPr>
                <w:rFonts w:ascii="Arial" w:eastAsia="Times New Roman" w:hAnsi="Arial" w:cs="Arial"/>
                <w:sz w:val="20"/>
              </w:rPr>
            </w:pPr>
            <w:r w:rsidRPr="00361437">
              <w:rPr>
                <w:rFonts w:ascii="Arial" w:eastAsia="Times New Roman" w:hAnsi="Arial" w:cs="Arial"/>
                <w:sz w:val="18"/>
              </w:rPr>
              <w:t>VOTE_WITH_CREDITORS_(0,1)</w:t>
            </w:r>
          </w:p>
        </w:tc>
        <w:tc>
          <w:tcPr>
            <w:tcW w:w="528" w:type="pct"/>
            <w:tcBorders>
              <w:top w:val="single" w:sz="4" w:space="0" w:color="auto"/>
              <w:bottom w:val="single" w:sz="4" w:space="0" w:color="auto"/>
            </w:tcBorders>
            <w:vAlign w:val="center"/>
            <w:hideMark/>
          </w:tcPr>
          <w:p w14:paraId="7EC86A85" w14:textId="2F755BCD" w:rsidR="00032E88" w:rsidRPr="00361437" w:rsidRDefault="00032E88" w:rsidP="00032E88">
            <w:pPr>
              <w:spacing w:line="256" w:lineRule="auto"/>
              <w:rPr>
                <w:rFonts w:ascii="Arial" w:eastAsia="Times New Roman" w:hAnsi="Arial" w:cs="Arial"/>
                <w:sz w:val="20"/>
              </w:rPr>
            </w:pPr>
            <w:r w:rsidRPr="00361437">
              <w:rPr>
                <w:rFonts w:ascii="Arial" w:eastAsia="Times New Roman" w:hAnsi="Arial" w:cs="Arial"/>
                <w:sz w:val="20"/>
              </w:rPr>
              <w:t>7,</w:t>
            </w:r>
            <w:r w:rsidR="003E5AE5" w:rsidRPr="00361437">
              <w:rPr>
                <w:rFonts w:ascii="Arial" w:eastAsia="Times New Roman" w:hAnsi="Arial" w:cs="Arial"/>
                <w:sz w:val="20"/>
              </w:rPr>
              <w:t>136</w:t>
            </w:r>
          </w:p>
        </w:tc>
        <w:tc>
          <w:tcPr>
            <w:tcW w:w="657" w:type="pct"/>
            <w:tcBorders>
              <w:top w:val="single" w:sz="4" w:space="0" w:color="auto"/>
              <w:bottom w:val="single" w:sz="4" w:space="0" w:color="auto"/>
            </w:tcBorders>
            <w:tcMar>
              <w:top w:w="0" w:type="dxa"/>
              <w:left w:w="14" w:type="dxa"/>
              <w:bottom w:w="0" w:type="dxa"/>
              <w:right w:w="14" w:type="dxa"/>
            </w:tcMar>
            <w:vAlign w:val="bottom"/>
            <w:hideMark/>
          </w:tcPr>
          <w:p w14:paraId="69AB7E4E" w14:textId="665A9C84" w:rsidR="00032E88" w:rsidRPr="00361437" w:rsidRDefault="00032E88" w:rsidP="00032E88">
            <w:pPr>
              <w:tabs>
                <w:tab w:val="decimal" w:pos="390"/>
              </w:tabs>
              <w:spacing w:line="256" w:lineRule="auto"/>
              <w:rPr>
                <w:rFonts w:ascii="Arial" w:eastAsia="Calibri" w:hAnsi="Arial" w:cs="Arial"/>
                <w:color w:val="000000"/>
                <w:sz w:val="20"/>
              </w:rPr>
            </w:pPr>
            <w:r w:rsidRPr="00361437">
              <w:rPr>
                <w:rFonts w:ascii="Arial" w:eastAsia="Calibri" w:hAnsi="Arial" w:cs="Arial"/>
                <w:color w:val="000000"/>
                <w:sz w:val="20"/>
              </w:rPr>
              <w:t>0.1</w:t>
            </w:r>
            <w:r w:rsidR="00A760E3" w:rsidRPr="00361437">
              <w:rPr>
                <w:rFonts w:ascii="Arial" w:eastAsia="Calibri" w:hAnsi="Arial" w:cs="Arial"/>
                <w:color w:val="000000"/>
                <w:sz w:val="20"/>
              </w:rPr>
              <w:t>927</w:t>
            </w:r>
            <w:r w:rsidRPr="00361437">
              <w:rPr>
                <w:rFonts w:ascii="Arial" w:eastAsia="Calibri" w:hAnsi="Arial" w:cs="Arial"/>
                <w:color w:val="000000"/>
                <w:sz w:val="20"/>
                <w:vertAlign w:val="superscript"/>
              </w:rPr>
              <w:t>**</w:t>
            </w:r>
          </w:p>
        </w:tc>
        <w:tc>
          <w:tcPr>
            <w:tcW w:w="574" w:type="pct"/>
            <w:tcBorders>
              <w:top w:val="single" w:sz="4" w:space="0" w:color="auto"/>
              <w:bottom w:val="single" w:sz="4" w:space="0" w:color="auto"/>
            </w:tcBorders>
            <w:vAlign w:val="bottom"/>
            <w:hideMark/>
          </w:tcPr>
          <w:p w14:paraId="73195844" w14:textId="48900E2D"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0.01</w:t>
            </w:r>
            <w:r w:rsidR="00A760E3" w:rsidRPr="00361437">
              <w:rPr>
                <w:rFonts w:ascii="Arial" w:eastAsia="Calibri" w:hAnsi="Arial" w:cs="Arial"/>
                <w:color w:val="000000"/>
                <w:sz w:val="20"/>
              </w:rPr>
              <w:t>24</w:t>
            </w:r>
          </w:p>
        </w:tc>
      </w:tr>
    </w:tbl>
    <w:p w14:paraId="1D2D658D" w14:textId="77777777" w:rsidR="00032E88" w:rsidRPr="00361437" w:rsidRDefault="00032E88" w:rsidP="00032E88">
      <w:pPr>
        <w:rPr>
          <w:rFonts w:ascii="Arial" w:eastAsia="Calibri" w:hAnsi="Arial" w:cs="Arial"/>
          <w:sz w:val="6"/>
        </w:rPr>
      </w:pPr>
    </w:p>
    <w:p w14:paraId="719D8A1E" w14:textId="77777777" w:rsidR="00032E88" w:rsidRPr="00361437" w:rsidRDefault="00032E88" w:rsidP="00032E88">
      <w:pPr>
        <w:rPr>
          <w:rFonts w:ascii="Arial" w:eastAsia="Calibri" w:hAnsi="Arial" w:cs="Arial"/>
          <w:sz w:val="6"/>
        </w:rPr>
      </w:pPr>
    </w:p>
    <w:tbl>
      <w:tblPr>
        <w:tblW w:w="5000" w:type="pct"/>
        <w:tblLook w:val="04A0" w:firstRow="1" w:lastRow="0" w:firstColumn="1" w:lastColumn="0" w:noHBand="0" w:noVBand="1"/>
      </w:tblPr>
      <w:tblGrid>
        <w:gridCol w:w="5490"/>
        <w:gridCol w:w="989"/>
        <w:gridCol w:w="1350"/>
        <w:gridCol w:w="1197"/>
      </w:tblGrid>
      <w:tr w:rsidR="00032E88" w:rsidRPr="00361437" w14:paraId="7FFF150A" w14:textId="77777777" w:rsidTr="006F39AD">
        <w:trPr>
          <w:trHeight w:val="360"/>
        </w:trPr>
        <w:tc>
          <w:tcPr>
            <w:tcW w:w="5000" w:type="pct"/>
            <w:gridSpan w:val="4"/>
            <w:tcBorders>
              <w:left w:val="nil"/>
              <w:bottom w:val="nil"/>
              <w:right w:val="nil"/>
            </w:tcBorders>
            <w:noWrap/>
            <w:vAlign w:val="center"/>
            <w:hideMark/>
          </w:tcPr>
          <w:p w14:paraId="43C88E12" w14:textId="77777777" w:rsidR="00032E88" w:rsidRPr="00361437" w:rsidRDefault="00032E88" w:rsidP="00032E88">
            <w:pPr>
              <w:spacing w:line="256" w:lineRule="auto"/>
              <w:rPr>
                <w:rFonts w:ascii="Arial" w:eastAsia="Times New Roman" w:hAnsi="Arial" w:cs="Arial"/>
                <w:i/>
                <w:sz w:val="20"/>
              </w:rPr>
            </w:pPr>
            <w:r w:rsidRPr="00361437">
              <w:rPr>
                <w:rFonts w:ascii="Arial" w:eastAsia="Times New Roman" w:hAnsi="Arial" w:cs="Arial"/>
                <w:i/>
                <w:sz w:val="20"/>
              </w:rPr>
              <w:t>Panel D: Excluding financial companies</w:t>
            </w:r>
          </w:p>
        </w:tc>
      </w:tr>
      <w:tr w:rsidR="00032E88" w:rsidRPr="00361437" w14:paraId="0EEFE86E" w14:textId="77777777" w:rsidTr="00032E88">
        <w:tc>
          <w:tcPr>
            <w:tcW w:w="3041" w:type="pct"/>
            <w:tcBorders>
              <w:top w:val="single" w:sz="4" w:space="0" w:color="auto"/>
              <w:left w:val="nil"/>
              <w:bottom w:val="single" w:sz="4" w:space="0" w:color="auto"/>
              <w:right w:val="nil"/>
            </w:tcBorders>
            <w:noWrap/>
            <w:vAlign w:val="center"/>
            <w:hideMark/>
          </w:tcPr>
          <w:p w14:paraId="77D70BED" w14:textId="77777777" w:rsidR="00032E88" w:rsidRPr="00361437" w:rsidRDefault="00032E88" w:rsidP="00032E88">
            <w:pPr>
              <w:spacing w:line="256" w:lineRule="auto"/>
              <w:rPr>
                <w:rFonts w:ascii="Arial" w:eastAsia="Times New Roman" w:hAnsi="Arial" w:cs="Arial"/>
                <w:sz w:val="20"/>
              </w:rPr>
            </w:pPr>
            <w:r w:rsidRPr="00361437">
              <w:rPr>
                <w:rFonts w:ascii="Arial" w:eastAsia="Times New Roman" w:hAnsi="Arial" w:cs="Arial"/>
                <w:sz w:val="20"/>
              </w:rPr>
              <w:t>Summary statistics</w:t>
            </w:r>
          </w:p>
        </w:tc>
        <w:tc>
          <w:tcPr>
            <w:tcW w:w="548" w:type="pct"/>
            <w:tcBorders>
              <w:top w:val="single" w:sz="4" w:space="0" w:color="auto"/>
              <w:left w:val="nil"/>
              <w:bottom w:val="single" w:sz="4" w:space="0" w:color="auto"/>
              <w:right w:val="nil"/>
            </w:tcBorders>
            <w:vAlign w:val="center"/>
          </w:tcPr>
          <w:p w14:paraId="0FF18780" w14:textId="77777777" w:rsidR="00032E88" w:rsidRPr="00361437" w:rsidRDefault="00032E88" w:rsidP="00032E88">
            <w:pPr>
              <w:spacing w:line="256" w:lineRule="auto"/>
              <w:jc w:val="center"/>
              <w:rPr>
                <w:rFonts w:ascii="Arial" w:eastAsia="Times New Roman" w:hAnsi="Arial" w:cs="Arial"/>
                <w:sz w:val="20"/>
              </w:rPr>
            </w:pPr>
          </w:p>
        </w:tc>
        <w:tc>
          <w:tcPr>
            <w:tcW w:w="748" w:type="pct"/>
            <w:tcBorders>
              <w:top w:val="single" w:sz="4" w:space="0" w:color="auto"/>
              <w:left w:val="nil"/>
              <w:bottom w:val="single" w:sz="4" w:space="0" w:color="auto"/>
              <w:right w:val="nil"/>
            </w:tcBorders>
            <w:vAlign w:val="center"/>
            <w:hideMark/>
          </w:tcPr>
          <w:p w14:paraId="3FE7EB7A"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color w:val="000000"/>
                <w:sz w:val="20"/>
                <w:lang w:eastAsia="en-GB"/>
              </w:rPr>
              <w:t>N</w:t>
            </w:r>
          </w:p>
        </w:tc>
        <w:tc>
          <w:tcPr>
            <w:tcW w:w="663" w:type="pct"/>
            <w:tcBorders>
              <w:top w:val="single" w:sz="4" w:space="0" w:color="auto"/>
              <w:left w:val="nil"/>
              <w:bottom w:val="single" w:sz="4" w:space="0" w:color="auto"/>
              <w:right w:val="nil"/>
            </w:tcBorders>
            <w:vAlign w:val="center"/>
            <w:hideMark/>
          </w:tcPr>
          <w:p w14:paraId="3F418714" w14:textId="77777777" w:rsidR="00032E88" w:rsidRPr="00361437" w:rsidRDefault="00032E88" w:rsidP="00032E88">
            <w:pPr>
              <w:spacing w:line="256" w:lineRule="auto"/>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Mean</w:t>
            </w:r>
          </w:p>
          <w:p w14:paraId="4FE7E959"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color w:val="000000"/>
                <w:sz w:val="20"/>
                <w:lang w:eastAsia="en-GB"/>
              </w:rPr>
              <w:t>[Median]</w:t>
            </w:r>
          </w:p>
        </w:tc>
      </w:tr>
      <w:tr w:rsidR="00032E88" w:rsidRPr="00361437" w14:paraId="5E23813D" w14:textId="77777777" w:rsidTr="00032E88">
        <w:tc>
          <w:tcPr>
            <w:tcW w:w="3041" w:type="pct"/>
            <w:noWrap/>
            <w:hideMark/>
          </w:tcPr>
          <w:p w14:paraId="24B4896C" w14:textId="12A27C58" w:rsidR="00032E88" w:rsidRPr="00361437" w:rsidRDefault="009F6C4A" w:rsidP="00032E88">
            <w:pPr>
              <w:spacing w:line="256" w:lineRule="auto"/>
              <w:ind w:left="360" w:hanging="360"/>
              <w:contextualSpacing/>
              <w:rPr>
                <w:rFonts w:ascii="Arial" w:eastAsia="Times New Roman" w:hAnsi="Arial" w:cs="Arial"/>
                <w:sz w:val="20"/>
              </w:rPr>
            </w:pPr>
            <w:r w:rsidRPr="00361437">
              <w:rPr>
                <w:rFonts w:ascii="Arial" w:eastAsia="Times New Roman" w:hAnsi="Arial" w:cs="Arial"/>
                <w:color w:val="000000"/>
                <w:sz w:val="18"/>
                <w:lang w:eastAsia="en-GB"/>
              </w:rPr>
              <w:t>FAMILY_DEBT_FRACTION</w:t>
            </w:r>
            <w:r w:rsidR="00032E88" w:rsidRPr="00361437">
              <w:rPr>
                <w:rFonts w:ascii="Arial" w:eastAsia="Times New Roman" w:hAnsi="Arial" w:cs="Arial"/>
                <w:color w:val="000000"/>
                <w:sz w:val="20"/>
                <w:lang w:eastAsia="en-GB"/>
              </w:rPr>
              <w:t xml:space="preserve"> </w:t>
            </w:r>
            <w:r w:rsidR="00032E88" w:rsidRPr="00361437">
              <w:rPr>
                <w:rFonts w:ascii="Arial" w:eastAsia="Times New Roman" w:hAnsi="Arial" w:cs="Arial"/>
                <w:color w:val="000000"/>
                <w:sz w:val="20"/>
                <w:lang w:eastAsia="en-GB"/>
              </w:rPr>
              <w:br/>
            </w:r>
          </w:p>
        </w:tc>
        <w:tc>
          <w:tcPr>
            <w:tcW w:w="548" w:type="pct"/>
          </w:tcPr>
          <w:p w14:paraId="3D08B652" w14:textId="77777777" w:rsidR="00032E88" w:rsidRPr="00361437" w:rsidRDefault="00032E88" w:rsidP="00032E88">
            <w:pPr>
              <w:spacing w:line="256" w:lineRule="auto"/>
              <w:rPr>
                <w:rFonts w:ascii="Arial" w:eastAsia="Times New Roman" w:hAnsi="Arial" w:cs="Arial"/>
                <w:sz w:val="20"/>
              </w:rPr>
            </w:pPr>
          </w:p>
        </w:tc>
        <w:tc>
          <w:tcPr>
            <w:tcW w:w="748" w:type="pct"/>
            <w:tcMar>
              <w:top w:w="0" w:type="dxa"/>
              <w:left w:w="14" w:type="dxa"/>
              <w:bottom w:w="0" w:type="dxa"/>
              <w:right w:w="14" w:type="dxa"/>
            </w:tcMar>
            <w:hideMark/>
          </w:tcPr>
          <w:p w14:paraId="12474993" w14:textId="2F3DB23F" w:rsidR="00032E88" w:rsidRPr="00361437" w:rsidRDefault="00032E88" w:rsidP="00032E88">
            <w:pPr>
              <w:tabs>
                <w:tab w:val="decimal" w:pos="390"/>
              </w:tabs>
              <w:spacing w:line="256" w:lineRule="auto"/>
              <w:jc w:val="center"/>
              <w:rPr>
                <w:rFonts w:ascii="Arial" w:eastAsia="Calibri" w:hAnsi="Arial" w:cs="Arial"/>
                <w:color w:val="000000"/>
                <w:sz w:val="20"/>
              </w:rPr>
            </w:pPr>
            <w:r w:rsidRPr="00361437">
              <w:rPr>
                <w:rFonts w:ascii="Arial" w:eastAsia="Times New Roman" w:hAnsi="Arial" w:cs="Arial"/>
                <w:color w:val="000000"/>
                <w:sz w:val="20"/>
                <w:lang w:eastAsia="en-GB"/>
              </w:rPr>
              <w:t>4</w:t>
            </w:r>
            <w:r w:rsidR="00EC252D" w:rsidRPr="00361437">
              <w:rPr>
                <w:rFonts w:ascii="Arial" w:eastAsia="Times New Roman" w:hAnsi="Arial" w:cs="Arial"/>
                <w:color w:val="000000"/>
                <w:sz w:val="20"/>
                <w:lang w:eastAsia="en-GB"/>
              </w:rPr>
              <w:t>2</w:t>
            </w:r>
            <w:r w:rsidRPr="00361437">
              <w:rPr>
                <w:rFonts w:ascii="Arial" w:eastAsia="Times New Roman" w:hAnsi="Arial" w:cs="Arial"/>
                <w:color w:val="000000"/>
                <w:sz w:val="20"/>
                <w:lang w:eastAsia="en-GB"/>
              </w:rPr>
              <w:t>,</w:t>
            </w:r>
            <w:r w:rsidR="00EC252D" w:rsidRPr="00361437">
              <w:rPr>
                <w:rFonts w:ascii="Arial" w:eastAsia="Times New Roman" w:hAnsi="Arial" w:cs="Arial"/>
                <w:color w:val="000000"/>
                <w:sz w:val="20"/>
                <w:lang w:eastAsia="en-GB"/>
              </w:rPr>
              <w:t>681</w:t>
            </w:r>
          </w:p>
        </w:tc>
        <w:tc>
          <w:tcPr>
            <w:tcW w:w="663" w:type="pct"/>
            <w:hideMark/>
          </w:tcPr>
          <w:p w14:paraId="53DE4173" w14:textId="3447E210"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0.03</w:t>
            </w:r>
            <w:r w:rsidR="00EC252D" w:rsidRPr="00361437">
              <w:rPr>
                <w:rFonts w:ascii="Arial" w:eastAsia="Times New Roman" w:hAnsi="Arial" w:cs="Arial"/>
                <w:color w:val="000000"/>
                <w:sz w:val="20"/>
                <w:lang w:eastAsia="en-GB"/>
              </w:rPr>
              <w:t>90</w:t>
            </w:r>
          </w:p>
          <w:p w14:paraId="1081C9B3" w14:textId="77777777" w:rsidR="00032E88" w:rsidRPr="00361437" w:rsidRDefault="00032E88" w:rsidP="00032E88">
            <w:pPr>
              <w:spacing w:line="256" w:lineRule="auto"/>
              <w:jc w:val="center"/>
              <w:rPr>
                <w:rFonts w:ascii="Arial" w:eastAsia="Calibri" w:hAnsi="Arial" w:cs="Arial"/>
                <w:color w:val="000000"/>
                <w:sz w:val="20"/>
              </w:rPr>
            </w:pPr>
            <w:r w:rsidRPr="00361437">
              <w:rPr>
                <w:rFonts w:ascii="Arial" w:eastAsia="Times New Roman" w:hAnsi="Arial" w:cs="Arial"/>
                <w:color w:val="000000"/>
                <w:sz w:val="20"/>
                <w:lang w:eastAsia="en-GB"/>
              </w:rPr>
              <w:t>[0.0000]</w:t>
            </w:r>
          </w:p>
        </w:tc>
      </w:tr>
      <w:tr w:rsidR="00032E88" w:rsidRPr="00361437" w14:paraId="268EA2AF" w14:textId="77777777" w:rsidTr="00032E88">
        <w:tc>
          <w:tcPr>
            <w:tcW w:w="3041" w:type="pct"/>
            <w:noWrap/>
            <w:hideMark/>
          </w:tcPr>
          <w:p w14:paraId="1321D741" w14:textId="69AF538B" w:rsidR="00032E88" w:rsidRPr="00361437" w:rsidRDefault="009F6C4A" w:rsidP="00032E88">
            <w:pPr>
              <w:spacing w:line="256" w:lineRule="auto"/>
              <w:ind w:left="360" w:hanging="360"/>
              <w:contextualSpacing/>
              <w:rPr>
                <w:rFonts w:ascii="Arial" w:eastAsia="Times New Roman" w:hAnsi="Arial" w:cs="Arial"/>
                <w:sz w:val="20"/>
              </w:rPr>
            </w:pPr>
            <w:r w:rsidRPr="00361437">
              <w:rPr>
                <w:rFonts w:ascii="Arial" w:eastAsia="Times New Roman" w:hAnsi="Arial" w:cs="Arial"/>
                <w:color w:val="000000"/>
                <w:sz w:val="18"/>
                <w:lang w:eastAsia="en-GB"/>
              </w:rPr>
              <w:t>FAMILY_DEBT_FRACTION</w:t>
            </w:r>
            <w:r w:rsidR="00032E88" w:rsidRPr="00361437">
              <w:rPr>
                <w:rFonts w:ascii="Arial" w:eastAsia="Times New Roman" w:hAnsi="Arial" w:cs="Arial"/>
                <w:color w:val="000000"/>
                <w:sz w:val="20"/>
                <w:lang w:eastAsia="en-GB"/>
              </w:rPr>
              <w:t xml:space="preserve"> conditional on family debt holding</w:t>
            </w:r>
          </w:p>
        </w:tc>
        <w:tc>
          <w:tcPr>
            <w:tcW w:w="548" w:type="pct"/>
          </w:tcPr>
          <w:p w14:paraId="144BA724" w14:textId="77777777" w:rsidR="00032E88" w:rsidRPr="00361437" w:rsidRDefault="00032E88" w:rsidP="00032E88">
            <w:pPr>
              <w:spacing w:line="256" w:lineRule="auto"/>
              <w:rPr>
                <w:rFonts w:ascii="Arial" w:eastAsia="Times New Roman" w:hAnsi="Arial" w:cs="Arial"/>
                <w:sz w:val="20"/>
              </w:rPr>
            </w:pPr>
          </w:p>
        </w:tc>
        <w:tc>
          <w:tcPr>
            <w:tcW w:w="748" w:type="pct"/>
            <w:tcMar>
              <w:top w:w="0" w:type="dxa"/>
              <w:left w:w="14" w:type="dxa"/>
              <w:bottom w:w="0" w:type="dxa"/>
              <w:right w:w="14" w:type="dxa"/>
            </w:tcMar>
            <w:hideMark/>
          </w:tcPr>
          <w:p w14:paraId="3557D157" w14:textId="77777777" w:rsidR="00032E88" w:rsidRPr="00361437" w:rsidRDefault="00032E88" w:rsidP="00032E88">
            <w:pPr>
              <w:tabs>
                <w:tab w:val="decimal" w:pos="390"/>
              </w:tabs>
              <w:spacing w:line="256" w:lineRule="auto"/>
              <w:jc w:val="center"/>
              <w:rPr>
                <w:rFonts w:ascii="Arial" w:eastAsia="Calibri" w:hAnsi="Arial" w:cs="Arial"/>
                <w:color w:val="000000"/>
                <w:sz w:val="20"/>
              </w:rPr>
            </w:pPr>
            <w:r w:rsidRPr="00361437">
              <w:rPr>
                <w:rFonts w:ascii="Arial" w:eastAsia="Times New Roman" w:hAnsi="Arial" w:cs="Arial"/>
                <w:color w:val="000000"/>
                <w:sz w:val="20"/>
                <w:lang w:eastAsia="en-GB"/>
              </w:rPr>
              <w:t>5,586</w:t>
            </w:r>
          </w:p>
        </w:tc>
        <w:tc>
          <w:tcPr>
            <w:tcW w:w="663" w:type="pct"/>
            <w:hideMark/>
          </w:tcPr>
          <w:p w14:paraId="0506D877" w14:textId="201F2CC0"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w:t>
            </w:r>
            <w:r w:rsidR="000A0F2D" w:rsidRPr="00361437">
              <w:rPr>
                <w:rFonts w:ascii="Arial" w:eastAsia="Times New Roman" w:hAnsi="Arial" w:cs="Arial"/>
                <w:color w:val="000000"/>
                <w:sz w:val="20"/>
                <w:lang w:eastAsia="en-GB"/>
              </w:rPr>
              <w:t>2978</w:t>
            </w:r>
          </w:p>
          <w:p w14:paraId="72AB093F" w14:textId="20F6748E" w:rsidR="00032E88" w:rsidRPr="00361437" w:rsidRDefault="00032E88" w:rsidP="00032E88">
            <w:pPr>
              <w:spacing w:line="256" w:lineRule="auto"/>
              <w:jc w:val="center"/>
              <w:rPr>
                <w:rFonts w:ascii="Arial" w:eastAsia="Calibri" w:hAnsi="Arial" w:cs="Arial"/>
                <w:color w:val="000000"/>
                <w:sz w:val="20"/>
              </w:rPr>
            </w:pPr>
            <w:r w:rsidRPr="00361437">
              <w:rPr>
                <w:rFonts w:ascii="Arial" w:eastAsia="Times New Roman" w:hAnsi="Arial" w:cs="Arial"/>
                <w:color w:val="000000"/>
                <w:sz w:val="20"/>
                <w:lang w:eastAsia="en-GB"/>
              </w:rPr>
              <w:t>[0.15</w:t>
            </w:r>
            <w:r w:rsidR="000A0F2D" w:rsidRPr="00361437">
              <w:rPr>
                <w:rFonts w:ascii="Arial" w:eastAsia="Times New Roman" w:hAnsi="Arial" w:cs="Arial"/>
                <w:color w:val="000000"/>
                <w:sz w:val="20"/>
                <w:lang w:eastAsia="en-GB"/>
              </w:rPr>
              <w:t>09</w:t>
            </w:r>
            <w:r w:rsidRPr="00361437">
              <w:rPr>
                <w:rFonts w:ascii="Arial" w:eastAsia="Times New Roman" w:hAnsi="Arial" w:cs="Arial"/>
                <w:color w:val="000000"/>
                <w:sz w:val="20"/>
                <w:lang w:eastAsia="en-GB"/>
              </w:rPr>
              <w:t>]</w:t>
            </w:r>
          </w:p>
        </w:tc>
      </w:tr>
      <w:tr w:rsidR="00032E88" w:rsidRPr="00361437" w14:paraId="4BAA187D" w14:textId="77777777" w:rsidTr="00032E88">
        <w:tc>
          <w:tcPr>
            <w:tcW w:w="3041" w:type="pct"/>
            <w:tcBorders>
              <w:top w:val="single" w:sz="4" w:space="0" w:color="auto"/>
              <w:left w:val="nil"/>
              <w:bottom w:val="nil"/>
              <w:right w:val="nil"/>
            </w:tcBorders>
            <w:noWrap/>
            <w:vAlign w:val="center"/>
            <w:hideMark/>
          </w:tcPr>
          <w:p w14:paraId="4903E386" w14:textId="77777777" w:rsidR="00032E88" w:rsidRPr="00361437" w:rsidRDefault="00032E88" w:rsidP="00032E88">
            <w:pPr>
              <w:spacing w:line="256" w:lineRule="auto"/>
              <w:rPr>
                <w:rFonts w:ascii="Arial" w:eastAsia="Times New Roman" w:hAnsi="Arial" w:cs="Arial"/>
                <w:sz w:val="20"/>
              </w:rPr>
            </w:pPr>
            <w:r w:rsidRPr="00361437">
              <w:rPr>
                <w:rFonts w:ascii="Arial" w:eastAsia="Times New Roman" w:hAnsi="Arial" w:cs="Arial"/>
                <w:sz w:val="20"/>
              </w:rPr>
              <w:t xml:space="preserve">Regression coefficient and </w:t>
            </w:r>
            <w:r w:rsidRPr="00361437">
              <w:rPr>
                <w:rFonts w:ascii="Arial" w:eastAsia="Times New Roman" w:hAnsi="Arial" w:cs="Arial"/>
                <w:i/>
                <w:sz w:val="20"/>
              </w:rPr>
              <w:t>p</w:t>
            </w:r>
            <w:r w:rsidRPr="00361437">
              <w:rPr>
                <w:rFonts w:ascii="Arial" w:eastAsia="Times New Roman" w:hAnsi="Arial" w:cs="Arial"/>
                <w:sz w:val="20"/>
              </w:rPr>
              <w:t xml:space="preserve">-value for </w:t>
            </w:r>
          </w:p>
          <w:p w14:paraId="353C5E40" w14:textId="09413706" w:rsidR="00032E88" w:rsidRPr="00361437" w:rsidRDefault="009F6C4A" w:rsidP="00032E88">
            <w:pPr>
              <w:spacing w:line="256" w:lineRule="auto"/>
              <w:rPr>
                <w:rFonts w:ascii="Arial" w:eastAsia="Times New Roman" w:hAnsi="Arial" w:cs="Arial"/>
                <w:sz w:val="20"/>
              </w:rPr>
            </w:pPr>
            <w:r w:rsidRPr="00361437">
              <w:rPr>
                <w:rFonts w:ascii="Arial" w:eastAsia="Times New Roman" w:hAnsi="Arial" w:cs="Arial"/>
                <w:sz w:val="18"/>
              </w:rPr>
              <w:t>FAMILY_DEBT_FRACTION × DISTRESS_(0,1)</w:t>
            </w:r>
          </w:p>
        </w:tc>
        <w:tc>
          <w:tcPr>
            <w:tcW w:w="548" w:type="pct"/>
            <w:tcBorders>
              <w:top w:val="single" w:sz="4" w:space="0" w:color="auto"/>
              <w:left w:val="nil"/>
              <w:bottom w:val="nil"/>
              <w:right w:val="nil"/>
            </w:tcBorders>
            <w:vAlign w:val="center"/>
          </w:tcPr>
          <w:p w14:paraId="67F89D88" w14:textId="77777777" w:rsidR="00032E88" w:rsidRPr="00361437" w:rsidRDefault="00032E88" w:rsidP="00032E88">
            <w:pPr>
              <w:spacing w:line="256" w:lineRule="auto"/>
              <w:rPr>
                <w:rFonts w:ascii="Arial" w:eastAsia="Times New Roman" w:hAnsi="Arial" w:cs="Arial"/>
                <w:sz w:val="20"/>
              </w:rPr>
            </w:pPr>
          </w:p>
          <w:p w14:paraId="47C053E8" w14:textId="77777777" w:rsidR="00032E88" w:rsidRPr="00361437" w:rsidRDefault="00032E88" w:rsidP="00032E88">
            <w:pPr>
              <w:spacing w:line="256" w:lineRule="auto"/>
              <w:rPr>
                <w:rFonts w:ascii="Arial" w:eastAsia="Times New Roman" w:hAnsi="Arial" w:cs="Arial"/>
                <w:sz w:val="20"/>
              </w:rPr>
            </w:pPr>
          </w:p>
        </w:tc>
        <w:tc>
          <w:tcPr>
            <w:tcW w:w="1411" w:type="pct"/>
            <w:gridSpan w:val="2"/>
            <w:tcBorders>
              <w:top w:val="single" w:sz="4" w:space="0" w:color="auto"/>
              <w:left w:val="nil"/>
              <w:bottom w:val="single" w:sz="4" w:space="0" w:color="auto"/>
              <w:right w:val="nil"/>
            </w:tcBorders>
            <w:vAlign w:val="center"/>
          </w:tcPr>
          <w:p w14:paraId="385FBB88" w14:textId="77777777" w:rsidR="00032E88" w:rsidRPr="00361437" w:rsidRDefault="00032E88" w:rsidP="00032E88">
            <w:pPr>
              <w:spacing w:line="256" w:lineRule="auto"/>
              <w:jc w:val="center"/>
              <w:rPr>
                <w:rFonts w:ascii="Arial" w:eastAsia="Times New Roman" w:hAnsi="Arial" w:cs="Arial"/>
                <w:sz w:val="20"/>
              </w:rPr>
            </w:pPr>
          </w:p>
        </w:tc>
      </w:tr>
      <w:tr w:rsidR="00032E88" w:rsidRPr="00361437" w14:paraId="101164A8" w14:textId="77777777" w:rsidTr="006F39AD">
        <w:tc>
          <w:tcPr>
            <w:tcW w:w="3041" w:type="pct"/>
            <w:tcBorders>
              <w:top w:val="nil"/>
              <w:left w:val="nil"/>
              <w:bottom w:val="single" w:sz="4" w:space="0" w:color="auto"/>
              <w:right w:val="nil"/>
            </w:tcBorders>
            <w:noWrap/>
            <w:vAlign w:val="center"/>
          </w:tcPr>
          <w:p w14:paraId="577A4335" w14:textId="77777777" w:rsidR="00032E88" w:rsidRPr="00361437" w:rsidRDefault="00032E88" w:rsidP="00032E88">
            <w:pPr>
              <w:spacing w:line="256" w:lineRule="auto"/>
              <w:rPr>
                <w:rFonts w:ascii="Arial" w:eastAsia="Times New Roman" w:hAnsi="Arial" w:cs="Arial"/>
                <w:sz w:val="20"/>
              </w:rPr>
            </w:pPr>
          </w:p>
        </w:tc>
        <w:tc>
          <w:tcPr>
            <w:tcW w:w="548" w:type="pct"/>
            <w:tcBorders>
              <w:top w:val="nil"/>
              <w:left w:val="nil"/>
              <w:bottom w:val="single" w:sz="4" w:space="0" w:color="auto"/>
              <w:right w:val="nil"/>
            </w:tcBorders>
            <w:vAlign w:val="center"/>
            <w:hideMark/>
          </w:tcPr>
          <w:p w14:paraId="08713341"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N</w:t>
            </w:r>
          </w:p>
        </w:tc>
        <w:tc>
          <w:tcPr>
            <w:tcW w:w="748" w:type="pct"/>
            <w:tcBorders>
              <w:top w:val="single" w:sz="4" w:space="0" w:color="auto"/>
              <w:left w:val="nil"/>
              <w:bottom w:val="single" w:sz="4" w:space="0" w:color="auto"/>
              <w:right w:val="nil"/>
            </w:tcBorders>
            <w:vAlign w:val="center"/>
            <w:hideMark/>
          </w:tcPr>
          <w:p w14:paraId="79C806C6"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663" w:type="pct"/>
            <w:tcBorders>
              <w:top w:val="single" w:sz="4" w:space="0" w:color="auto"/>
              <w:left w:val="nil"/>
              <w:bottom w:val="single" w:sz="4" w:space="0" w:color="auto"/>
              <w:right w:val="nil"/>
            </w:tcBorders>
            <w:vAlign w:val="center"/>
            <w:hideMark/>
          </w:tcPr>
          <w:p w14:paraId="09B8C2AF"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r>
      <w:tr w:rsidR="00032E88" w:rsidRPr="00361437" w14:paraId="50338B08" w14:textId="77777777" w:rsidTr="006F39AD">
        <w:tc>
          <w:tcPr>
            <w:tcW w:w="3041" w:type="pct"/>
            <w:tcBorders>
              <w:top w:val="single" w:sz="4" w:space="0" w:color="auto"/>
              <w:bottom w:val="single" w:sz="4" w:space="0" w:color="auto"/>
            </w:tcBorders>
            <w:noWrap/>
            <w:vAlign w:val="center"/>
            <w:hideMark/>
          </w:tcPr>
          <w:p w14:paraId="064F3389" w14:textId="1BFCD868" w:rsidR="00032E88" w:rsidRPr="00361437" w:rsidRDefault="00013673" w:rsidP="00032E88">
            <w:pPr>
              <w:spacing w:line="256" w:lineRule="auto"/>
              <w:rPr>
                <w:rFonts w:ascii="Arial" w:eastAsia="Times New Roman" w:hAnsi="Arial" w:cs="Arial"/>
                <w:sz w:val="18"/>
              </w:rPr>
            </w:pPr>
            <w:r w:rsidRPr="00361437">
              <w:rPr>
                <w:rFonts w:ascii="Arial" w:eastAsia="Times New Roman" w:hAnsi="Arial" w:cs="Arial"/>
                <w:sz w:val="18"/>
              </w:rPr>
              <w:t>VOTE_WITH_CREDITORS_(0,1)</w:t>
            </w:r>
          </w:p>
        </w:tc>
        <w:tc>
          <w:tcPr>
            <w:tcW w:w="548" w:type="pct"/>
            <w:tcBorders>
              <w:top w:val="single" w:sz="4" w:space="0" w:color="auto"/>
              <w:bottom w:val="single" w:sz="4" w:space="0" w:color="auto"/>
            </w:tcBorders>
            <w:vAlign w:val="center"/>
            <w:hideMark/>
          </w:tcPr>
          <w:p w14:paraId="2778D295" w14:textId="079441FE" w:rsidR="00032E88" w:rsidRPr="00361437" w:rsidRDefault="00032E88" w:rsidP="00032E88">
            <w:pPr>
              <w:spacing w:line="256" w:lineRule="auto"/>
              <w:jc w:val="right"/>
              <w:rPr>
                <w:rFonts w:ascii="Arial" w:eastAsia="Times New Roman" w:hAnsi="Arial" w:cs="Arial"/>
                <w:sz w:val="20"/>
              </w:rPr>
            </w:pPr>
            <w:r w:rsidRPr="00361437">
              <w:rPr>
                <w:rFonts w:ascii="Arial" w:eastAsia="Times New Roman" w:hAnsi="Arial" w:cs="Arial"/>
                <w:sz w:val="20"/>
              </w:rPr>
              <w:t>4</w:t>
            </w:r>
            <w:r w:rsidR="00E60F4F" w:rsidRPr="00361437">
              <w:rPr>
                <w:rFonts w:ascii="Arial" w:eastAsia="Times New Roman" w:hAnsi="Arial" w:cs="Arial"/>
                <w:sz w:val="20"/>
              </w:rPr>
              <w:t>2</w:t>
            </w:r>
            <w:r w:rsidRPr="00361437">
              <w:rPr>
                <w:rFonts w:ascii="Arial" w:eastAsia="Times New Roman" w:hAnsi="Arial" w:cs="Arial"/>
                <w:sz w:val="20"/>
              </w:rPr>
              <w:t>,</w:t>
            </w:r>
            <w:r w:rsidR="00E60F4F" w:rsidRPr="00361437">
              <w:rPr>
                <w:rFonts w:ascii="Arial" w:eastAsia="Times New Roman" w:hAnsi="Arial" w:cs="Arial"/>
                <w:sz w:val="20"/>
              </w:rPr>
              <w:t>681</w:t>
            </w:r>
          </w:p>
        </w:tc>
        <w:tc>
          <w:tcPr>
            <w:tcW w:w="748" w:type="pct"/>
            <w:tcBorders>
              <w:top w:val="single" w:sz="4" w:space="0" w:color="auto"/>
              <w:bottom w:val="single" w:sz="4" w:space="0" w:color="auto"/>
            </w:tcBorders>
            <w:tcMar>
              <w:top w:w="0" w:type="dxa"/>
              <w:left w:w="14" w:type="dxa"/>
              <w:bottom w:w="0" w:type="dxa"/>
              <w:right w:w="14" w:type="dxa"/>
            </w:tcMar>
            <w:vAlign w:val="bottom"/>
            <w:hideMark/>
          </w:tcPr>
          <w:p w14:paraId="6133605D" w14:textId="49247883" w:rsidR="00032E88" w:rsidRPr="00361437" w:rsidRDefault="00032E88" w:rsidP="00032E88">
            <w:pPr>
              <w:tabs>
                <w:tab w:val="decimal" w:pos="390"/>
              </w:tabs>
              <w:spacing w:line="256" w:lineRule="auto"/>
              <w:rPr>
                <w:rFonts w:ascii="Arial" w:eastAsia="Calibri" w:hAnsi="Arial" w:cs="Arial"/>
                <w:color w:val="000000"/>
                <w:sz w:val="20"/>
              </w:rPr>
            </w:pPr>
            <w:r w:rsidRPr="00361437">
              <w:rPr>
                <w:rFonts w:ascii="Arial" w:eastAsia="Calibri" w:hAnsi="Arial" w:cs="Arial"/>
                <w:color w:val="000000"/>
                <w:sz w:val="20"/>
              </w:rPr>
              <w:t>0.</w:t>
            </w:r>
            <w:r w:rsidR="00F525C9" w:rsidRPr="00361437">
              <w:rPr>
                <w:rFonts w:ascii="Arial" w:eastAsia="Calibri" w:hAnsi="Arial" w:cs="Arial"/>
                <w:color w:val="000000"/>
                <w:sz w:val="20"/>
              </w:rPr>
              <w:t>2092</w:t>
            </w:r>
            <w:r w:rsidRPr="00361437">
              <w:rPr>
                <w:rFonts w:ascii="Arial" w:eastAsia="Calibri" w:hAnsi="Arial" w:cs="Arial"/>
                <w:color w:val="000000"/>
                <w:sz w:val="20"/>
                <w:vertAlign w:val="superscript"/>
              </w:rPr>
              <w:t>***</w:t>
            </w:r>
          </w:p>
        </w:tc>
        <w:tc>
          <w:tcPr>
            <w:tcW w:w="663" w:type="pct"/>
            <w:tcBorders>
              <w:top w:val="single" w:sz="4" w:space="0" w:color="auto"/>
              <w:bottom w:val="single" w:sz="4" w:space="0" w:color="auto"/>
            </w:tcBorders>
            <w:vAlign w:val="bottom"/>
            <w:hideMark/>
          </w:tcPr>
          <w:p w14:paraId="0B04BF82" w14:textId="119BB3A2"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0.00</w:t>
            </w:r>
            <w:r w:rsidR="00F525C9" w:rsidRPr="00361437">
              <w:rPr>
                <w:rFonts w:ascii="Arial" w:eastAsia="Calibri" w:hAnsi="Arial" w:cs="Arial"/>
                <w:color w:val="000000"/>
                <w:sz w:val="20"/>
              </w:rPr>
              <w:t>15</w:t>
            </w:r>
          </w:p>
        </w:tc>
      </w:tr>
    </w:tbl>
    <w:p w14:paraId="6469A392" w14:textId="77777777" w:rsidR="00032E88" w:rsidRPr="00361437" w:rsidRDefault="00032E88" w:rsidP="00032E88">
      <w:pPr>
        <w:rPr>
          <w:rFonts w:ascii="Arial" w:eastAsia="Calibri" w:hAnsi="Arial" w:cs="Arial"/>
          <w:b/>
          <w:sz w:val="6"/>
        </w:rPr>
      </w:pPr>
    </w:p>
    <w:tbl>
      <w:tblPr>
        <w:tblW w:w="5000" w:type="pct"/>
        <w:tblLook w:val="04A0" w:firstRow="1" w:lastRow="0" w:firstColumn="1" w:lastColumn="0" w:noHBand="0" w:noVBand="1"/>
      </w:tblPr>
      <w:tblGrid>
        <w:gridCol w:w="5490"/>
        <w:gridCol w:w="989"/>
        <w:gridCol w:w="1350"/>
        <w:gridCol w:w="1197"/>
      </w:tblGrid>
      <w:tr w:rsidR="00032E88" w:rsidRPr="00361437" w14:paraId="12D7D213" w14:textId="77777777" w:rsidTr="006F39AD">
        <w:trPr>
          <w:trHeight w:val="360"/>
        </w:trPr>
        <w:tc>
          <w:tcPr>
            <w:tcW w:w="5000" w:type="pct"/>
            <w:gridSpan w:val="4"/>
            <w:tcBorders>
              <w:left w:val="nil"/>
              <w:bottom w:val="nil"/>
              <w:right w:val="nil"/>
            </w:tcBorders>
            <w:noWrap/>
            <w:vAlign w:val="center"/>
            <w:hideMark/>
          </w:tcPr>
          <w:p w14:paraId="43B506EF" w14:textId="77777777" w:rsidR="00032E88" w:rsidRPr="00361437" w:rsidRDefault="00032E88" w:rsidP="00032E88">
            <w:pPr>
              <w:spacing w:line="256" w:lineRule="auto"/>
              <w:rPr>
                <w:rFonts w:ascii="Arial" w:eastAsia="Times New Roman" w:hAnsi="Arial" w:cs="Arial"/>
                <w:i/>
                <w:sz w:val="20"/>
              </w:rPr>
            </w:pPr>
            <w:r w:rsidRPr="00361437">
              <w:rPr>
                <w:rFonts w:ascii="Arial" w:eastAsia="Times New Roman" w:hAnsi="Arial" w:cs="Arial"/>
                <w:i/>
                <w:sz w:val="20"/>
              </w:rPr>
              <w:t xml:space="preserve">Panel E: Excluding funds with credit default swap </w:t>
            </w:r>
          </w:p>
        </w:tc>
      </w:tr>
      <w:tr w:rsidR="00032E88" w:rsidRPr="00361437" w14:paraId="1F6D9389" w14:textId="77777777" w:rsidTr="00032E88">
        <w:tc>
          <w:tcPr>
            <w:tcW w:w="3041" w:type="pct"/>
            <w:tcBorders>
              <w:top w:val="single" w:sz="4" w:space="0" w:color="auto"/>
              <w:left w:val="nil"/>
              <w:bottom w:val="single" w:sz="4" w:space="0" w:color="auto"/>
              <w:right w:val="nil"/>
            </w:tcBorders>
            <w:noWrap/>
            <w:vAlign w:val="center"/>
            <w:hideMark/>
          </w:tcPr>
          <w:p w14:paraId="7CA2CECF" w14:textId="77777777" w:rsidR="00032E88" w:rsidRPr="00361437" w:rsidRDefault="00032E88" w:rsidP="00032E88">
            <w:pPr>
              <w:spacing w:line="256" w:lineRule="auto"/>
              <w:rPr>
                <w:rFonts w:ascii="Arial" w:eastAsia="Times New Roman" w:hAnsi="Arial" w:cs="Arial"/>
                <w:sz w:val="20"/>
              </w:rPr>
            </w:pPr>
            <w:r w:rsidRPr="00361437">
              <w:rPr>
                <w:rFonts w:ascii="Arial" w:eastAsia="Times New Roman" w:hAnsi="Arial" w:cs="Arial"/>
                <w:sz w:val="20"/>
              </w:rPr>
              <w:t>Summary statistics</w:t>
            </w:r>
          </w:p>
        </w:tc>
        <w:tc>
          <w:tcPr>
            <w:tcW w:w="548" w:type="pct"/>
            <w:tcBorders>
              <w:top w:val="single" w:sz="4" w:space="0" w:color="auto"/>
              <w:left w:val="nil"/>
              <w:bottom w:val="single" w:sz="4" w:space="0" w:color="auto"/>
              <w:right w:val="nil"/>
            </w:tcBorders>
            <w:vAlign w:val="center"/>
          </w:tcPr>
          <w:p w14:paraId="0CE4C5FA" w14:textId="77777777" w:rsidR="00032E88" w:rsidRPr="00361437" w:rsidRDefault="00032E88" w:rsidP="00032E88">
            <w:pPr>
              <w:spacing w:line="256" w:lineRule="auto"/>
              <w:jc w:val="center"/>
              <w:rPr>
                <w:rFonts w:ascii="Arial" w:eastAsia="Times New Roman" w:hAnsi="Arial" w:cs="Arial"/>
                <w:sz w:val="20"/>
              </w:rPr>
            </w:pPr>
          </w:p>
        </w:tc>
        <w:tc>
          <w:tcPr>
            <w:tcW w:w="748" w:type="pct"/>
            <w:tcBorders>
              <w:top w:val="single" w:sz="4" w:space="0" w:color="auto"/>
              <w:left w:val="nil"/>
              <w:bottom w:val="single" w:sz="4" w:space="0" w:color="auto"/>
              <w:right w:val="nil"/>
            </w:tcBorders>
            <w:vAlign w:val="center"/>
            <w:hideMark/>
          </w:tcPr>
          <w:p w14:paraId="3F8BB527"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color w:val="000000"/>
                <w:sz w:val="20"/>
                <w:lang w:eastAsia="en-GB"/>
              </w:rPr>
              <w:t>N</w:t>
            </w:r>
          </w:p>
        </w:tc>
        <w:tc>
          <w:tcPr>
            <w:tcW w:w="663" w:type="pct"/>
            <w:tcBorders>
              <w:top w:val="single" w:sz="4" w:space="0" w:color="auto"/>
              <w:left w:val="nil"/>
              <w:bottom w:val="single" w:sz="4" w:space="0" w:color="auto"/>
              <w:right w:val="nil"/>
            </w:tcBorders>
            <w:vAlign w:val="center"/>
            <w:hideMark/>
          </w:tcPr>
          <w:p w14:paraId="6DB16EE2" w14:textId="77777777" w:rsidR="00032E88" w:rsidRPr="00361437" w:rsidRDefault="00032E88" w:rsidP="00032E88">
            <w:pPr>
              <w:spacing w:line="256" w:lineRule="auto"/>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Mean</w:t>
            </w:r>
          </w:p>
          <w:p w14:paraId="4AF7CC83"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color w:val="000000"/>
                <w:sz w:val="20"/>
                <w:lang w:eastAsia="en-GB"/>
              </w:rPr>
              <w:t>[Median]</w:t>
            </w:r>
          </w:p>
        </w:tc>
      </w:tr>
      <w:tr w:rsidR="00032E88" w:rsidRPr="00361437" w14:paraId="1C7F2A1C" w14:textId="77777777" w:rsidTr="00032E88">
        <w:tc>
          <w:tcPr>
            <w:tcW w:w="3041" w:type="pct"/>
            <w:noWrap/>
            <w:hideMark/>
          </w:tcPr>
          <w:p w14:paraId="49C1AF5C" w14:textId="53B65540" w:rsidR="00032E88" w:rsidRPr="00361437" w:rsidRDefault="009F6C4A" w:rsidP="00032E88">
            <w:pPr>
              <w:spacing w:line="256" w:lineRule="auto"/>
              <w:ind w:left="360" w:hanging="360"/>
              <w:contextualSpacing/>
              <w:rPr>
                <w:rFonts w:ascii="Arial" w:eastAsia="Times New Roman" w:hAnsi="Arial" w:cs="Arial"/>
                <w:sz w:val="20"/>
              </w:rPr>
            </w:pPr>
            <w:r w:rsidRPr="00361437">
              <w:rPr>
                <w:rFonts w:ascii="Arial" w:eastAsia="Times New Roman" w:hAnsi="Arial" w:cs="Arial"/>
                <w:color w:val="000000"/>
                <w:sz w:val="18"/>
                <w:lang w:eastAsia="en-GB"/>
              </w:rPr>
              <w:t>FAMILY_DEBT_FRACTION</w:t>
            </w:r>
            <w:r w:rsidR="00032E88" w:rsidRPr="00361437">
              <w:rPr>
                <w:rFonts w:ascii="Arial" w:eastAsia="Times New Roman" w:hAnsi="Arial" w:cs="Arial"/>
                <w:color w:val="000000"/>
                <w:sz w:val="20"/>
                <w:lang w:eastAsia="en-GB"/>
              </w:rPr>
              <w:t xml:space="preserve"> </w:t>
            </w:r>
            <w:r w:rsidR="00032E88" w:rsidRPr="00361437">
              <w:rPr>
                <w:rFonts w:ascii="Arial" w:eastAsia="Times New Roman" w:hAnsi="Arial" w:cs="Arial"/>
                <w:color w:val="000000"/>
                <w:sz w:val="20"/>
                <w:lang w:eastAsia="en-GB"/>
              </w:rPr>
              <w:br/>
            </w:r>
          </w:p>
        </w:tc>
        <w:tc>
          <w:tcPr>
            <w:tcW w:w="548" w:type="pct"/>
          </w:tcPr>
          <w:p w14:paraId="267125EE" w14:textId="77777777" w:rsidR="00032E88" w:rsidRPr="00361437" w:rsidRDefault="00032E88" w:rsidP="00032E88">
            <w:pPr>
              <w:spacing w:line="256" w:lineRule="auto"/>
              <w:rPr>
                <w:rFonts w:ascii="Arial" w:eastAsia="Times New Roman" w:hAnsi="Arial" w:cs="Arial"/>
                <w:sz w:val="20"/>
              </w:rPr>
            </w:pPr>
          </w:p>
        </w:tc>
        <w:tc>
          <w:tcPr>
            <w:tcW w:w="748" w:type="pct"/>
            <w:tcMar>
              <w:top w:w="0" w:type="dxa"/>
              <w:left w:w="14" w:type="dxa"/>
              <w:bottom w:w="0" w:type="dxa"/>
              <w:right w:w="14" w:type="dxa"/>
            </w:tcMar>
            <w:hideMark/>
          </w:tcPr>
          <w:p w14:paraId="5DC8D634" w14:textId="2117D377" w:rsidR="00032E88" w:rsidRPr="00361437" w:rsidRDefault="00655474" w:rsidP="00032E88">
            <w:pPr>
              <w:tabs>
                <w:tab w:val="decimal" w:pos="390"/>
              </w:tabs>
              <w:spacing w:line="256" w:lineRule="auto"/>
              <w:jc w:val="center"/>
              <w:rPr>
                <w:rFonts w:ascii="Arial" w:eastAsia="Calibri" w:hAnsi="Arial" w:cs="Arial"/>
                <w:color w:val="000000"/>
                <w:sz w:val="20"/>
              </w:rPr>
            </w:pPr>
            <w:r w:rsidRPr="00361437">
              <w:rPr>
                <w:rFonts w:ascii="Arial" w:eastAsia="Times New Roman" w:hAnsi="Arial" w:cs="Arial"/>
                <w:color w:val="000000"/>
                <w:sz w:val="20"/>
                <w:lang w:eastAsia="en-GB"/>
              </w:rPr>
              <w:t>52,745</w:t>
            </w:r>
          </w:p>
        </w:tc>
        <w:tc>
          <w:tcPr>
            <w:tcW w:w="663" w:type="pct"/>
            <w:hideMark/>
          </w:tcPr>
          <w:p w14:paraId="7CCE7250" w14:textId="737FA80D"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0.03</w:t>
            </w:r>
            <w:r w:rsidR="002F5595" w:rsidRPr="00361437">
              <w:rPr>
                <w:rFonts w:ascii="Arial" w:eastAsia="Times New Roman" w:hAnsi="Arial" w:cs="Arial"/>
                <w:color w:val="000000"/>
                <w:sz w:val="20"/>
                <w:lang w:eastAsia="en-GB"/>
              </w:rPr>
              <w:t>26</w:t>
            </w:r>
          </w:p>
          <w:p w14:paraId="170456B5" w14:textId="77777777" w:rsidR="00032E88" w:rsidRPr="00361437" w:rsidRDefault="00032E88" w:rsidP="00032E88">
            <w:pPr>
              <w:spacing w:line="256" w:lineRule="auto"/>
              <w:jc w:val="center"/>
              <w:rPr>
                <w:rFonts w:ascii="Arial" w:eastAsia="Calibri" w:hAnsi="Arial" w:cs="Arial"/>
                <w:color w:val="000000"/>
                <w:sz w:val="20"/>
              </w:rPr>
            </w:pPr>
            <w:r w:rsidRPr="00361437">
              <w:rPr>
                <w:rFonts w:ascii="Arial" w:eastAsia="Times New Roman" w:hAnsi="Arial" w:cs="Arial"/>
                <w:color w:val="000000"/>
                <w:sz w:val="20"/>
                <w:lang w:eastAsia="en-GB"/>
              </w:rPr>
              <w:t>[0.0000]</w:t>
            </w:r>
          </w:p>
        </w:tc>
      </w:tr>
      <w:tr w:rsidR="00032E88" w:rsidRPr="00361437" w14:paraId="48CBDA49" w14:textId="77777777" w:rsidTr="00032E88">
        <w:tc>
          <w:tcPr>
            <w:tcW w:w="3041" w:type="pct"/>
            <w:noWrap/>
            <w:hideMark/>
          </w:tcPr>
          <w:p w14:paraId="557F2B2B" w14:textId="0A7F3BAB" w:rsidR="00032E88" w:rsidRPr="00361437" w:rsidRDefault="009F6C4A" w:rsidP="00032E88">
            <w:pPr>
              <w:spacing w:line="256" w:lineRule="auto"/>
              <w:ind w:left="360" w:hanging="360"/>
              <w:contextualSpacing/>
              <w:rPr>
                <w:rFonts w:ascii="Arial" w:eastAsia="Times New Roman" w:hAnsi="Arial" w:cs="Arial"/>
                <w:sz w:val="20"/>
              </w:rPr>
            </w:pPr>
            <w:r w:rsidRPr="00361437">
              <w:rPr>
                <w:rFonts w:ascii="Arial" w:eastAsia="Times New Roman" w:hAnsi="Arial" w:cs="Arial"/>
                <w:color w:val="000000"/>
                <w:sz w:val="18"/>
                <w:lang w:eastAsia="en-GB"/>
              </w:rPr>
              <w:t>FAMILY_DEBT_FRACTION</w:t>
            </w:r>
            <w:r w:rsidR="00032E88" w:rsidRPr="00361437">
              <w:rPr>
                <w:rFonts w:ascii="Arial" w:eastAsia="Times New Roman" w:hAnsi="Arial" w:cs="Arial"/>
                <w:color w:val="000000"/>
                <w:sz w:val="20"/>
                <w:lang w:eastAsia="en-GB"/>
              </w:rPr>
              <w:t xml:space="preserve"> conditional on family debt holding</w:t>
            </w:r>
          </w:p>
        </w:tc>
        <w:tc>
          <w:tcPr>
            <w:tcW w:w="548" w:type="pct"/>
          </w:tcPr>
          <w:p w14:paraId="0AA7F6E7" w14:textId="77777777" w:rsidR="00032E88" w:rsidRPr="00361437" w:rsidRDefault="00032E88" w:rsidP="00032E88">
            <w:pPr>
              <w:spacing w:line="256" w:lineRule="auto"/>
              <w:rPr>
                <w:rFonts w:ascii="Arial" w:eastAsia="Times New Roman" w:hAnsi="Arial" w:cs="Arial"/>
                <w:sz w:val="20"/>
              </w:rPr>
            </w:pPr>
          </w:p>
        </w:tc>
        <w:tc>
          <w:tcPr>
            <w:tcW w:w="748" w:type="pct"/>
            <w:tcMar>
              <w:top w:w="0" w:type="dxa"/>
              <w:left w:w="14" w:type="dxa"/>
              <w:bottom w:w="0" w:type="dxa"/>
              <w:right w:w="14" w:type="dxa"/>
            </w:tcMar>
            <w:hideMark/>
          </w:tcPr>
          <w:p w14:paraId="68B7AD12" w14:textId="23A82405" w:rsidR="00032E88" w:rsidRPr="00361437" w:rsidRDefault="00032E88" w:rsidP="00032E88">
            <w:pPr>
              <w:tabs>
                <w:tab w:val="decimal" w:pos="390"/>
              </w:tabs>
              <w:spacing w:line="256" w:lineRule="auto"/>
              <w:jc w:val="center"/>
              <w:rPr>
                <w:rFonts w:ascii="Arial" w:eastAsia="Calibri" w:hAnsi="Arial" w:cs="Arial"/>
                <w:color w:val="000000"/>
                <w:sz w:val="20"/>
              </w:rPr>
            </w:pPr>
            <w:r w:rsidRPr="00361437">
              <w:rPr>
                <w:rFonts w:ascii="Arial" w:eastAsia="Calibri" w:hAnsi="Arial" w:cs="Arial"/>
                <w:color w:val="000000"/>
                <w:sz w:val="20"/>
              </w:rPr>
              <w:t>6,</w:t>
            </w:r>
            <w:r w:rsidR="003E5AE5" w:rsidRPr="00361437">
              <w:rPr>
                <w:rFonts w:ascii="Arial" w:eastAsia="Calibri" w:hAnsi="Arial" w:cs="Arial"/>
                <w:color w:val="000000"/>
                <w:sz w:val="20"/>
              </w:rPr>
              <w:t>307</w:t>
            </w:r>
          </w:p>
        </w:tc>
        <w:tc>
          <w:tcPr>
            <w:tcW w:w="663" w:type="pct"/>
            <w:hideMark/>
          </w:tcPr>
          <w:p w14:paraId="69776B5F" w14:textId="55F0E513" w:rsidR="00032E88" w:rsidRPr="00361437" w:rsidRDefault="00032E88" w:rsidP="00032E88">
            <w:pPr>
              <w:spacing w:before="100" w:beforeAutospacing="1" w:after="100" w:afterAutospacing="1" w:line="256" w:lineRule="auto"/>
              <w:contextualSpacing/>
              <w:jc w:val="center"/>
              <w:rPr>
                <w:rFonts w:ascii="Arial" w:eastAsia="Times New Roman" w:hAnsi="Arial" w:cs="Arial"/>
                <w:color w:val="000000"/>
                <w:sz w:val="20"/>
                <w:lang w:eastAsia="en-GB"/>
              </w:rPr>
            </w:pPr>
            <w:r w:rsidRPr="00361437">
              <w:rPr>
                <w:rFonts w:ascii="Arial" w:eastAsia="Times New Roman" w:hAnsi="Arial" w:cs="Arial"/>
                <w:color w:val="000000"/>
                <w:sz w:val="20"/>
                <w:lang w:eastAsia="en-GB"/>
              </w:rPr>
              <w:t>0.2</w:t>
            </w:r>
            <w:r w:rsidR="003E5AE5" w:rsidRPr="00361437">
              <w:rPr>
                <w:rFonts w:ascii="Arial" w:eastAsia="Times New Roman" w:hAnsi="Arial" w:cs="Arial"/>
                <w:color w:val="000000"/>
                <w:sz w:val="20"/>
                <w:lang w:eastAsia="en-GB"/>
              </w:rPr>
              <w:t>749</w:t>
            </w:r>
          </w:p>
          <w:p w14:paraId="255F0191" w14:textId="1640DAEE" w:rsidR="00032E88" w:rsidRPr="00361437" w:rsidRDefault="00032E88" w:rsidP="00032E88">
            <w:pPr>
              <w:spacing w:line="256" w:lineRule="auto"/>
              <w:jc w:val="center"/>
              <w:rPr>
                <w:rFonts w:ascii="Arial" w:eastAsia="Calibri" w:hAnsi="Arial" w:cs="Arial"/>
                <w:color w:val="000000"/>
                <w:sz w:val="20"/>
              </w:rPr>
            </w:pPr>
            <w:r w:rsidRPr="00361437">
              <w:rPr>
                <w:rFonts w:ascii="Arial" w:eastAsia="Times New Roman" w:hAnsi="Arial" w:cs="Arial"/>
                <w:color w:val="000000"/>
                <w:sz w:val="20"/>
                <w:lang w:eastAsia="en-GB"/>
              </w:rPr>
              <w:t>[0.13</w:t>
            </w:r>
            <w:r w:rsidR="003E5AE5" w:rsidRPr="00361437">
              <w:rPr>
                <w:rFonts w:ascii="Arial" w:eastAsia="Times New Roman" w:hAnsi="Arial" w:cs="Arial"/>
                <w:color w:val="000000"/>
                <w:sz w:val="20"/>
                <w:lang w:eastAsia="en-GB"/>
              </w:rPr>
              <w:t>07</w:t>
            </w:r>
            <w:r w:rsidRPr="00361437">
              <w:rPr>
                <w:rFonts w:ascii="Arial" w:eastAsia="Times New Roman" w:hAnsi="Arial" w:cs="Arial"/>
                <w:color w:val="000000"/>
                <w:sz w:val="20"/>
                <w:lang w:eastAsia="en-GB"/>
              </w:rPr>
              <w:t>]</w:t>
            </w:r>
          </w:p>
        </w:tc>
      </w:tr>
      <w:tr w:rsidR="00032E88" w:rsidRPr="00361437" w14:paraId="1A6C2E42" w14:textId="77777777" w:rsidTr="00032E88">
        <w:tc>
          <w:tcPr>
            <w:tcW w:w="3041" w:type="pct"/>
            <w:tcBorders>
              <w:top w:val="single" w:sz="4" w:space="0" w:color="auto"/>
              <w:left w:val="nil"/>
              <w:bottom w:val="nil"/>
              <w:right w:val="nil"/>
            </w:tcBorders>
            <w:noWrap/>
            <w:vAlign w:val="center"/>
            <w:hideMark/>
          </w:tcPr>
          <w:p w14:paraId="4F820EB7" w14:textId="77777777" w:rsidR="00032E88" w:rsidRPr="00361437" w:rsidRDefault="00032E88" w:rsidP="00032E88">
            <w:pPr>
              <w:spacing w:line="256" w:lineRule="auto"/>
              <w:rPr>
                <w:rFonts w:ascii="Arial" w:eastAsia="Times New Roman" w:hAnsi="Arial" w:cs="Arial"/>
                <w:sz w:val="20"/>
              </w:rPr>
            </w:pPr>
            <w:r w:rsidRPr="00361437">
              <w:rPr>
                <w:rFonts w:ascii="Arial" w:eastAsia="Times New Roman" w:hAnsi="Arial" w:cs="Arial"/>
                <w:sz w:val="20"/>
              </w:rPr>
              <w:t xml:space="preserve">Regression coefficient and </w:t>
            </w:r>
            <w:r w:rsidRPr="00361437">
              <w:rPr>
                <w:rFonts w:ascii="Arial" w:eastAsia="Times New Roman" w:hAnsi="Arial" w:cs="Arial"/>
                <w:i/>
                <w:sz w:val="20"/>
              </w:rPr>
              <w:t>p</w:t>
            </w:r>
            <w:r w:rsidRPr="00361437">
              <w:rPr>
                <w:rFonts w:ascii="Arial" w:eastAsia="Times New Roman" w:hAnsi="Arial" w:cs="Arial"/>
                <w:sz w:val="20"/>
              </w:rPr>
              <w:t xml:space="preserve">-value for </w:t>
            </w:r>
          </w:p>
          <w:p w14:paraId="4B7B6769" w14:textId="67D234BC" w:rsidR="00032E88" w:rsidRPr="00361437" w:rsidRDefault="009F6C4A" w:rsidP="00032E88">
            <w:pPr>
              <w:spacing w:line="256" w:lineRule="auto"/>
              <w:rPr>
                <w:rFonts w:ascii="Arial" w:eastAsia="Times New Roman" w:hAnsi="Arial" w:cs="Arial"/>
                <w:sz w:val="20"/>
              </w:rPr>
            </w:pPr>
            <w:r w:rsidRPr="00361437">
              <w:rPr>
                <w:rFonts w:ascii="Arial" w:eastAsia="Times New Roman" w:hAnsi="Arial" w:cs="Arial"/>
                <w:sz w:val="18"/>
              </w:rPr>
              <w:t>FAMILY_DEBT_FRACTION × DISTRESS_(0,1)</w:t>
            </w:r>
          </w:p>
        </w:tc>
        <w:tc>
          <w:tcPr>
            <w:tcW w:w="548" w:type="pct"/>
            <w:tcBorders>
              <w:top w:val="single" w:sz="4" w:space="0" w:color="auto"/>
              <w:left w:val="nil"/>
              <w:bottom w:val="nil"/>
              <w:right w:val="nil"/>
            </w:tcBorders>
            <w:vAlign w:val="center"/>
          </w:tcPr>
          <w:p w14:paraId="583AF452" w14:textId="77777777" w:rsidR="00032E88" w:rsidRPr="00361437" w:rsidRDefault="00032E88" w:rsidP="00032E88">
            <w:pPr>
              <w:spacing w:line="256" w:lineRule="auto"/>
              <w:rPr>
                <w:rFonts w:ascii="Arial" w:eastAsia="Times New Roman" w:hAnsi="Arial" w:cs="Arial"/>
                <w:sz w:val="20"/>
              </w:rPr>
            </w:pPr>
          </w:p>
          <w:p w14:paraId="68BBCB13" w14:textId="77777777" w:rsidR="00032E88" w:rsidRPr="00361437" w:rsidRDefault="00032E88" w:rsidP="00032E88">
            <w:pPr>
              <w:spacing w:line="256" w:lineRule="auto"/>
              <w:rPr>
                <w:rFonts w:ascii="Arial" w:eastAsia="Times New Roman" w:hAnsi="Arial" w:cs="Arial"/>
                <w:sz w:val="20"/>
              </w:rPr>
            </w:pPr>
          </w:p>
        </w:tc>
        <w:tc>
          <w:tcPr>
            <w:tcW w:w="1411" w:type="pct"/>
            <w:gridSpan w:val="2"/>
            <w:tcBorders>
              <w:top w:val="single" w:sz="4" w:space="0" w:color="auto"/>
              <w:left w:val="nil"/>
              <w:bottom w:val="single" w:sz="4" w:space="0" w:color="auto"/>
              <w:right w:val="nil"/>
            </w:tcBorders>
            <w:vAlign w:val="center"/>
          </w:tcPr>
          <w:p w14:paraId="076A7737" w14:textId="77777777" w:rsidR="00032E88" w:rsidRPr="00361437" w:rsidRDefault="00032E88" w:rsidP="00032E88">
            <w:pPr>
              <w:spacing w:line="256" w:lineRule="auto"/>
              <w:jc w:val="center"/>
              <w:rPr>
                <w:rFonts w:ascii="Arial" w:eastAsia="Times New Roman" w:hAnsi="Arial" w:cs="Arial"/>
                <w:sz w:val="20"/>
              </w:rPr>
            </w:pPr>
          </w:p>
        </w:tc>
      </w:tr>
      <w:tr w:rsidR="00032E88" w:rsidRPr="00361437" w14:paraId="7A434F13" w14:textId="77777777" w:rsidTr="00032E88">
        <w:tc>
          <w:tcPr>
            <w:tcW w:w="3041" w:type="pct"/>
            <w:tcBorders>
              <w:top w:val="nil"/>
              <w:left w:val="nil"/>
              <w:bottom w:val="single" w:sz="4" w:space="0" w:color="auto"/>
              <w:right w:val="nil"/>
            </w:tcBorders>
            <w:noWrap/>
            <w:vAlign w:val="center"/>
          </w:tcPr>
          <w:p w14:paraId="43375312" w14:textId="77777777" w:rsidR="00032E88" w:rsidRPr="00361437" w:rsidRDefault="00032E88" w:rsidP="00032E88">
            <w:pPr>
              <w:spacing w:line="256" w:lineRule="auto"/>
              <w:rPr>
                <w:rFonts w:ascii="Arial" w:eastAsia="Times New Roman" w:hAnsi="Arial" w:cs="Arial"/>
                <w:sz w:val="20"/>
              </w:rPr>
            </w:pPr>
          </w:p>
        </w:tc>
        <w:tc>
          <w:tcPr>
            <w:tcW w:w="548" w:type="pct"/>
            <w:tcBorders>
              <w:top w:val="nil"/>
              <w:left w:val="nil"/>
              <w:bottom w:val="single" w:sz="4" w:space="0" w:color="auto"/>
              <w:right w:val="nil"/>
            </w:tcBorders>
            <w:vAlign w:val="center"/>
            <w:hideMark/>
          </w:tcPr>
          <w:p w14:paraId="3C7AC31D"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N</w:t>
            </w:r>
          </w:p>
        </w:tc>
        <w:tc>
          <w:tcPr>
            <w:tcW w:w="748" w:type="pct"/>
            <w:tcBorders>
              <w:top w:val="single" w:sz="4" w:space="0" w:color="auto"/>
              <w:left w:val="nil"/>
              <w:bottom w:val="single" w:sz="4" w:space="0" w:color="auto"/>
              <w:right w:val="nil"/>
            </w:tcBorders>
            <w:vAlign w:val="center"/>
            <w:hideMark/>
          </w:tcPr>
          <w:p w14:paraId="4C9C06C0"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sz w:val="20"/>
              </w:rPr>
              <w:t>Coefficient</w:t>
            </w:r>
          </w:p>
        </w:tc>
        <w:tc>
          <w:tcPr>
            <w:tcW w:w="663" w:type="pct"/>
            <w:tcBorders>
              <w:top w:val="single" w:sz="4" w:space="0" w:color="auto"/>
              <w:left w:val="nil"/>
              <w:bottom w:val="single" w:sz="4" w:space="0" w:color="auto"/>
              <w:right w:val="nil"/>
            </w:tcBorders>
            <w:vAlign w:val="center"/>
            <w:hideMark/>
          </w:tcPr>
          <w:p w14:paraId="18BBDE13" w14:textId="77777777" w:rsidR="00032E88" w:rsidRPr="00361437" w:rsidRDefault="00032E88" w:rsidP="00032E88">
            <w:pPr>
              <w:spacing w:line="256" w:lineRule="auto"/>
              <w:jc w:val="center"/>
              <w:rPr>
                <w:rFonts w:ascii="Arial" w:eastAsia="Times New Roman" w:hAnsi="Arial" w:cs="Arial"/>
                <w:sz w:val="20"/>
              </w:rPr>
            </w:pPr>
            <w:r w:rsidRPr="00361437">
              <w:rPr>
                <w:rFonts w:ascii="Arial" w:eastAsia="Times New Roman" w:hAnsi="Arial" w:cs="Arial"/>
                <w:i/>
                <w:sz w:val="20"/>
              </w:rPr>
              <w:t>p</w:t>
            </w:r>
            <w:r w:rsidRPr="00361437">
              <w:rPr>
                <w:rFonts w:ascii="Arial" w:eastAsia="Times New Roman" w:hAnsi="Arial" w:cs="Arial"/>
                <w:sz w:val="20"/>
              </w:rPr>
              <w:t>-value</w:t>
            </w:r>
          </w:p>
        </w:tc>
      </w:tr>
      <w:tr w:rsidR="00032E88" w:rsidRPr="00361437" w14:paraId="1D3BB679" w14:textId="77777777" w:rsidTr="00032E88">
        <w:tc>
          <w:tcPr>
            <w:tcW w:w="3041" w:type="pct"/>
            <w:tcBorders>
              <w:top w:val="single" w:sz="4" w:space="0" w:color="auto"/>
              <w:left w:val="nil"/>
              <w:bottom w:val="single" w:sz="4" w:space="0" w:color="auto"/>
              <w:right w:val="nil"/>
            </w:tcBorders>
            <w:noWrap/>
            <w:vAlign w:val="center"/>
            <w:hideMark/>
          </w:tcPr>
          <w:p w14:paraId="033D7362" w14:textId="79133A63" w:rsidR="00032E88" w:rsidRPr="00361437" w:rsidRDefault="00013673" w:rsidP="00032E88">
            <w:pPr>
              <w:spacing w:line="256" w:lineRule="auto"/>
              <w:rPr>
                <w:rFonts w:ascii="Arial" w:eastAsia="Times New Roman" w:hAnsi="Arial" w:cs="Arial"/>
                <w:sz w:val="18"/>
              </w:rPr>
            </w:pPr>
            <w:r w:rsidRPr="00361437">
              <w:rPr>
                <w:rFonts w:ascii="Arial" w:eastAsia="Times New Roman" w:hAnsi="Arial" w:cs="Arial"/>
                <w:sz w:val="18"/>
              </w:rPr>
              <w:t>VOTE_WITH_CREDITORS_(0,1)</w:t>
            </w:r>
          </w:p>
        </w:tc>
        <w:tc>
          <w:tcPr>
            <w:tcW w:w="548" w:type="pct"/>
            <w:tcBorders>
              <w:top w:val="single" w:sz="4" w:space="0" w:color="auto"/>
              <w:left w:val="nil"/>
              <w:bottom w:val="single" w:sz="4" w:space="0" w:color="auto"/>
              <w:right w:val="nil"/>
            </w:tcBorders>
            <w:vAlign w:val="center"/>
            <w:hideMark/>
          </w:tcPr>
          <w:p w14:paraId="6780243B" w14:textId="00C21833" w:rsidR="00032E88" w:rsidRPr="00361437" w:rsidRDefault="00655474" w:rsidP="00032E88">
            <w:pPr>
              <w:spacing w:line="256" w:lineRule="auto"/>
              <w:jc w:val="right"/>
              <w:rPr>
                <w:rFonts w:ascii="Arial" w:eastAsia="Times New Roman" w:hAnsi="Arial" w:cs="Arial"/>
                <w:sz w:val="20"/>
              </w:rPr>
            </w:pPr>
            <w:r w:rsidRPr="00361437">
              <w:rPr>
                <w:rFonts w:ascii="Arial" w:eastAsia="Times New Roman" w:hAnsi="Arial" w:cs="Arial"/>
                <w:sz w:val="20"/>
              </w:rPr>
              <w:t>52,745</w:t>
            </w:r>
          </w:p>
        </w:tc>
        <w:tc>
          <w:tcPr>
            <w:tcW w:w="748" w:type="pct"/>
            <w:tcBorders>
              <w:top w:val="single" w:sz="4" w:space="0" w:color="auto"/>
              <w:left w:val="nil"/>
              <w:bottom w:val="single" w:sz="4" w:space="0" w:color="auto"/>
              <w:right w:val="nil"/>
            </w:tcBorders>
            <w:tcMar>
              <w:top w:w="0" w:type="dxa"/>
              <w:left w:w="14" w:type="dxa"/>
              <w:bottom w:w="0" w:type="dxa"/>
              <w:right w:w="14" w:type="dxa"/>
            </w:tcMar>
            <w:vAlign w:val="bottom"/>
            <w:hideMark/>
          </w:tcPr>
          <w:p w14:paraId="39FADD07" w14:textId="79F53F66" w:rsidR="00032E88" w:rsidRPr="00361437" w:rsidRDefault="00032E88" w:rsidP="00032E88">
            <w:pPr>
              <w:tabs>
                <w:tab w:val="decimal" w:pos="390"/>
              </w:tabs>
              <w:spacing w:line="256" w:lineRule="auto"/>
              <w:rPr>
                <w:rFonts w:ascii="Arial" w:eastAsia="Calibri" w:hAnsi="Arial" w:cs="Arial"/>
                <w:color w:val="000000"/>
                <w:sz w:val="20"/>
              </w:rPr>
            </w:pPr>
            <w:r w:rsidRPr="00361437">
              <w:rPr>
                <w:rFonts w:ascii="Arial" w:eastAsia="Calibri" w:hAnsi="Arial" w:cs="Arial"/>
                <w:color w:val="000000"/>
                <w:sz w:val="20"/>
              </w:rPr>
              <w:t>0.</w:t>
            </w:r>
            <w:r w:rsidR="00A760E3" w:rsidRPr="00361437">
              <w:rPr>
                <w:rFonts w:ascii="Arial" w:eastAsia="Calibri" w:hAnsi="Arial" w:cs="Arial"/>
                <w:color w:val="000000"/>
                <w:sz w:val="20"/>
              </w:rPr>
              <w:t>1734</w:t>
            </w:r>
            <w:r w:rsidRPr="00361437">
              <w:rPr>
                <w:rFonts w:ascii="Arial" w:eastAsia="Calibri" w:hAnsi="Arial" w:cs="Arial"/>
                <w:color w:val="000000"/>
                <w:sz w:val="20"/>
                <w:vertAlign w:val="superscript"/>
              </w:rPr>
              <w:t>**</w:t>
            </w:r>
          </w:p>
        </w:tc>
        <w:tc>
          <w:tcPr>
            <w:tcW w:w="663" w:type="pct"/>
            <w:tcBorders>
              <w:top w:val="single" w:sz="4" w:space="0" w:color="auto"/>
              <w:left w:val="nil"/>
              <w:bottom w:val="single" w:sz="4" w:space="0" w:color="auto"/>
              <w:right w:val="nil"/>
            </w:tcBorders>
            <w:vAlign w:val="bottom"/>
            <w:hideMark/>
          </w:tcPr>
          <w:p w14:paraId="67FE2E1B" w14:textId="196DE583" w:rsidR="00032E88" w:rsidRPr="00361437" w:rsidRDefault="00032E88" w:rsidP="00032E88">
            <w:pPr>
              <w:tabs>
                <w:tab w:val="decimal" w:pos="252"/>
              </w:tabs>
              <w:spacing w:line="256" w:lineRule="auto"/>
              <w:rPr>
                <w:rFonts w:ascii="Arial" w:eastAsia="Calibri" w:hAnsi="Arial" w:cs="Arial"/>
                <w:color w:val="000000"/>
                <w:sz w:val="20"/>
              </w:rPr>
            </w:pPr>
            <w:r w:rsidRPr="00361437">
              <w:rPr>
                <w:rFonts w:ascii="Arial" w:eastAsia="Calibri" w:hAnsi="Arial" w:cs="Arial"/>
                <w:color w:val="000000"/>
                <w:sz w:val="20"/>
              </w:rPr>
              <w:t>0.0</w:t>
            </w:r>
            <w:r w:rsidR="00A760E3" w:rsidRPr="00361437">
              <w:rPr>
                <w:rFonts w:ascii="Arial" w:eastAsia="Calibri" w:hAnsi="Arial" w:cs="Arial"/>
                <w:color w:val="000000"/>
                <w:sz w:val="20"/>
              </w:rPr>
              <w:t>265</w:t>
            </w:r>
          </w:p>
        </w:tc>
      </w:tr>
    </w:tbl>
    <w:p w14:paraId="16D412AE" w14:textId="77777777" w:rsidR="00032E88" w:rsidRPr="00361437" w:rsidRDefault="00032E88" w:rsidP="00032E88">
      <w:pPr>
        <w:rPr>
          <w:rFonts w:ascii="Arial" w:eastAsia="Calibri" w:hAnsi="Arial" w:cs="Arial"/>
          <w:b/>
          <w:sz w:val="6"/>
        </w:rPr>
      </w:pPr>
    </w:p>
    <w:p w14:paraId="60DD6511" w14:textId="77777777" w:rsidR="00032E88" w:rsidRPr="00361437" w:rsidRDefault="00032E88" w:rsidP="00032E88">
      <w:pPr>
        <w:rPr>
          <w:rFonts w:ascii="Arial" w:eastAsia="Calibri" w:hAnsi="Arial" w:cs="Arial"/>
          <w:sz w:val="20"/>
        </w:rPr>
      </w:pPr>
    </w:p>
    <w:p w14:paraId="287B1E6F" w14:textId="77777777" w:rsidR="00032E88" w:rsidRPr="00361437" w:rsidRDefault="00032E88" w:rsidP="00032E88">
      <w:pPr>
        <w:rPr>
          <w:rFonts w:eastAsia="Calibri" w:cs="Times New Roman"/>
          <w:b/>
        </w:rPr>
      </w:pPr>
      <w:r w:rsidRPr="00361437">
        <w:rPr>
          <w:rFonts w:eastAsia="Calibri" w:cs="Times New Roman"/>
        </w:rPr>
        <w:br w:type="page"/>
      </w:r>
    </w:p>
    <w:p w14:paraId="164B5953" w14:textId="253E9193" w:rsidR="00032E88" w:rsidRPr="00361437" w:rsidRDefault="00032E88" w:rsidP="00253F3A">
      <w:pPr>
        <w:pStyle w:val="Heading1"/>
        <w:spacing w:line="480" w:lineRule="auto"/>
      </w:pPr>
      <w:r w:rsidRPr="00361437">
        <w:lastRenderedPageBreak/>
        <w:t>Appendix</w:t>
      </w:r>
      <w:r w:rsidR="00A62992" w:rsidRPr="00361437">
        <w:t>.</w:t>
      </w:r>
      <w:r w:rsidRPr="00361437">
        <w:t xml:space="preserve"> Variable </w:t>
      </w:r>
      <w:r w:rsidR="0083222B" w:rsidRPr="00361437">
        <w:t>D</w:t>
      </w:r>
      <w:r w:rsidRPr="00361437">
        <w:t>efinitions</w:t>
      </w:r>
    </w:p>
    <w:bookmarkEnd w:id="14"/>
    <w:p w14:paraId="2E881366" w14:textId="5E6B5EED" w:rsidR="003801FB" w:rsidRPr="00361437" w:rsidRDefault="003801FB" w:rsidP="00253F3A">
      <w:pPr>
        <w:pStyle w:val="Heading2"/>
        <w:numPr>
          <w:ilvl w:val="0"/>
          <w:numId w:val="14"/>
        </w:numPr>
        <w:ind w:left="360"/>
      </w:pPr>
      <w:r w:rsidRPr="00361437">
        <w:t>Family level variables</w:t>
      </w:r>
      <w:r w:rsidRPr="00361437">
        <w:tab/>
      </w:r>
    </w:p>
    <w:p w14:paraId="355CF5F7" w14:textId="6AC15BEF" w:rsidR="003801FB" w:rsidRPr="00361437" w:rsidRDefault="003801FB" w:rsidP="00253F3A">
      <w:pPr>
        <w:tabs>
          <w:tab w:val="left" w:pos="2899"/>
        </w:tabs>
        <w:spacing w:line="480" w:lineRule="auto"/>
        <w:ind w:left="720" w:hanging="720"/>
        <w:rPr>
          <w:rFonts w:eastAsia="Calibri" w:cs="Times New Roman"/>
        </w:rPr>
      </w:pPr>
      <w:r w:rsidRPr="00361437">
        <w:rPr>
          <w:rFonts w:eastAsia="Times New Roman" w:cs="Times New Roman"/>
        </w:rPr>
        <w:t>FAMILY_DEBT_FRACTION</w:t>
      </w:r>
      <w:r w:rsidR="0015559B" w:rsidRPr="00361437">
        <w:rPr>
          <w:rFonts w:eastAsia="Times New Roman" w:cs="Times New Roman"/>
        </w:rPr>
        <w:t xml:space="preserve"> </w:t>
      </w:r>
      <w:r w:rsidR="0015559B" w:rsidRPr="00361437">
        <w:rPr>
          <w:rFonts w:eastAsia="Calibri" w:cs="Times New Roman"/>
        </w:rPr>
        <w:t>is t</w:t>
      </w:r>
      <w:r w:rsidRPr="00361437">
        <w:rPr>
          <w:rFonts w:eastAsia="Calibri" w:cs="Times New Roman"/>
        </w:rPr>
        <w:t>he sum of investment in bonds across all funds of the family in a firm in a year divided by the sum of investment in bonds and equity across all funds of the family in the firm in the year</w:t>
      </w:r>
      <w:r w:rsidR="0015559B" w:rsidRPr="00361437">
        <w:rPr>
          <w:rFonts w:eastAsia="Calibri" w:cs="Times New Roman"/>
        </w:rPr>
        <w:t>.</w:t>
      </w:r>
    </w:p>
    <w:p w14:paraId="4A54CA43" w14:textId="16F0CF3F" w:rsidR="003801FB" w:rsidRPr="00361437" w:rsidRDefault="003801FB" w:rsidP="00253F3A">
      <w:pPr>
        <w:tabs>
          <w:tab w:val="left" w:pos="2899"/>
        </w:tabs>
        <w:spacing w:line="480" w:lineRule="auto"/>
        <w:ind w:left="720" w:hanging="720"/>
        <w:rPr>
          <w:rFonts w:eastAsia="Calibri" w:cs="Times New Roman"/>
        </w:rPr>
      </w:pPr>
      <w:r w:rsidRPr="00361437">
        <w:rPr>
          <w:rFonts w:eastAsia="Times New Roman" w:cs="Times New Roman"/>
        </w:rPr>
        <w:t>BIG_HOLDING_(0,1)</w:t>
      </w:r>
      <w:r w:rsidR="0015559B" w:rsidRPr="00361437">
        <w:rPr>
          <w:rFonts w:eastAsia="Times New Roman" w:cs="Times New Roman"/>
        </w:rPr>
        <w:t xml:space="preserve"> </w:t>
      </w:r>
      <w:r w:rsidR="0015559B" w:rsidRPr="00361437">
        <w:rPr>
          <w:rFonts w:eastAsia="Calibri" w:cs="Times New Roman"/>
        </w:rPr>
        <w:t>is o</w:t>
      </w:r>
      <w:r w:rsidRPr="00361437">
        <w:rPr>
          <w:rFonts w:eastAsia="Calibri" w:cs="Times New Roman"/>
        </w:rPr>
        <w:t>ne if the investment of the fund family in the firm concerned is above the size of its 75th percentile investment in the year concerned and zero otherwise</w:t>
      </w:r>
      <w:r w:rsidR="0015559B" w:rsidRPr="00361437">
        <w:rPr>
          <w:rFonts w:eastAsia="Calibri" w:cs="Times New Roman"/>
        </w:rPr>
        <w:t>.</w:t>
      </w:r>
    </w:p>
    <w:p w14:paraId="072CFF24" w14:textId="39A7B9D1" w:rsidR="003801FB" w:rsidRPr="00361437" w:rsidRDefault="003801FB" w:rsidP="00253F3A">
      <w:pPr>
        <w:tabs>
          <w:tab w:val="left" w:pos="2899"/>
        </w:tabs>
        <w:spacing w:line="480" w:lineRule="auto"/>
        <w:ind w:left="720" w:hanging="720"/>
        <w:rPr>
          <w:rFonts w:eastAsia="Calibri" w:cs="Times New Roman"/>
        </w:rPr>
      </w:pPr>
      <w:r w:rsidRPr="00361437">
        <w:rPr>
          <w:rFonts w:eastAsia="Calibri" w:cs="Times New Roman"/>
        </w:rPr>
        <w:t>NUMBER_OF_FUNDS_IN_THE_FAMILY</w:t>
      </w:r>
      <w:r w:rsidR="0015559B" w:rsidRPr="00361437">
        <w:rPr>
          <w:rFonts w:eastAsia="Times New Roman" w:cs="Times New Roman"/>
        </w:rPr>
        <w:t xml:space="preserve"> </w:t>
      </w:r>
      <w:r w:rsidR="0015559B" w:rsidRPr="00361437">
        <w:rPr>
          <w:rFonts w:eastAsia="Calibri" w:cs="Times New Roman"/>
        </w:rPr>
        <w:t>is t</w:t>
      </w:r>
      <w:r w:rsidRPr="00361437">
        <w:rPr>
          <w:rFonts w:eastAsia="Calibri" w:cs="Times New Roman"/>
        </w:rPr>
        <w:t>he logarithm of the number of individual funds owned by the fund family</w:t>
      </w:r>
      <w:r w:rsidR="0015559B" w:rsidRPr="00361437">
        <w:rPr>
          <w:rFonts w:eastAsia="Calibri" w:cs="Times New Roman"/>
        </w:rPr>
        <w:t>.</w:t>
      </w:r>
    </w:p>
    <w:p w14:paraId="6444BD80" w14:textId="2CC85248" w:rsidR="003801FB" w:rsidRPr="00361437" w:rsidRDefault="003801FB" w:rsidP="00253F3A">
      <w:pPr>
        <w:pStyle w:val="Heading2"/>
        <w:numPr>
          <w:ilvl w:val="0"/>
          <w:numId w:val="14"/>
        </w:numPr>
        <w:ind w:left="360"/>
      </w:pPr>
      <w:r w:rsidRPr="00361437">
        <w:t>Firm level variables</w:t>
      </w:r>
      <w:r w:rsidRPr="00361437">
        <w:tab/>
      </w:r>
    </w:p>
    <w:p w14:paraId="3C26C4E5" w14:textId="72905885" w:rsidR="003801FB" w:rsidRPr="00361437" w:rsidRDefault="003801FB" w:rsidP="00253F3A">
      <w:pPr>
        <w:tabs>
          <w:tab w:val="left" w:pos="2899"/>
        </w:tabs>
        <w:spacing w:line="480" w:lineRule="auto"/>
        <w:ind w:left="720" w:hanging="720"/>
        <w:rPr>
          <w:rFonts w:eastAsia="Calibri" w:cs="Times New Roman"/>
        </w:rPr>
      </w:pPr>
      <w:r w:rsidRPr="00361437">
        <w:rPr>
          <w:rFonts w:eastAsia="Calibri" w:cs="Times New Roman"/>
        </w:rPr>
        <w:t>VALUE_WEIGHTED_DEBT_FRACTION</w:t>
      </w:r>
      <w:r w:rsidR="0015559B" w:rsidRPr="00361437">
        <w:rPr>
          <w:rFonts w:eastAsia="Calibri" w:cs="Times New Roman"/>
        </w:rPr>
        <w:t xml:space="preserve"> is t</w:t>
      </w:r>
      <w:r w:rsidRPr="00361437">
        <w:rPr>
          <w:rFonts w:eastAsia="Calibri" w:cs="Times New Roman"/>
        </w:rPr>
        <w:t>he value weighted debt fraction by all families in a firm in a year with the weight being family’s investment (sum of both debt and equity) in the firm. Debt fraction at the family level is the proportion of investment in bonds in total investment in bonds and equity for all funds in the family.</w:t>
      </w:r>
    </w:p>
    <w:p w14:paraId="365C6686" w14:textId="26A0DF1A" w:rsidR="003801FB" w:rsidRPr="00361437" w:rsidRDefault="003801FB" w:rsidP="00253F3A">
      <w:pPr>
        <w:tabs>
          <w:tab w:val="left" w:pos="2899"/>
        </w:tabs>
        <w:spacing w:line="480" w:lineRule="auto"/>
        <w:ind w:left="720" w:hanging="720"/>
        <w:rPr>
          <w:rFonts w:eastAsia="Calibri" w:cs="Times New Roman"/>
        </w:rPr>
      </w:pPr>
      <w:r w:rsidRPr="00361437">
        <w:rPr>
          <w:rFonts w:eastAsia="Calibri" w:cs="Times New Roman"/>
        </w:rPr>
        <w:t>DISTRESS_(0,1)</w:t>
      </w:r>
      <w:r w:rsidR="0015559B" w:rsidRPr="00361437">
        <w:rPr>
          <w:rFonts w:eastAsia="Times New Roman" w:cs="Times New Roman"/>
        </w:rPr>
        <w:t xml:space="preserve"> </w:t>
      </w:r>
      <w:r w:rsidR="0015559B" w:rsidRPr="00361437">
        <w:rPr>
          <w:rFonts w:eastAsia="Calibri" w:cs="Times New Roman"/>
        </w:rPr>
        <w:t>is o</w:t>
      </w:r>
      <w:r w:rsidRPr="00361437">
        <w:rPr>
          <w:rFonts w:eastAsia="Calibri" w:cs="Times New Roman"/>
        </w:rPr>
        <w:t xml:space="preserve">ne if the firm’s default probability is at least 75% in the year concerned and zero otherwise. We measure a firm’s default probability using the distance to default proposed by Bharath and Shumway (2008). </w:t>
      </w:r>
    </w:p>
    <w:p w14:paraId="11D5FAA6" w14:textId="2CB5BBAB" w:rsidR="003801FB" w:rsidRPr="00361437" w:rsidRDefault="003801FB" w:rsidP="00253F3A">
      <w:pPr>
        <w:tabs>
          <w:tab w:val="left" w:pos="2899"/>
        </w:tabs>
        <w:spacing w:line="480" w:lineRule="auto"/>
        <w:ind w:left="720" w:hanging="720"/>
        <w:rPr>
          <w:rFonts w:eastAsia="Calibri" w:cs="Times New Roman"/>
        </w:rPr>
      </w:pPr>
      <w:r w:rsidRPr="00361437">
        <w:rPr>
          <w:rFonts w:eastAsia="Calibri" w:cs="Times New Roman"/>
        </w:rPr>
        <w:t>MARKET_CAP</w:t>
      </w:r>
      <w:r w:rsidR="0015559B" w:rsidRPr="00361437">
        <w:rPr>
          <w:rFonts w:eastAsia="Calibri" w:cs="Times New Roman"/>
        </w:rPr>
        <w:t xml:space="preserve"> is t</w:t>
      </w:r>
      <w:r w:rsidRPr="00361437">
        <w:rPr>
          <w:rFonts w:eastAsia="Calibri" w:cs="Times New Roman"/>
        </w:rPr>
        <w:t>he market value of equity of the firm at the fiscal year end date (PRCC_F</w:t>
      </w:r>
      <w:r w:rsidR="001F6778" w:rsidRPr="00361437">
        <w:rPr>
          <w:rFonts w:eastAsia="Calibri" w:cs="Times New Roman"/>
        </w:rPr>
        <w:t xml:space="preserve"> </w:t>
      </w:r>
      <w:r w:rsidRPr="00361437">
        <w:rPr>
          <w:rFonts w:eastAsia="Calibri" w:cs="Times New Roman"/>
        </w:rPr>
        <w:t>×</w:t>
      </w:r>
      <w:r w:rsidR="001F6778" w:rsidRPr="00361437">
        <w:rPr>
          <w:rFonts w:eastAsia="Calibri" w:cs="Times New Roman"/>
        </w:rPr>
        <w:t xml:space="preserve"> </w:t>
      </w:r>
      <w:r w:rsidRPr="00361437">
        <w:rPr>
          <w:rFonts w:eastAsia="Calibri" w:cs="Times New Roman"/>
        </w:rPr>
        <w:t>CSHO)</w:t>
      </w:r>
      <w:r w:rsidR="0015559B" w:rsidRPr="00361437">
        <w:rPr>
          <w:rFonts w:eastAsia="Calibri" w:cs="Times New Roman"/>
        </w:rPr>
        <w:t>.</w:t>
      </w:r>
    </w:p>
    <w:p w14:paraId="58FD6F38" w14:textId="784AFDC3" w:rsidR="003801FB" w:rsidRPr="00361437" w:rsidRDefault="003801FB" w:rsidP="00253F3A">
      <w:pPr>
        <w:tabs>
          <w:tab w:val="left" w:pos="2899"/>
        </w:tabs>
        <w:spacing w:line="480" w:lineRule="auto"/>
        <w:ind w:left="720" w:hanging="720"/>
        <w:rPr>
          <w:rFonts w:eastAsia="Calibri" w:cs="Times New Roman"/>
        </w:rPr>
      </w:pPr>
      <w:r w:rsidRPr="00361437">
        <w:rPr>
          <w:rFonts w:eastAsia="Times New Roman" w:cs="Times New Roman"/>
        </w:rPr>
        <w:t>MARKET_TO_BOOK</w:t>
      </w:r>
      <w:r w:rsidR="0015559B" w:rsidRPr="00361437">
        <w:rPr>
          <w:rFonts w:eastAsia="Calibri" w:cs="Times New Roman"/>
        </w:rPr>
        <w:t xml:space="preserve"> is t</w:t>
      </w:r>
      <w:r w:rsidRPr="00361437">
        <w:rPr>
          <w:rFonts w:eastAsia="Calibri" w:cs="Times New Roman"/>
        </w:rPr>
        <w:t>he market value of assets (PRCC_F</w:t>
      </w:r>
      <w:r w:rsidR="001F6778" w:rsidRPr="00361437">
        <w:rPr>
          <w:rFonts w:eastAsia="Calibri" w:cs="Times New Roman"/>
        </w:rPr>
        <w:t xml:space="preserve"> </w:t>
      </w:r>
      <w:r w:rsidRPr="00361437">
        <w:rPr>
          <w:rFonts w:eastAsia="Calibri" w:cs="Times New Roman"/>
        </w:rPr>
        <w:t>×</w:t>
      </w:r>
      <w:r w:rsidR="001F6778" w:rsidRPr="00361437">
        <w:rPr>
          <w:rFonts w:eastAsia="Calibri" w:cs="Times New Roman"/>
        </w:rPr>
        <w:t xml:space="preserve"> </w:t>
      </w:r>
      <w:r w:rsidRPr="00361437">
        <w:rPr>
          <w:rFonts w:eastAsia="Calibri" w:cs="Times New Roman"/>
        </w:rPr>
        <w:t>CSHO) divided by the book value of assets (AT)</w:t>
      </w:r>
      <w:r w:rsidR="0015559B" w:rsidRPr="00361437">
        <w:rPr>
          <w:rFonts w:eastAsia="Calibri" w:cs="Times New Roman"/>
        </w:rPr>
        <w:t>.</w:t>
      </w:r>
    </w:p>
    <w:p w14:paraId="0DA0AB09" w14:textId="4E122DEF" w:rsidR="003801FB" w:rsidRPr="00361437" w:rsidRDefault="003801FB" w:rsidP="00253F3A">
      <w:pPr>
        <w:tabs>
          <w:tab w:val="left" w:pos="2899"/>
        </w:tabs>
        <w:spacing w:line="480" w:lineRule="auto"/>
        <w:ind w:left="720" w:hanging="720"/>
        <w:rPr>
          <w:rFonts w:eastAsia="Calibri" w:cs="Times New Roman"/>
        </w:rPr>
      </w:pPr>
      <w:r w:rsidRPr="00361437">
        <w:rPr>
          <w:rFonts w:eastAsia="Calibri" w:cs="Times New Roman"/>
        </w:rPr>
        <w:t>LEVERAGE</w:t>
      </w:r>
      <w:r w:rsidR="0015559B" w:rsidRPr="00361437">
        <w:rPr>
          <w:rFonts w:eastAsia="Calibri" w:cs="Times New Roman"/>
        </w:rPr>
        <w:t xml:space="preserve"> is </w:t>
      </w:r>
      <w:r w:rsidRPr="00361437">
        <w:rPr>
          <w:rFonts w:eastAsia="Calibri" w:cs="Times New Roman"/>
        </w:rPr>
        <w:t>the book value of debt (DLTT + DLC) divided by the sum of book value of debt and market value of equity (DLTT + DLC + PRCC_F</w:t>
      </w:r>
      <w:r w:rsidR="001F6778" w:rsidRPr="00361437">
        <w:rPr>
          <w:rFonts w:eastAsia="Calibri" w:cs="Times New Roman"/>
        </w:rPr>
        <w:t xml:space="preserve"> </w:t>
      </w:r>
      <w:r w:rsidRPr="00361437">
        <w:rPr>
          <w:rFonts w:eastAsia="Calibri" w:cs="Times New Roman"/>
        </w:rPr>
        <w:t>×</w:t>
      </w:r>
      <w:r w:rsidR="001F6778" w:rsidRPr="00361437">
        <w:rPr>
          <w:rFonts w:eastAsia="Calibri" w:cs="Times New Roman"/>
        </w:rPr>
        <w:t xml:space="preserve"> </w:t>
      </w:r>
      <w:r w:rsidRPr="00361437">
        <w:rPr>
          <w:rFonts w:eastAsia="Calibri" w:cs="Times New Roman"/>
        </w:rPr>
        <w:t>CSHO)</w:t>
      </w:r>
      <w:r w:rsidR="0015559B" w:rsidRPr="00361437">
        <w:rPr>
          <w:rFonts w:eastAsia="Calibri" w:cs="Times New Roman"/>
        </w:rPr>
        <w:t>.</w:t>
      </w:r>
    </w:p>
    <w:p w14:paraId="67CE3D20" w14:textId="615CBABF" w:rsidR="003801FB" w:rsidRPr="00361437" w:rsidRDefault="003801FB" w:rsidP="00253F3A">
      <w:pPr>
        <w:tabs>
          <w:tab w:val="left" w:pos="2899"/>
        </w:tabs>
        <w:spacing w:line="480" w:lineRule="auto"/>
        <w:ind w:left="720" w:hanging="720"/>
        <w:rPr>
          <w:rFonts w:eastAsia="Calibri" w:cs="Times New Roman"/>
        </w:rPr>
      </w:pPr>
      <w:r w:rsidRPr="00361437">
        <w:rPr>
          <w:rFonts w:eastAsia="Calibri" w:cs="Times New Roman"/>
        </w:rPr>
        <w:t>ROA</w:t>
      </w:r>
      <w:r w:rsidR="0015559B" w:rsidRPr="00361437">
        <w:rPr>
          <w:rFonts w:eastAsia="Calibri" w:cs="Times New Roman"/>
        </w:rPr>
        <w:t xml:space="preserve"> is t</w:t>
      </w:r>
      <w:r w:rsidRPr="00361437">
        <w:rPr>
          <w:rFonts w:eastAsia="Calibri" w:cs="Times New Roman"/>
        </w:rPr>
        <w:t>he operating income before depreciation (OIBDP) divided by the beginning book value of assets (AT)</w:t>
      </w:r>
      <w:r w:rsidR="0015559B" w:rsidRPr="00361437">
        <w:rPr>
          <w:rFonts w:eastAsia="Calibri" w:cs="Times New Roman"/>
        </w:rPr>
        <w:t>.</w:t>
      </w:r>
    </w:p>
    <w:p w14:paraId="6E0BF20D" w14:textId="3D752A65" w:rsidR="003801FB" w:rsidRPr="00361437" w:rsidRDefault="003801FB" w:rsidP="00253F3A">
      <w:pPr>
        <w:tabs>
          <w:tab w:val="left" w:pos="2899"/>
        </w:tabs>
        <w:spacing w:line="480" w:lineRule="auto"/>
        <w:ind w:left="720" w:hanging="720"/>
        <w:rPr>
          <w:rFonts w:eastAsia="Calibri" w:cs="Times New Roman"/>
        </w:rPr>
      </w:pPr>
      <w:r w:rsidRPr="00361437">
        <w:rPr>
          <w:rFonts w:eastAsia="Calibri" w:cs="Times New Roman"/>
        </w:rPr>
        <w:t>FIRM_AGE</w:t>
      </w:r>
      <w:r w:rsidR="0015559B" w:rsidRPr="00361437">
        <w:rPr>
          <w:rFonts w:eastAsia="Calibri" w:cs="Times New Roman"/>
        </w:rPr>
        <w:t xml:space="preserve"> is </w:t>
      </w:r>
      <w:r w:rsidRPr="00361437">
        <w:rPr>
          <w:rFonts w:eastAsia="Calibri" w:cs="Times New Roman"/>
        </w:rPr>
        <w:t>the number of years since the IPO date (or the first CRSP date if IPO date is missing)</w:t>
      </w:r>
      <w:r w:rsidR="0015559B" w:rsidRPr="00361437">
        <w:rPr>
          <w:rFonts w:eastAsia="Calibri" w:cs="Times New Roman"/>
        </w:rPr>
        <w:t>.</w:t>
      </w:r>
    </w:p>
    <w:p w14:paraId="5B51DF79" w14:textId="52E84BF1" w:rsidR="003801FB" w:rsidRPr="00361437" w:rsidRDefault="003801FB" w:rsidP="00253F3A">
      <w:pPr>
        <w:tabs>
          <w:tab w:val="left" w:pos="2899"/>
        </w:tabs>
        <w:spacing w:line="480" w:lineRule="auto"/>
        <w:ind w:left="720" w:hanging="720"/>
        <w:rPr>
          <w:rFonts w:eastAsia="Calibri" w:cs="Times New Roman"/>
        </w:rPr>
      </w:pPr>
      <w:r w:rsidRPr="00361437">
        <w:rPr>
          <w:rFonts w:eastAsia="Calibri" w:cs="Times New Roman"/>
        </w:rPr>
        <w:lastRenderedPageBreak/>
        <w:t>INSTITUTIONAL_BLOCK_OWNERSHIP</w:t>
      </w:r>
      <w:r w:rsidR="0015559B" w:rsidRPr="00361437">
        <w:rPr>
          <w:rFonts w:eastAsia="Calibri" w:cs="Times New Roman"/>
        </w:rPr>
        <w:t xml:space="preserve"> is t</w:t>
      </w:r>
      <w:r w:rsidRPr="00361437">
        <w:rPr>
          <w:rFonts w:eastAsia="Calibri" w:cs="Times New Roman"/>
        </w:rPr>
        <w:t>he total number of shares owned by all institutional blockholders (at least 5% ownership in the firm) on the firm’s total shares outstanding</w:t>
      </w:r>
      <w:r w:rsidR="0015559B" w:rsidRPr="00361437">
        <w:rPr>
          <w:rFonts w:eastAsia="Calibri" w:cs="Times New Roman"/>
        </w:rPr>
        <w:t>.</w:t>
      </w:r>
    </w:p>
    <w:p w14:paraId="6EF6FD72" w14:textId="34B641EE" w:rsidR="003801FB" w:rsidRPr="00361437" w:rsidRDefault="003801FB" w:rsidP="00253F3A">
      <w:pPr>
        <w:tabs>
          <w:tab w:val="left" w:pos="2899"/>
        </w:tabs>
        <w:spacing w:line="480" w:lineRule="auto"/>
        <w:ind w:left="720" w:hanging="720"/>
        <w:rPr>
          <w:rFonts w:eastAsia="Calibri" w:cs="Times New Roman"/>
        </w:rPr>
      </w:pPr>
      <w:r w:rsidRPr="00361437">
        <w:rPr>
          <w:rFonts w:eastAsia="Calibri" w:cs="Times New Roman"/>
        </w:rPr>
        <w:t>FRACTION_OF_VOTES_WITH_CREDITORS</w:t>
      </w:r>
      <w:r w:rsidR="0015559B" w:rsidRPr="00361437">
        <w:rPr>
          <w:rFonts w:eastAsia="Calibri" w:cs="Times New Roman"/>
        </w:rPr>
        <w:t>: W</w:t>
      </w:r>
      <w:r w:rsidRPr="00361437">
        <w:rPr>
          <w:rFonts w:eastAsia="Calibri" w:cs="Times New Roman"/>
        </w:rPr>
        <w:t>e calculate first the fraction of votes in the interest of creditors for each fund family across each conflict proposal category, then average the fraction of votes in the interest of creditors for each fund family across all conflict proposal categories, and finally calculate an equity-value weighted average fraction of votes in the interest of creditors across fund families in a firm in a given year</w:t>
      </w:r>
      <w:r w:rsidR="0015559B" w:rsidRPr="00361437">
        <w:rPr>
          <w:rFonts w:eastAsia="Calibri" w:cs="Times New Roman"/>
        </w:rPr>
        <w:t>.</w:t>
      </w:r>
    </w:p>
    <w:p w14:paraId="1465EC1D" w14:textId="4F0C1815" w:rsidR="003801FB" w:rsidRPr="00361437" w:rsidRDefault="003801FB" w:rsidP="00253F3A">
      <w:pPr>
        <w:tabs>
          <w:tab w:val="left" w:pos="2899"/>
        </w:tabs>
        <w:spacing w:line="480" w:lineRule="auto"/>
        <w:ind w:left="720" w:hanging="720"/>
        <w:rPr>
          <w:rFonts w:eastAsia="Calibri" w:cs="Times New Roman"/>
        </w:rPr>
      </w:pPr>
      <w:r w:rsidRPr="00361437">
        <w:rPr>
          <w:rFonts w:eastAsia="Calibri" w:cs="Times New Roman"/>
        </w:rPr>
        <w:t>CAPEX</w:t>
      </w:r>
      <w:r w:rsidR="0015559B" w:rsidRPr="00361437">
        <w:rPr>
          <w:rFonts w:eastAsia="Calibri" w:cs="Times New Roman"/>
        </w:rPr>
        <w:t xml:space="preserve"> is the firm’s </w:t>
      </w:r>
      <w:r w:rsidRPr="00361437">
        <w:rPr>
          <w:rFonts w:eastAsia="Calibri" w:cs="Times New Roman"/>
        </w:rPr>
        <w:t xml:space="preserve">capital expenditure (CAPX) divided by </w:t>
      </w:r>
      <w:r w:rsidR="0015559B" w:rsidRPr="00361437">
        <w:rPr>
          <w:rFonts w:eastAsia="Calibri" w:cs="Times New Roman"/>
        </w:rPr>
        <w:t xml:space="preserve">its </w:t>
      </w:r>
      <w:r w:rsidRPr="00361437">
        <w:rPr>
          <w:rFonts w:eastAsia="Calibri" w:cs="Times New Roman"/>
        </w:rPr>
        <w:t>total assets (AT) (set to zero if missing)</w:t>
      </w:r>
      <w:r w:rsidR="0015559B" w:rsidRPr="00361437">
        <w:rPr>
          <w:rFonts w:eastAsia="Calibri" w:cs="Times New Roman"/>
        </w:rPr>
        <w:t>.</w:t>
      </w:r>
    </w:p>
    <w:p w14:paraId="251FC504" w14:textId="1E04C88E" w:rsidR="003801FB" w:rsidRPr="00361437" w:rsidRDefault="003801FB" w:rsidP="00253F3A">
      <w:pPr>
        <w:tabs>
          <w:tab w:val="left" w:pos="2899"/>
        </w:tabs>
        <w:spacing w:line="480" w:lineRule="auto"/>
        <w:ind w:left="720" w:hanging="720"/>
        <w:rPr>
          <w:rFonts w:eastAsia="Calibri" w:cs="Times New Roman"/>
        </w:rPr>
      </w:pPr>
      <w:r w:rsidRPr="00361437">
        <w:rPr>
          <w:rFonts w:eastAsia="Calibri" w:cs="Times New Roman"/>
        </w:rPr>
        <w:t>SEO</w:t>
      </w:r>
      <w:r w:rsidR="0015559B" w:rsidRPr="00361437">
        <w:rPr>
          <w:rFonts w:eastAsia="Calibri" w:cs="Times New Roman"/>
        </w:rPr>
        <w:t xml:space="preserve"> is the </w:t>
      </w:r>
      <w:r w:rsidRPr="00361437">
        <w:rPr>
          <w:rFonts w:eastAsia="Calibri" w:cs="Times New Roman"/>
        </w:rPr>
        <w:t xml:space="preserve">proceeds from seasoned equity offering (from SDC) divided by </w:t>
      </w:r>
      <w:r w:rsidR="0015559B" w:rsidRPr="00361437">
        <w:rPr>
          <w:rFonts w:eastAsia="Calibri" w:cs="Times New Roman"/>
        </w:rPr>
        <w:t xml:space="preserve">the firm’s </w:t>
      </w:r>
      <w:r w:rsidRPr="00361437">
        <w:rPr>
          <w:rFonts w:eastAsia="Calibri" w:cs="Times New Roman"/>
        </w:rPr>
        <w:t>total assets (AT) (set to zero if missing)</w:t>
      </w:r>
      <w:r w:rsidR="0015559B" w:rsidRPr="00361437">
        <w:rPr>
          <w:rFonts w:eastAsia="Calibri" w:cs="Times New Roman"/>
        </w:rPr>
        <w:t>.</w:t>
      </w:r>
    </w:p>
    <w:p w14:paraId="4ED5F1EF" w14:textId="02F27B61" w:rsidR="003801FB" w:rsidRPr="00361437" w:rsidRDefault="003801FB" w:rsidP="00253F3A">
      <w:pPr>
        <w:tabs>
          <w:tab w:val="left" w:pos="2899"/>
        </w:tabs>
        <w:spacing w:line="480" w:lineRule="auto"/>
        <w:ind w:left="720" w:hanging="720"/>
        <w:rPr>
          <w:rFonts w:eastAsia="Calibri" w:cs="Times New Roman"/>
        </w:rPr>
      </w:pPr>
      <w:r w:rsidRPr="00361437">
        <w:rPr>
          <w:rFonts w:eastAsia="Calibri" w:cs="Times New Roman"/>
        </w:rPr>
        <w:t>NON-CORE_M&amp;A</w:t>
      </w:r>
      <w:r w:rsidR="0015559B" w:rsidRPr="00361437">
        <w:rPr>
          <w:rFonts w:eastAsia="Calibri" w:cs="Times New Roman"/>
        </w:rPr>
        <w:t xml:space="preserve"> is </w:t>
      </w:r>
      <w:r w:rsidRPr="00361437">
        <w:rPr>
          <w:rFonts w:eastAsia="Calibri" w:cs="Times New Roman"/>
        </w:rPr>
        <w:t>one if the firm make a non-core acquisition (in which the target and the acquirer are not in the same two</w:t>
      </w:r>
      <w:r w:rsidR="001F6778" w:rsidRPr="00361437">
        <w:rPr>
          <w:rFonts w:eastAsia="Calibri" w:cs="Times New Roman"/>
        </w:rPr>
        <w:t>-</w:t>
      </w:r>
      <w:r w:rsidRPr="00361437">
        <w:rPr>
          <w:rFonts w:eastAsia="Calibri" w:cs="Times New Roman"/>
        </w:rPr>
        <w:t>digit SIC) and zero otherwise</w:t>
      </w:r>
      <w:r w:rsidR="0015559B" w:rsidRPr="00361437">
        <w:rPr>
          <w:rFonts w:eastAsia="Calibri" w:cs="Times New Roman"/>
        </w:rPr>
        <w:t>.</w:t>
      </w:r>
    </w:p>
    <w:p w14:paraId="00AF429B" w14:textId="543A812A" w:rsidR="003801FB" w:rsidRPr="00361437" w:rsidRDefault="003801FB" w:rsidP="00253F3A">
      <w:pPr>
        <w:tabs>
          <w:tab w:val="left" w:pos="2899"/>
        </w:tabs>
        <w:spacing w:line="480" w:lineRule="auto"/>
        <w:ind w:left="720" w:hanging="720"/>
        <w:rPr>
          <w:rFonts w:eastAsia="Calibri" w:cs="Times New Roman"/>
        </w:rPr>
      </w:pPr>
      <w:r w:rsidRPr="00361437">
        <w:rPr>
          <w:rFonts w:eastAsia="Calibri" w:cs="Times New Roman"/>
        </w:rPr>
        <w:t>DIVIDEND</w:t>
      </w:r>
      <w:r w:rsidR="0015559B" w:rsidRPr="00361437">
        <w:rPr>
          <w:rFonts w:eastAsia="Calibri" w:cs="Times New Roman"/>
        </w:rPr>
        <w:t xml:space="preserve"> is the firm’s </w:t>
      </w:r>
      <w:r w:rsidRPr="00361437">
        <w:rPr>
          <w:rFonts w:eastAsia="Calibri" w:cs="Times New Roman"/>
        </w:rPr>
        <w:t xml:space="preserve">dividends (DVT) divided by </w:t>
      </w:r>
      <w:r w:rsidR="0015559B" w:rsidRPr="00361437">
        <w:rPr>
          <w:rFonts w:eastAsia="Calibri" w:cs="Times New Roman"/>
        </w:rPr>
        <w:t xml:space="preserve">its </w:t>
      </w:r>
      <w:r w:rsidRPr="00361437">
        <w:rPr>
          <w:rFonts w:eastAsia="Calibri" w:cs="Times New Roman"/>
        </w:rPr>
        <w:t>total assets (AT) (set to zero if missing)</w:t>
      </w:r>
      <w:r w:rsidR="0015559B" w:rsidRPr="00361437">
        <w:rPr>
          <w:rFonts w:eastAsia="Calibri" w:cs="Times New Roman"/>
        </w:rPr>
        <w:t>.</w:t>
      </w:r>
    </w:p>
    <w:p w14:paraId="5E9AF38C" w14:textId="6379FF2C" w:rsidR="003801FB" w:rsidRPr="00361437" w:rsidRDefault="003801FB" w:rsidP="00253F3A">
      <w:pPr>
        <w:tabs>
          <w:tab w:val="left" w:pos="2899"/>
        </w:tabs>
        <w:spacing w:line="480" w:lineRule="auto"/>
        <w:ind w:left="720" w:hanging="720"/>
        <w:rPr>
          <w:rFonts w:eastAsia="Calibri" w:cs="Times New Roman"/>
        </w:rPr>
      </w:pPr>
      <w:r w:rsidRPr="00361437">
        <w:rPr>
          <w:rFonts w:eastAsia="Calibri" w:cs="Times New Roman"/>
        </w:rPr>
        <w:t>REPURCHASE</w:t>
      </w:r>
      <w:r w:rsidR="0015559B" w:rsidRPr="00361437">
        <w:rPr>
          <w:rFonts w:eastAsia="Calibri" w:cs="Times New Roman"/>
        </w:rPr>
        <w:t xml:space="preserve"> is the firm’s </w:t>
      </w:r>
      <w:r w:rsidRPr="00361437">
        <w:rPr>
          <w:rFonts w:eastAsia="Calibri" w:cs="Times New Roman"/>
        </w:rPr>
        <w:t xml:space="preserve">share repurchase (PRSTKC) scaled by </w:t>
      </w:r>
      <w:r w:rsidR="0015559B" w:rsidRPr="00361437">
        <w:rPr>
          <w:rFonts w:eastAsia="Calibri" w:cs="Times New Roman"/>
        </w:rPr>
        <w:t xml:space="preserve">its </w:t>
      </w:r>
      <w:r w:rsidRPr="00361437">
        <w:rPr>
          <w:rFonts w:eastAsia="Calibri" w:cs="Times New Roman"/>
        </w:rPr>
        <w:t>total assets (AT) (set to zero if missing)</w:t>
      </w:r>
      <w:r w:rsidR="0015559B" w:rsidRPr="00361437">
        <w:rPr>
          <w:rFonts w:eastAsia="Calibri" w:cs="Times New Roman"/>
        </w:rPr>
        <w:t>.</w:t>
      </w:r>
    </w:p>
    <w:p w14:paraId="797E2763" w14:textId="55EF2913" w:rsidR="003801FB" w:rsidRPr="00361437" w:rsidRDefault="003801FB" w:rsidP="00253F3A">
      <w:pPr>
        <w:pStyle w:val="Heading2"/>
        <w:numPr>
          <w:ilvl w:val="0"/>
          <w:numId w:val="14"/>
        </w:numPr>
        <w:ind w:left="360"/>
      </w:pPr>
      <w:r w:rsidRPr="00361437">
        <w:t>Vote level variables</w:t>
      </w:r>
      <w:r w:rsidRPr="00361437">
        <w:tab/>
      </w:r>
    </w:p>
    <w:p w14:paraId="77B9EAFC" w14:textId="1CF60EEA" w:rsidR="003801FB" w:rsidRPr="00361437" w:rsidRDefault="003801FB" w:rsidP="00253F3A">
      <w:pPr>
        <w:tabs>
          <w:tab w:val="left" w:pos="2899"/>
        </w:tabs>
        <w:spacing w:line="480" w:lineRule="auto"/>
        <w:ind w:left="720" w:hanging="720"/>
        <w:rPr>
          <w:rFonts w:eastAsia="Calibri" w:cs="Times New Roman"/>
        </w:rPr>
      </w:pPr>
      <w:r w:rsidRPr="00361437">
        <w:rPr>
          <w:rFonts w:eastAsia="Calibri" w:cs="Times New Roman"/>
        </w:rPr>
        <w:t>VOTE_WITH_CREDITORS_(0,1)</w:t>
      </w:r>
      <w:r w:rsidR="0015559B" w:rsidRPr="00361437">
        <w:rPr>
          <w:rFonts w:eastAsia="Calibri" w:cs="Times New Roman"/>
        </w:rPr>
        <w:t xml:space="preserve"> is </w:t>
      </w:r>
      <w:r w:rsidRPr="00361437">
        <w:rPr>
          <w:rFonts w:eastAsia="Calibri" w:cs="Times New Roman"/>
        </w:rPr>
        <w:t>one if a given fund family cast more than 50% of the votes of its funds in favor of creditors for the conflict proposal concerned in which there is a conflict of interest between debt holders and equity holders, and zero otherwise</w:t>
      </w:r>
      <w:r w:rsidR="0015559B" w:rsidRPr="00361437">
        <w:rPr>
          <w:rFonts w:eastAsia="Calibri" w:cs="Times New Roman"/>
        </w:rPr>
        <w:t>.</w:t>
      </w:r>
      <w:r w:rsidRPr="00361437">
        <w:rPr>
          <w:rFonts w:eastAsia="Calibri" w:cs="Times New Roman"/>
        </w:rPr>
        <w:t xml:space="preserve"> </w:t>
      </w:r>
    </w:p>
    <w:p w14:paraId="3278C6A6" w14:textId="26A6E0DB" w:rsidR="003801FB" w:rsidRPr="0015559B" w:rsidRDefault="003801FB" w:rsidP="00253F3A">
      <w:pPr>
        <w:tabs>
          <w:tab w:val="left" w:pos="2899"/>
        </w:tabs>
        <w:spacing w:line="480" w:lineRule="auto"/>
        <w:ind w:left="720" w:hanging="720"/>
        <w:rPr>
          <w:rFonts w:eastAsia="Calibri" w:cs="Times New Roman"/>
        </w:rPr>
      </w:pPr>
      <w:r w:rsidRPr="00361437">
        <w:rPr>
          <w:rFonts w:eastAsia="Times New Roman" w:cs="Times New Roman"/>
        </w:rPr>
        <w:t>ISS_WITH_CREDITORS_(0,1)</w:t>
      </w:r>
      <w:r w:rsidR="0015559B" w:rsidRPr="00361437">
        <w:rPr>
          <w:rFonts w:eastAsia="Calibri" w:cs="Times New Roman"/>
        </w:rPr>
        <w:t xml:space="preserve"> is </w:t>
      </w:r>
      <w:r w:rsidRPr="00361437">
        <w:rPr>
          <w:rFonts w:eastAsia="Calibri" w:cs="Times New Roman"/>
        </w:rPr>
        <w:t>one if the voting recommendation by ISS on a proposal is in the interest of creditors, and zero otherwise</w:t>
      </w:r>
      <w:r w:rsidR="0015559B" w:rsidRPr="00361437">
        <w:rPr>
          <w:rFonts w:eastAsia="Calibri" w:cs="Times New Roman"/>
        </w:rPr>
        <w:t>.</w:t>
      </w:r>
      <w:bookmarkStart w:id="19" w:name="_GoBack"/>
      <w:bookmarkEnd w:id="19"/>
    </w:p>
    <w:p w14:paraId="5E69A6F1" w14:textId="77777777" w:rsidR="003801FB" w:rsidRPr="00032E88" w:rsidRDefault="003801FB" w:rsidP="00253F3A">
      <w:pPr>
        <w:tabs>
          <w:tab w:val="left" w:pos="2899"/>
        </w:tabs>
        <w:spacing w:line="480" w:lineRule="auto"/>
        <w:ind w:hanging="345"/>
        <w:rPr>
          <w:rFonts w:eastAsia="Calibri" w:cs="Times New Roman"/>
        </w:rPr>
      </w:pPr>
      <w:r w:rsidRPr="00032E88">
        <w:rPr>
          <w:rFonts w:eastAsia="Calibri" w:cs="Times New Roman"/>
        </w:rPr>
        <w:tab/>
      </w:r>
    </w:p>
    <w:p w14:paraId="4EA6B49D" w14:textId="77777777" w:rsidR="00953791" w:rsidRPr="00032E88" w:rsidRDefault="00953791" w:rsidP="00253F3A">
      <w:pPr>
        <w:spacing w:line="480" w:lineRule="auto"/>
        <w:jc w:val="both"/>
        <w:rPr>
          <w:rFonts w:eastAsia="Calibri" w:cs="Times New Roman"/>
          <w:b/>
        </w:rPr>
      </w:pPr>
    </w:p>
    <w:p w14:paraId="4105CE39" w14:textId="77777777" w:rsidR="00032E88" w:rsidRPr="00032E88" w:rsidRDefault="00032E88" w:rsidP="00253F3A">
      <w:pPr>
        <w:spacing w:line="480" w:lineRule="auto"/>
        <w:rPr>
          <w:rFonts w:eastAsia="Calibri" w:cs="Arial"/>
        </w:rPr>
      </w:pPr>
    </w:p>
    <w:p w14:paraId="64EC2740" w14:textId="52EB2896" w:rsidR="00664998" w:rsidRPr="009C73FF" w:rsidRDefault="00664998" w:rsidP="00253F3A">
      <w:pPr>
        <w:pStyle w:val="NormalWeb"/>
        <w:spacing w:line="480" w:lineRule="auto"/>
        <w:jc w:val="both"/>
        <w:rPr>
          <w:b/>
        </w:rPr>
      </w:pPr>
    </w:p>
    <w:sectPr w:rsidR="00664998" w:rsidRPr="009C73FF" w:rsidSect="000E77D9">
      <w:footerReference w:type="default" r:id="rId18"/>
      <w:pgSz w:w="11906" w:h="16838"/>
      <w:pgMar w:top="1440" w:right="1440" w:bottom="144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838EC" w14:textId="77777777" w:rsidR="00626F4A" w:rsidRDefault="00626F4A" w:rsidP="009E24FE">
      <w:r>
        <w:separator/>
      </w:r>
    </w:p>
  </w:endnote>
  <w:endnote w:type="continuationSeparator" w:id="0">
    <w:p w14:paraId="07FA6896" w14:textId="77777777" w:rsidR="00626F4A" w:rsidRDefault="00626F4A" w:rsidP="009E24FE">
      <w:r>
        <w:continuationSeparator/>
      </w:r>
    </w:p>
  </w:endnote>
  <w:endnote w:type="continuationNotice" w:id="1">
    <w:p w14:paraId="6A8C56F2" w14:textId="77777777" w:rsidR="00626F4A" w:rsidRDefault="00626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de">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B49F9" w14:textId="77777777" w:rsidR="00361437" w:rsidRDefault="00361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34BA7" w14:textId="66B712DC" w:rsidR="00626F4A" w:rsidRPr="009465CA" w:rsidRDefault="00626F4A">
    <w:pPr>
      <w:pStyle w:val="Footer"/>
      <w:jc w:val="center"/>
      <w:rPr>
        <w:rFonts w:cs="Times New Roman"/>
        <w:sz w:val="20"/>
      </w:rPr>
    </w:pPr>
  </w:p>
  <w:p w14:paraId="391A3743" w14:textId="77777777" w:rsidR="00626F4A" w:rsidRPr="009465CA" w:rsidRDefault="00626F4A">
    <w:pPr>
      <w:pStyle w:val="Footer"/>
      <w:rPr>
        <w:rFonts w:cs="Times New Roman"/>
      </w:rPr>
    </w:pPr>
  </w:p>
  <w:p w14:paraId="1F08AA18" w14:textId="77777777" w:rsidR="00626F4A" w:rsidRDefault="00626F4A"/>
  <w:p w14:paraId="57DE0E3E" w14:textId="77777777" w:rsidR="00626F4A" w:rsidRDefault="00626F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1924" w14:textId="77777777" w:rsidR="00361437" w:rsidRDefault="003614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rPr>
      <w:id w:val="1250612813"/>
      <w:docPartObj>
        <w:docPartGallery w:val="Page Numbers (Bottom of Page)"/>
        <w:docPartUnique/>
      </w:docPartObj>
    </w:sdtPr>
    <w:sdtEndPr>
      <w:rPr>
        <w:noProof/>
        <w:sz w:val="20"/>
      </w:rPr>
    </w:sdtEndPr>
    <w:sdtContent>
      <w:p w14:paraId="4FECD7FF" w14:textId="77777777" w:rsidR="00626F4A" w:rsidRPr="009465CA" w:rsidRDefault="00626F4A">
        <w:pPr>
          <w:pStyle w:val="Footer"/>
          <w:jc w:val="center"/>
          <w:rPr>
            <w:rFonts w:cs="Times New Roman"/>
            <w:sz w:val="20"/>
          </w:rPr>
        </w:pPr>
        <w:r w:rsidRPr="009465CA">
          <w:rPr>
            <w:rFonts w:cs="Times New Roman"/>
            <w:sz w:val="20"/>
          </w:rPr>
          <w:fldChar w:fldCharType="begin"/>
        </w:r>
        <w:r w:rsidRPr="009465CA">
          <w:rPr>
            <w:rFonts w:cs="Times New Roman"/>
            <w:sz w:val="20"/>
          </w:rPr>
          <w:instrText xml:space="preserve"> PAGE   \* MERGEFORMAT </w:instrText>
        </w:r>
        <w:r w:rsidRPr="009465CA">
          <w:rPr>
            <w:rFonts w:cs="Times New Roman"/>
            <w:sz w:val="20"/>
          </w:rPr>
          <w:fldChar w:fldCharType="separate"/>
        </w:r>
        <w:r>
          <w:rPr>
            <w:rFonts w:cs="Times New Roman"/>
            <w:noProof/>
            <w:sz w:val="20"/>
          </w:rPr>
          <w:t>1</w:t>
        </w:r>
        <w:r w:rsidRPr="009465CA">
          <w:rPr>
            <w:rFonts w:cs="Times New Roman"/>
            <w:noProof/>
            <w:sz w:val="20"/>
          </w:rPr>
          <w:fldChar w:fldCharType="end"/>
        </w:r>
      </w:p>
    </w:sdtContent>
  </w:sdt>
  <w:p w14:paraId="4C272AE0" w14:textId="77777777" w:rsidR="00626F4A" w:rsidRPr="009465CA" w:rsidRDefault="00626F4A">
    <w:pPr>
      <w:pStyle w:val="Footer"/>
      <w:rPr>
        <w:rFonts w:cs="Times New Roman"/>
      </w:rPr>
    </w:pPr>
  </w:p>
  <w:p w14:paraId="15A4BA08" w14:textId="77777777" w:rsidR="00626F4A" w:rsidRDefault="00626F4A"/>
  <w:p w14:paraId="6B817289" w14:textId="77777777" w:rsidR="00626F4A" w:rsidRDefault="00626F4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76D28" w14:textId="21A0C852" w:rsidR="00626F4A" w:rsidRPr="00B5502F" w:rsidRDefault="00626F4A">
    <w:pPr>
      <w:pStyle w:val="Footer"/>
      <w:jc w:val="center"/>
      <w:rPr>
        <w:rFonts w:cs="Times New Roman"/>
        <w:sz w:val="20"/>
      </w:rPr>
    </w:pPr>
    <w:r w:rsidRPr="00B5502F">
      <w:rPr>
        <w:rFonts w:cs="Times New Roman"/>
        <w:sz w:val="20"/>
      </w:rPr>
      <w:fldChar w:fldCharType="begin"/>
    </w:r>
    <w:r w:rsidRPr="00B5502F">
      <w:rPr>
        <w:rFonts w:cs="Times New Roman"/>
        <w:sz w:val="20"/>
      </w:rPr>
      <w:instrText xml:space="preserve"> PAGE   \* MERGEFORMAT </w:instrText>
    </w:r>
    <w:r w:rsidRPr="00B5502F">
      <w:rPr>
        <w:rFonts w:cs="Times New Roman"/>
        <w:sz w:val="20"/>
      </w:rPr>
      <w:fldChar w:fldCharType="separate"/>
    </w:r>
    <w:r>
      <w:rPr>
        <w:rFonts w:cs="Times New Roman"/>
        <w:noProof/>
        <w:sz w:val="20"/>
      </w:rPr>
      <w:t>43</w:t>
    </w:r>
    <w:r w:rsidRPr="00B5502F">
      <w:rPr>
        <w:rFonts w:cs="Times New Roman"/>
        <w:noProof/>
        <w:sz w:val="20"/>
      </w:rPr>
      <w:fldChar w:fldCharType="end"/>
    </w:r>
  </w:p>
  <w:p w14:paraId="2F23580C" w14:textId="77777777" w:rsidR="00626F4A" w:rsidRPr="00B5502F" w:rsidRDefault="00626F4A">
    <w:pPr>
      <w:pStyle w:val="Footer"/>
      <w:rPr>
        <w:rFonts w:cs="Times New Roman"/>
      </w:rPr>
    </w:pPr>
  </w:p>
  <w:p w14:paraId="26263953" w14:textId="77777777" w:rsidR="00626F4A" w:rsidRPr="00B5502F" w:rsidRDefault="00626F4A">
    <w:pPr>
      <w:rPr>
        <w:rFonts w:cs="Times New Roman"/>
      </w:rPr>
    </w:pPr>
  </w:p>
  <w:p w14:paraId="2E49ED72" w14:textId="77777777" w:rsidR="00626F4A" w:rsidRDefault="00626F4A"/>
  <w:p w14:paraId="0DD5CFCB" w14:textId="77777777" w:rsidR="00626F4A" w:rsidRDefault="00626F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AEB40" w14:textId="77777777" w:rsidR="00626F4A" w:rsidRDefault="00626F4A" w:rsidP="009E24FE">
      <w:r>
        <w:separator/>
      </w:r>
    </w:p>
  </w:footnote>
  <w:footnote w:type="continuationSeparator" w:id="0">
    <w:p w14:paraId="487D01B8" w14:textId="77777777" w:rsidR="00626F4A" w:rsidRDefault="00626F4A" w:rsidP="009E24FE">
      <w:r>
        <w:continuationSeparator/>
      </w:r>
    </w:p>
  </w:footnote>
  <w:footnote w:type="continuationNotice" w:id="1">
    <w:p w14:paraId="6CEC02CB" w14:textId="77777777" w:rsidR="00626F4A" w:rsidRDefault="00626F4A"/>
  </w:footnote>
  <w:footnote w:id="2">
    <w:p w14:paraId="19A724B0" w14:textId="38438487" w:rsidR="00626F4A" w:rsidRPr="00D7214A" w:rsidRDefault="00626F4A" w:rsidP="00D7214A">
      <w:pPr>
        <w:pStyle w:val="FootnoteText"/>
        <w:spacing w:line="240" w:lineRule="auto"/>
        <w:jc w:val="both"/>
        <w:rPr>
          <w:lang w:val="en-GB"/>
        </w:rPr>
      </w:pPr>
      <w:r>
        <w:rPr>
          <w:rStyle w:val="FootnoteReference"/>
        </w:rPr>
        <w:footnoteRef/>
      </w:r>
      <w:r>
        <w:t xml:space="preserve"> </w:t>
      </w:r>
      <w:r>
        <w:rPr>
          <w:color w:val="000000"/>
        </w:rPr>
        <w:t>Keswani,</w:t>
      </w:r>
      <w:r w:rsidRPr="002B0C23">
        <w:rPr>
          <w:color w:val="000000"/>
        </w:rPr>
        <w:t xml:space="preserve"> </w:t>
      </w:r>
      <w:hyperlink r:id="rId1" w:history="1">
        <w:r w:rsidRPr="002B0C23">
          <w:rPr>
            <w:rStyle w:val="Hyperlink"/>
          </w:rPr>
          <w:t>a.keswani@city.ac.uk</w:t>
        </w:r>
      </w:hyperlink>
      <w:r w:rsidRPr="002B0C23">
        <w:rPr>
          <w:color w:val="000000"/>
        </w:rPr>
        <w:t xml:space="preserve">, </w:t>
      </w:r>
      <w:r>
        <w:rPr>
          <w:color w:val="000000"/>
        </w:rPr>
        <w:t xml:space="preserve">Tran, </w:t>
      </w:r>
      <w:hyperlink r:id="rId2" w:history="1">
        <w:r w:rsidRPr="0079053D">
          <w:rPr>
            <w:rStyle w:val="Hyperlink"/>
          </w:rPr>
          <w:t>anh.tran@city.ac.uk</w:t>
        </w:r>
      </w:hyperlink>
      <w:r w:rsidRPr="002B0C23">
        <w:rPr>
          <w:color w:val="000000"/>
        </w:rPr>
        <w:t xml:space="preserve"> and </w:t>
      </w:r>
      <w:r>
        <w:rPr>
          <w:color w:val="000000"/>
        </w:rPr>
        <w:t xml:space="preserve">Volpin, </w:t>
      </w:r>
      <w:hyperlink r:id="rId3" w:history="1">
        <w:r w:rsidRPr="001A6771">
          <w:rPr>
            <w:rStyle w:val="Hyperlink"/>
          </w:rPr>
          <w:t>paolo.volpin.1@city.ac.uk</w:t>
        </w:r>
      </w:hyperlink>
      <w:r>
        <w:rPr>
          <w:color w:val="000000"/>
        </w:rPr>
        <w:t>, City, University of London Cass Business School, 106 Bunhill Row, London EC1Y 8TZ, United Kingdom.</w:t>
      </w:r>
      <w:r w:rsidRPr="002B0C23">
        <w:t xml:space="preserve"> We thank Pat Akey, Seth Armitage, Lucian Bebchuk, Bo Becker, Maria Boutchkova, Max Bruche, Walid Busaba, Kevin Crotty, Craig Doidge, Craig Dunbar, David Goldreich, Andrey Golubov Amit Goyal, Nandini Gupta, Bing Han, Neltje van Horen, </w:t>
      </w:r>
      <w:r>
        <w:t xml:space="preserve">Wei Jiang, </w:t>
      </w:r>
      <w:r w:rsidRPr="002B0C23">
        <w:t xml:space="preserve">Tim Jenkinson, Dirk Jenter, Raymond Kan, Leora Klapper, Nam Le, Ulf von Lilienfeld-Toal, Lucy Liu, Ernst Maug, Joel Peress, Christopher Polk, Zacharias Sautner, Henri Servaes, Clemens Sialm, David Stolin, Javier Suarez, Josef Zechner, seminar participants at Cardiff University, Ivey Business School, </w:t>
      </w:r>
      <w:r w:rsidRPr="002B0C23">
        <w:rPr>
          <w:iCs/>
        </w:rPr>
        <w:t>Rotman</w:t>
      </w:r>
      <w:r w:rsidRPr="002B0C23">
        <w:t xml:space="preserve"> School of Management, University of Edinburgh, University of Liverpool, University of Strathclyde and conference participants at the </w:t>
      </w:r>
      <w:r>
        <w:t>2018</w:t>
      </w:r>
      <w:r w:rsidRPr="002B0C23">
        <w:t xml:space="preserve"> Luxembourg Asset Management Summit </w:t>
      </w:r>
      <w:r>
        <w:t>and the 2019 Vietnam International Conference in Finance</w:t>
      </w:r>
      <w:r w:rsidRPr="002B0C23">
        <w:t xml:space="preserve"> for comments and suggestions. </w:t>
      </w:r>
      <w:r w:rsidRPr="00D7214A">
        <w:t>We appreciate</w:t>
      </w:r>
      <w:r>
        <w:t xml:space="preserve"> </w:t>
      </w:r>
      <w:r w:rsidRPr="00D7214A">
        <w:t>the constructive and insightful comments provided by an anonymous referee.</w:t>
      </w:r>
      <w:r>
        <w:t xml:space="preserve"> All errors are our responsibility.</w:t>
      </w:r>
    </w:p>
  </w:footnote>
  <w:footnote w:id="3">
    <w:p w14:paraId="0F18F119" w14:textId="77777777" w:rsidR="00626F4A" w:rsidRPr="002B0C23" w:rsidRDefault="00626F4A" w:rsidP="00DE4E35">
      <w:pPr>
        <w:pStyle w:val="FootnoteText"/>
        <w:spacing w:line="240" w:lineRule="auto"/>
        <w:jc w:val="both"/>
        <w:rPr>
          <w:lang w:val="en-GB"/>
        </w:rPr>
      </w:pPr>
      <w:r w:rsidRPr="002B0C23">
        <w:rPr>
          <w:rStyle w:val="FootnoteReference"/>
        </w:rPr>
        <w:footnoteRef/>
      </w:r>
      <w:r w:rsidRPr="002B0C23">
        <w:t xml:space="preserve"> Fund families have to hold equity to be able to vote on firm proposals at the annual meetings. </w:t>
      </w:r>
      <w:r w:rsidRPr="002B0C23">
        <w:rPr>
          <w:lang w:val="en-GB"/>
        </w:rPr>
        <w:t>We exclude 18 firm-year observations in which fund families do not own equity but only hold debt in the firm. Including these observations does not qualitatively change our results.</w:t>
      </w:r>
    </w:p>
  </w:footnote>
  <w:footnote w:id="4">
    <w:p w14:paraId="4AE60E8B" w14:textId="77777777" w:rsidR="00626F4A" w:rsidRPr="002B0C23" w:rsidRDefault="00626F4A" w:rsidP="00DE4E35">
      <w:pPr>
        <w:pStyle w:val="FootnoteText"/>
        <w:spacing w:line="240" w:lineRule="auto"/>
        <w:jc w:val="both"/>
        <w:rPr>
          <w:lang w:val="en-GB"/>
        </w:rPr>
      </w:pPr>
      <w:r w:rsidRPr="002B0C23">
        <w:rPr>
          <w:rStyle w:val="FootnoteReference"/>
        </w:rPr>
        <w:footnoteRef/>
      </w:r>
      <w:r w:rsidRPr="002B0C23">
        <w:t xml:space="preserve"> </w:t>
      </w:r>
      <w:r w:rsidRPr="002B0C23">
        <w:rPr>
          <w:lang w:val="en-GB"/>
        </w:rPr>
        <w:t>In unreported regressions, we also control for the firm’s cash holding (cash/assets) and the results are qualitatively similar.</w:t>
      </w:r>
    </w:p>
  </w:footnote>
  <w:footnote w:id="5">
    <w:p w14:paraId="66CE9A05" w14:textId="77777777" w:rsidR="00626F4A" w:rsidRPr="002B0C23" w:rsidRDefault="00626F4A" w:rsidP="00DE4E35">
      <w:pPr>
        <w:pStyle w:val="FootnoteText"/>
        <w:spacing w:line="240" w:lineRule="auto"/>
        <w:jc w:val="both"/>
        <w:rPr>
          <w:lang w:val="en-GB"/>
        </w:rPr>
      </w:pPr>
      <w:r w:rsidRPr="0083229B">
        <w:rPr>
          <w:rStyle w:val="FootnoteReference"/>
        </w:rPr>
        <w:footnoteRef/>
      </w:r>
      <w:r>
        <w:t xml:space="preserve"> </w:t>
      </w:r>
      <w:r w:rsidRPr="0083229B">
        <w:t>To identify funds as passive we check for the presence of the following strings within the full fund title from Morningstar: Index, Idx, Indx, Ind, ETF, Russell, Passive, S&amp;P, SandP, DOW, Dow, MSCI, Bloomberg, KBW, NASD, NASDAQ, NYSE, RUSS, STOXX, FTSE, Wilshire, Morningstar, Trkr, ProShares, DJUSHealthCare100, MidCap400, SmallCap600, QQQ, RydexMidCap, MarketTrack. We then run a manual check after this to check whether the observations classified as passive are valid.</w:t>
      </w:r>
    </w:p>
  </w:footnote>
  <w:footnote w:id="6">
    <w:p w14:paraId="1EF79D1E" w14:textId="77777777" w:rsidR="00626F4A" w:rsidRPr="002B0C23" w:rsidRDefault="00626F4A" w:rsidP="00DE4E35">
      <w:pPr>
        <w:pStyle w:val="FootnoteText"/>
        <w:spacing w:line="240" w:lineRule="auto"/>
        <w:jc w:val="both"/>
        <w:rPr>
          <w:lang w:val="en-GB"/>
        </w:rPr>
      </w:pPr>
      <w:r w:rsidRPr="002B0C23">
        <w:rPr>
          <w:rStyle w:val="FootnoteReference"/>
        </w:rPr>
        <w:footnoteRef/>
      </w:r>
      <w:r w:rsidRPr="002B0C23">
        <w:t xml:space="preserve"> </w:t>
      </w:r>
      <w:r w:rsidRPr="002B0C23">
        <w:rPr>
          <w:lang w:val="en-GB"/>
        </w:rPr>
        <w:t>When a fund family opens a new debt fund, typically (in 58% of the cases) they do not close any other funds at the same time. In the other cases they close either a debt or an equity fund.</w:t>
      </w:r>
    </w:p>
  </w:footnote>
  <w:footnote w:id="7">
    <w:p w14:paraId="40BA9C4E" w14:textId="50BD392E" w:rsidR="00626F4A" w:rsidRPr="002B0C23" w:rsidRDefault="00626F4A" w:rsidP="00DE4E35">
      <w:pPr>
        <w:pStyle w:val="FootnoteText"/>
        <w:spacing w:line="240" w:lineRule="auto"/>
        <w:jc w:val="both"/>
        <w:rPr>
          <w:lang w:val="en-GB"/>
        </w:rPr>
      </w:pPr>
      <w:r w:rsidRPr="002B0C23">
        <w:rPr>
          <w:rStyle w:val="FootnoteReference"/>
        </w:rPr>
        <w:footnoteRef/>
      </w:r>
      <w:r w:rsidRPr="002B0C23">
        <w:t xml:space="preserve"> Alternatively, we could focus only on large capital investment outlays where there are major investment injections as opposed to small investments that are likely to occur on a daily basis. We measure large capital expenditure, </w:t>
      </w:r>
      <w:r>
        <w:t>seasoned equity offerings</w:t>
      </w:r>
      <w:r w:rsidRPr="002B0C23">
        <w:t>, dividends, and repurchases using a dummy variable approach in which the policy variable is set to one if the continuous variable is above the median across all firms in the year concerned. Although our results are qualitatively similar when we use the dummy dependent variables in either OLS or binary models, the dummy variable approach makes the interpretation of the economic effects difficult.</w:t>
      </w:r>
    </w:p>
  </w:footnote>
  <w:footnote w:id="8">
    <w:p w14:paraId="520B3520" w14:textId="77777777" w:rsidR="00626F4A" w:rsidRPr="009C73FF" w:rsidRDefault="00626F4A" w:rsidP="00DE4E35">
      <w:pPr>
        <w:jc w:val="both"/>
        <w:rPr>
          <w:rFonts w:cs="Times New Roman"/>
          <w:lang w:val="en-GB"/>
        </w:rPr>
      </w:pPr>
      <w:r w:rsidRPr="002B0C23">
        <w:rPr>
          <w:rFonts w:eastAsia="Times New Roman" w:cs="Times New Roman"/>
          <w:sz w:val="20"/>
          <w:szCs w:val="20"/>
          <w:vertAlign w:val="superscript"/>
          <w:lang w:eastAsia="fr-FR"/>
        </w:rPr>
        <w:footnoteRef/>
      </w:r>
      <w:r w:rsidRPr="002B0C23">
        <w:rPr>
          <w:rFonts w:eastAsia="Times New Roman" w:cs="Times New Roman"/>
          <w:sz w:val="20"/>
          <w:szCs w:val="20"/>
          <w:vertAlign w:val="superscript"/>
          <w:lang w:eastAsia="fr-FR"/>
        </w:rPr>
        <w:t xml:space="preserve"> </w:t>
      </w:r>
      <w:r w:rsidRPr="002B0C23">
        <w:rPr>
          <w:rFonts w:eastAsia="Times New Roman" w:cs="Times New Roman"/>
          <w:sz w:val="20"/>
          <w:szCs w:val="20"/>
          <w:lang w:eastAsia="fr-FR"/>
        </w:rPr>
        <w:t>We have 285 funds holding CDS positions in our database. It should be recognized that despite excluding fund-years where funds hold CDS contracts that we still have the same number of fund family-firm-year observations without this exclusion, because this does not cause any fund families to drop 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97F96" w14:textId="77777777" w:rsidR="00361437" w:rsidRDefault="00361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25B0" w14:textId="77777777" w:rsidR="00361437" w:rsidRDefault="00361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5333" w14:textId="77777777" w:rsidR="00361437" w:rsidRDefault="00361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7C01A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AD6C58"/>
    <w:multiLevelType w:val="hybridMultilevel"/>
    <w:tmpl w:val="DFE2722A"/>
    <w:lvl w:ilvl="0" w:tplc="7DEC5E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D539E2"/>
    <w:multiLevelType w:val="hybridMultilevel"/>
    <w:tmpl w:val="819A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95769"/>
    <w:multiLevelType w:val="hybridMultilevel"/>
    <w:tmpl w:val="B12A1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9B37C4"/>
    <w:multiLevelType w:val="hybridMultilevel"/>
    <w:tmpl w:val="A6602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C20AB3"/>
    <w:multiLevelType w:val="hybridMultilevel"/>
    <w:tmpl w:val="C1E88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0307BE"/>
    <w:multiLevelType w:val="hybridMultilevel"/>
    <w:tmpl w:val="C1E88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7A6489"/>
    <w:multiLevelType w:val="hybridMultilevel"/>
    <w:tmpl w:val="E438B86A"/>
    <w:lvl w:ilvl="0" w:tplc="738C302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243656"/>
    <w:multiLevelType w:val="hybridMultilevel"/>
    <w:tmpl w:val="FF3E7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532E8F"/>
    <w:multiLevelType w:val="hybridMultilevel"/>
    <w:tmpl w:val="4656D4D6"/>
    <w:lvl w:ilvl="0" w:tplc="44C831B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4F59AA"/>
    <w:multiLevelType w:val="hybridMultilevel"/>
    <w:tmpl w:val="DC2AB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556596"/>
    <w:multiLevelType w:val="hybridMultilevel"/>
    <w:tmpl w:val="6270BF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BF64D9"/>
    <w:multiLevelType w:val="hybridMultilevel"/>
    <w:tmpl w:val="6EF06FD4"/>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3" w15:restartNumberingAfterBreak="0">
    <w:nsid w:val="71ED5237"/>
    <w:multiLevelType w:val="hybridMultilevel"/>
    <w:tmpl w:val="3D847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0"/>
  </w:num>
  <w:num w:numId="3">
    <w:abstractNumId w:val="9"/>
  </w:num>
  <w:num w:numId="4">
    <w:abstractNumId w:val="5"/>
  </w:num>
  <w:num w:numId="5">
    <w:abstractNumId w:val="6"/>
  </w:num>
  <w:num w:numId="6">
    <w:abstractNumId w:val="7"/>
  </w:num>
  <w:num w:numId="7">
    <w:abstractNumId w:val="4"/>
  </w:num>
  <w:num w:numId="8">
    <w:abstractNumId w:val="0"/>
  </w:num>
  <w:num w:numId="9">
    <w:abstractNumId w:val="3"/>
  </w:num>
  <w:num w:numId="10">
    <w:abstractNumId w:val="1"/>
  </w:num>
  <w:num w:numId="11">
    <w:abstractNumId w:val="12"/>
  </w:num>
  <w:num w:numId="12">
    <w:abstractNumId w:val="1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efaultTabStop w:val="720"/>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65457DC-6E15-48FD-B769-C90F787BF537}"/>
    <w:docVar w:name="dgnword-eventsink" w:val="719429448"/>
  </w:docVars>
  <w:rsids>
    <w:rsidRoot w:val="00A76CA1"/>
    <w:rsid w:val="00000F85"/>
    <w:rsid w:val="00001C5B"/>
    <w:rsid w:val="00001E8B"/>
    <w:rsid w:val="00002362"/>
    <w:rsid w:val="000041FB"/>
    <w:rsid w:val="00005674"/>
    <w:rsid w:val="00007278"/>
    <w:rsid w:val="00007795"/>
    <w:rsid w:val="00007D9C"/>
    <w:rsid w:val="00012122"/>
    <w:rsid w:val="00013673"/>
    <w:rsid w:val="00015528"/>
    <w:rsid w:val="000167DD"/>
    <w:rsid w:val="00017700"/>
    <w:rsid w:val="000200E3"/>
    <w:rsid w:val="00021421"/>
    <w:rsid w:val="0002197C"/>
    <w:rsid w:val="000234D2"/>
    <w:rsid w:val="0002420F"/>
    <w:rsid w:val="00025A3D"/>
    <w:rsid w:val="00027792"/>
    <w:rsid w:val="00027D7F"/>
    <w:rsid w:val="000304EF"/>
    <w:rsid w:val="000314AD"/>
    <w:rsid w:val="00032E88"/>
    <w:rsid w:val="00033549"/>
    <w:rsid w:val="00036A0D"/>
    <w:rsid w:val="00040790"/>
    <w:rsid w:val="000448AE"/>
    <w:rsid w:val="00044901"/>
    <w:rsid w:val="00044CAB"/>
    <w:rsid w:val="00045284"/>
    <w:rsid w:val="000463C4"/>
    <w:rsid w:val="0004650C"/>
    <w:rsid w:val="000515D8"/>
    <w:rsid w:val="00052025"/>
    <w:rsid w:val="000533D6"/>
    <w:rsid w:val="00054406"/>
    <w:rsid w:val="00054F85"/>
    <w:rsid w:val="00055CAC"/>
    <w:rsid w:val="00056026"/>
    <w:rsid w:val="00056316"/>
    <w:rsid w:val="00056BCE"/>
    <w:rsid w:val="000578D4"/>
    <w:rsid w:val="0005791B"/>
    <w:rsid w:val="00057A16"/>
    <w:rsid w:val="00061C20"/>
    <w:rsid w:val="00061CBA"/>
    <w:rsid w:val="00062813"/>
    <w:rsid w:val="00062B79"/>
    <w:rsid w:val="000654E9"/>
    <w:rsid w:val="000659CB"/>
    <w:rsid w:val="0006611B"/>
    <w:rsid w:val="00067574"/>
    <w:rsid w:val="000678AC"/>
    <w:rsid w:val="00070A61"/>
    <w:rsid w:val="00070B83"/>
    <w:rsid w:val="000715F6"/>
    <w:rsid w:val="00071B70"/>
    <w:rsid w:val="00074BD1"/>
    <w:rsid w:val="00075096"/>
    <w:rsid w:val="00080991"/>
    <w:rsid w:val="00080ACF"/>
    <w:rsid w:val="00083A00"/>
    <w:rsid w:val="000851E3"/>
    <w:rsid w:val="00086DFD"/>
    <w:rsid w:val="00087783"/>
    <w:rsid w:val="00090845"/>
    <w:rsid w:val="000910D2"/>
    <w:rsid w:val="000928F4"/>
    <w:rsid w:val="00092C84"/>
    <w:rsid w:val="00093DAB"/>
    <w:rsid w:val="0009484B"/>
    <w:rsid w:val="00095B1E"/>
    <w:rsid w:val="000969A1"/>
    <w:rsid w:val="000A0962"/>
    <w:rsid w:val="000A0D01"/>
    <w:rsid w:val="000A0EA7"/>
    <w:rsid w:val="000A0F2D"/>
    <w:rsid w:val="000A3DAB"/>
    <w:rsid w:val="000A6538"/>
    <w:rsid w:val="000A6BA4"/>
    <w:rsid w:val="000A7DDB"/>
    <w:rsid w:val="000B0D3C"/>
    <w:rsid w:val="000B1C44"/>
    <w:rsid w:val="000B3505"/>
    <w:rsid w:val="000B48EF"/>
    <w:rsid w:val="000B51C1"/>
    <w:rsid w:val="000B5730"/>
    <w:rsid w:val="000B5AE7"/>
    <w:rsid w:val="000B6458"/>
    <w:rsid w:val="000B71DC"/>
    <w:rsid w:val="000C16A2"/>
    <w:rsid w:val="000C373A"/>
    <w:rsid w:val="000C3B96"/>
    <w:rsid w:val="000C4F20"/>
    <w:rsid w:val="000C5236"/>
    <w:rsid w:val="000C5860"/>
    <w:rsid w:val="000C5DAD"/>
    <w:rsid w:val="000D23C7"/>
    <w:rsid w:val="000D5158"/>
    <w:rsid w:val="000D5899"/>
    <w:rsid w:val="000D65E4"/>
    <w:rsid w:val="000D6A42"/>
    <w:rsid w:val="000D70E0"/>
    <w:rsid w:val="000E0941"/>
    <w:rsid w:val="000E0B1C"/>
    <w:rsid w:val="000E237F"/>
    <w:rsid w:val="000E32BA"/>
    <w:rsid w:val="000E4B80"/>
    <w:rsid w:val="000E582D"/>
    <w:rsid w:val="000E77D9"/>
    <w:rsid w:val="000F1211"/>
    <w:rsid w:val="000F1722"/>
    <w:rsid w:val="000F1ABC"/>
    <w:rsid w:val="000F1C7A"/>
    <w:rsid w:val="000F258F"/>
    <w:rsid w:val="000F259D"/>
    <w:rsid w:val="000F2880"/>
    <w:rsid w:val="000F58DD"/>
    <w:rsid w:val="00101B46"/>
    <w:rsid w:val="00103A44"/>
    <w:rsid w:val="001046BF"/>
    <w:rsid w:val="00104B06"/>
    <w:rsid w:val="00104CEE"/>
    <w:rsid w:val="001057B8"/>
    <w:rsid w:val="00106BDC"/>
    <w:rsid w:val="001101E6"/>
    <w:rsid w:val="00110FD7"/>
    <w:rsid w:val="00115A81"/>
    <w:rsid w:val="0011676F"/>
    <w:rsid w:val="00116C5F"/>
    <w:rsid w:val="0011708F"/>
    <w:rsid w:val="001207BB"/>
    <w:rsid w:val="00122C85"/>
    <w:rsid w:val="00123C07"/>
    <w:rsid w:val="001242FF"/>
    <w:rsid w:val="001248D2"/>
    <w:rsid w:val="00125242"/>
    <w:rsid w:val="001257FA"/>
    <w:rsid w:val="00127A1F"/>
    <w:rsid w:val="00131491"/>
    <w:rsid w:val="001316B6"/>
    <w:rsid w:val="00131784"/>
    <w:rsid w:val="00132214"/>
    <w:rsid w:val="0013279E"/>
    <w:rsid w:val="00132A80"/>
    <w:rsid w:val="00132E72"/>
    <w:rsid w:val="00133F7D"/>
    <w:rsid w:val="0013504D"/>
    <w:rsid w:val="00140E71"/>
    <w:rsid w:val="00143779"/>
    <w:rsid w:val="001479BC"/>
    <w:rsid w:val="00147B2B"/>
    <w:rsid w:val="00150771"/>
    <w:rsid w:val="001507D6"/>
    <w:rsid w:val="00150E0F"/>
    <w:rsid w:val="0015559B"/>
    <w:rsid w:val="001574CA"/>
    <w:rsid w:val="00157F22"/>
    <w:rsid w:val="00161D84"/>
    <w:rsid w:val="001620E6"/>
    <w:rsid w:val="00162519"/>
    <w:rsid w:val="00162977"/>
    <w:rsid w:val="001638EF"/>
    <w:rsid w:val="00164774"/>
    <w:rsid w:val="001658AB"/>
    <w:rsid w:val="001668FF"/>
    <w:rsid w:val="0016744B"/>
    <w:rsid w:val="001674FC"/>
    <w:rsid w:val="0017297C"/>
    <w:rsid w:val="001740AB"/>
    <w:rsid w:val="00176182"/>
    <w:rsid w:val="00176EE6"/>
    <w:rsid w:val="00180ABD"/>
    <w:rsid w:val="00183A16"/>
    <w:rsid w:val="001848F3"/>
    <w:rsid w:val="00186B4D"/>
    <w:rsid w:val="001932C6"/>
    <w:rsid w:val="001965FF"/>
    <w:rsid w:val="00196B0A"/>
    <w:rsid w:val="0019714B"/>
    <w:rsid w:val="001974C4"/>
    <w:rsid w:val="001A0291"/>
    <w:rsid w:val="001A124A"/>
    <w:rsid w:val="001A2E99"/>
    <w:rsid w:val="001A49F5"/>
    <w:rsid w:val="001A7892"/>
    <w:rsid w:val="001A7FD5"/>
    <w:rsid w:val="001B2E79"/>
    <w:rsid w:val="001B461A"/>
    <w:rsid w:val="001B4718"/>
    <w:rsid w:val="001B5A47"/>
    <w:rsid w:val="001B693D"/>
    <w:rsid w:val="001B757B"/>
    <w:rsid w:val="001C0255"/>
    <w:rsid w:val="001C0F49"/>
    <w:rsid w:val="001C3F9C"/>
    <w:rsid w:val="001C574F"/>
    <w:rsid w:val="001C593C"/>
    <w:rsid w:val="001D2AF4"/>
    <w:rsid w:val="001D542E"/>
    <w:rsid w:val="001D6021"/>
    <w:rsid w:val="001D6B86"/>
    <w:rsid w:val="001E0B84"/>
    <w:rsid w:val="001E7619"/>
    <w:rsid w:val="001F04C7"/>
    <w:rsid w:val="001F06EB"/>
    <w:rsid w:val="001F1EAD"/>
    <w:rsid w:val="001F23CF"/>
    <w:rsid w:val="001F3749"/>
    <w:rsid w:val="001F3E92"/>
    <w:rsid w:val="001F5154"/>
    <w:rsid w:val="001F53AE"/>
    <w:rsid w:val="001F55A9"/>
    <w:rsid w:val="001F5923"/>
    <w:rsid w:val="001F5F79"/>
    <w:rsid w:val="001F6778"/>
    <w:rsid w:val="001F7331"/>
    <w:rsid w:val="002014F2"/>
    <w:rsid w:val="00202100"/>
    <w:rsid w:val="002021AE"/>
    <w:rsid w:val="002026CE"/>
    <w:rsid w:val="002034B2"/>
    <w:rsid w:val="00204308"/>
    <w:rsid w:val="00204D9A"/>
    <w:rsid w:val="00205359"/>
    <w:rsid w:val="00205FA5"/>
    <w:rsid w:val="00210B88"/>
    <w:rsid w:val="0021206E"/>
    <w:rsid w:val="00212134"/>
    <w:rsid w:val="00212D2A"/>
    <w:rsid w:val="002135ED"/>
    <w:rsid w:val="00214643"/>
    <w:rsid w:val="002146D0"/>
    <w:rsid w:val="00215E9A"/>
    <w:rsid w:val="002200F0"/>
    <w:rsid w:val="00221B3D"/>
    <w:rsid w:val="002235B3"/>
    <w:rsid w:val="0022718C"/>
    <w:rsid w:val="00227672"/>
    <w:rsid w:val="00231197"/>
    <w:rsid w:val="00231754"/>
    <w:rsid w:val="00234189"/>
    <w:rsid w:val="002351D9"/>
    <w:rsid w:val="002364ED"/>
    <w:rsid w:val="00236F1B"/>
    <w:rsid w:val="002379E4"/>
    <w:rsid w:val="00237BDD"/>
    <w:rsid w:val="00237E1E"/>
    <w:rsid w:val="00241812"/>
    <w:rsid w:val="0024690A"/>
    <w:rsid w:val="00246DE4"/>
    <w:rsid w:val="00247E34"/>
    <w:rsid w:val="00250E2C"/>
    <w:rsid w:val="00252D39"/>
    <w:rsid w:val="00253AD0"/>
    <w:rsid w:val="00253B17"/>
    <w:rsid w:val="00253F3A"/>
    <w:rsid w:val="00262514"/>
    <w:rsid w:val="00263D22"/>
    <w:rsid w:val="002654A1"/>
    <w:rsid w:val="002656C9"/>
    <w:rsid w:val="00266EC6"/>
    <w:rsid w:val="00267771"/>
    <w:rsid w:val="00267FC2"/>
    <w:rsid w:val="00270ABC"/>
    <w:rsid w:val="00270D2A"/>
    <w:rsid w:val="00271860"/>
    <w:rsid w:val="00272F33"/>
    <w:rsid w:val="002757D8"/>
    <w:rsid w:val="00277381"/>
    <w:rsid w:val="002775AB"/>
    <w:rsid w:val="00281114"/>
    <w:rsid w:val="00282848"/>
    <w:rsid w:val="00283218"/>
    <w:rsid w:val="002835CB"/>
    <w:rsid w:val="00286944"/>
    <w:rsid w:val="002879BE"/>
    <w:rsid w:val="002879F7"/>
    <w:rsid w:val="00290290"/>
    <w:rsid w:val="00291EE7"/>
    <w:rsid w:val="00292182"/>
    <w:rsid w:val="00292459"/>
    <w:rsid w:val="002954B3"/>
    <w:rsid w:val="002955DB"/>
    <w:rsid w:val="00295A05"/>
    <w:rsid w:val="00295F02"/>
    <w:rsid w:val="00297784"/>
    <w:rsid w:val="002A269C"/>
    <w:rsid w:val="002A28B6"/>
    <w:rsid w:val="002A342A"/>
    <w:rsid w:val="002A467D"/>
    <w:rsid w:val="002A5F43"/>
    <w:rsid w:val="002A7310"/>
    <w:rsid w:val="002A77BD"/>
    <w:rsid w:val="002B0C23"/>
    <w:rsid w:val="002B0F42"/>
    <w:rsid w:val="002B2ABA"/>
    <w:rsid w:val="002B31D1"/>
    <w:rsid w:val="002B716B"/>
    <w:rsid w:val="002C0808"/>
    <w:rsid w:val="002C30CF"/>
    <w:rsid w:val="002C6D89"/>
    <w:rsid w:val="002D0DD9"/>
    <w:rsid w:val="002D1FFF"/>
    <w:rsid w:val="002D29D1"/>
    <w:rsid w:val="002D3217"/>
    <w:rsid w:val="002D43F1"/>
    <w:rsid w:val="002D659A"/>
    <w:rsid w:val="002E0E09"/>
    <w:rsid w:val="002E0E6D"/>
    <w:rsid w:val="002E12FF"/>
    <w:rsid w:val="002E2A4B"/>
    <w:rsid w:val="002E3B8B"/>
    <w:rsid w:val="002E4BEC"/>
    <w:rsid w:val="002E5DA0"/>
    <w:rsid w:val="002E70CC"/>
    <w:rsid w:val="002E7733"/>
    <w:rsid w:val="002F1E8A"/>
    <w:rsid w:val="002F3766"/>
    <w:rsid w:val="002F5595"/>
    <w:rsid w:val="002F6A56"/>
    <w:rsid w:val="002F7A47"/>
    <w:rsid w:val="00300219"/>
    <w:rsid w:val="00301FAF"/>
    <w:rsid w:val="003028B6"/>
    <w:rsid w:val="00302969"/>
    <w:rsid w:val="00303026"/>
    <w:rsid w:val="00303757"/>
    <w:rsid w:val="0030707F"/>
    <w:rsid w:val="0031192C"/>
    <w:rsid w:val="00311C95"/>
    <w:rsid w:val="0031212E"/>
    <w:rsid w:val="0031303B"/>
    <w:rsid w:val="00315164"/>
    <w:rsid w:val="003169BB"/>
    <w:rsid w:val="00320DA7"/>
    <w:rsid w:val="00320EF1"/>
    <w:rsid w:val="00325506"/>
    <w:rsid w:val="003268BF"/>
    <w:rsid w:val="00327A66"/>
    <w:rsid w:val="00327BD2"/>
    <w:rsid w:val="00327FB4"/>
    <w:rsid w:val="00331E1E"/>
    <w:rsid w:val="00331FD4"/>
    <w:rsid w:val="003321F4"/>
    <w:rsid w:val="0033379D"/>
    <w:rsid w:val="003340FA"/>
    <w:rsid w:val="0033437B"/>
    <w:rsid w:val="003419C2"/>
    <w:rsid w:val="00342AA7"/>
    <w:rsid w:val="003431E7"/>
    <w:rsid w:val="00343625"/>
    <w:rsid w:val="00344F2B"/>
    <w:rsid w:val="00347887"/>
    <w:rsid w:val="0035186D"/>
    <w:rsid w:val="00352685"/>
    <w:rsid w:val="00353F99"/>
    <w:rsid w:val="00356600"/>
    <w:rsid w:val="003569A5"/>
    <w:rsid w:val="003572AF"/>
    <w:rsid w:val="00360A1D"/>
    <w:rsid w:val="00360D5B"/>
    <w:rsid w:val="003613DE"/>
    <w:rsid w:val="00361437"/>
    <w:rsid w:val="00362182"/>
    <w:rsid w:val="003676C7"/>
    <w:rsid w:val="003712C5"/>
    <w:rsid w:val="0037226B"/>
    <w:rsid w:val="00374382"/>
    <w:rsid w:val="003749BA"/>
    <w:rsid w:val="003749F0"/>
    <w:rsid w:val="00374B0B"/>
    <w:rsid w:val="00374DAF"/>
    <w:rsid w:val="00374FC2"/>
    <w:rsid w:val="00376122"/>
    <w:rsid w:val="00376DFF"/>
    <w:rsid w:val="003778A6"/>
    <w:rsid w:val="00377D3B"/>
    <w:rsid w:val="003801FB"/>
    <w:rsid w:val="00381723"/>
    <w:rsid w:val="00381FD9"/>
    <w:rsid w:val="0038226E"/>
    <w:rsid w:val="003847C1"/>
    <w:rsid w:val="00386521"/>
    <w:rsid w:val="00392D65"/>
    <w:rsid w:val="003948E8"/>
    <w:rsid w:val="00394D66"/>
    <w:rsid w:val="003961B4"/>
    <w:rsid w:val="003A00D3"/>
    <w:rsid w:val="003A3BD9"/>
    <w:rsid w:val="003A5DEE"/>
    <w:rsid w:val="003A6709"/>
    <w:rsid w:val="003A6992"/>
    <w:rsid w:val="003B1C38"/>
    <w:rsid w:val="003B3E91"/>
    <w:rsid w:val="003B4ADF"/>
    <w:rsid w:val="003B50BE"/>
    <w:rsid w:val="003B7165"/>
    <w:rsid w:val="003C2139"/>
    <w:rsid w:val="003C26E1"/>
    <w:rsid w:val="003C3F24"/>
    <w:rsid w:val="003C5B8D"/>
    <w:rsid w:val="003C65AB"/>
    <w:rsid w:val="003D0C32"/>
    <w:rsid w:val="003D34D2"/>
    <w:rsid w:val="003D4465"/>
    <w:rsid w:val="003D4C50"/>
    <w:rsid w:val="003D579C"/>
    <w:rsid w:val="003D632D"/>
    <w:rsid w:val="003D67FE"/>
    <w:rsid w:val="003E089F"/>
    <w:rsid w:val="003E2BAA"/>
    <w:rsid w:val="003E40EB"/>
    <w:rsid w:val="003E5AE5"/>
    <w:rsid w:val="003E68B8"/>
    <w:rsid w:val="003E7FEA"/>
    <w:rsid w:val="003F0CA1"/>
    <w:rsid w:val="003F1A44"/>
    <w:rsid w:val="003F1DF2"/>
    <w:rsid w:val="003F1FAE"/>
    <w:rsid w:val="003F2599"/>
    <w:rsid w:val="003F6064"/>
    <w:rsid w:val="003F7F3B"/>
    <w:rsid w:val="0040045E"/>
    <w:rsid w:val="00400C4D"/>
    <w:rsid w:val="004015A4"/>
    <w:rsid w:val="00403515"/>
    <w:rsid w:val="0040749C"/>
    <w:rsid w:val="00407AA7"/>
    <w:rsid w:val="004129A0"/>
    <w:rsid w:val="00415DC1"/>
    <w:rsid w:val="00415E0A"/>
    <w:rsid w:val="00416A39"/>
    <w:rsid w:val="00416F76"/>
    <w:rsid w:val="00417743"/>
    <w:rsid w:val="004223A3"/>
    <w:rsid w:val="00422890"/>
    <w:rsid w:val="004231B2"/>
    <w:rsid w:val="004238BB"/>
    <w:rsid w:val="0042396A"/>
    <w:rsid w:val="00426C81"/>
    <w:rsid w:val="00430BE3"/>
    <w:rsid w:val="00433B9B"/>
    <w:rsid w:val="004342D3"/>
    <w:rsid w:val="00435978"/>
    <w:rsid w:val="004363F8"/>
    <w:rsid w:val="004379E7"/>
    <w:rsid w:val="004413ED"/>
    <w:rsid w:val="004433AB"/>
    <w:rsid w:val="00443B17"/>
    <w:rsid w:val="004441DD"/>
    <w:rsid w:val="00444ED5"/>
    <w:rsid w:val="00445503"/>
    <w:rsid w:val="00446CE8"/>
    <w:rsid w:val="00450347"/>
    <w:rsid w:val="004516A9"/>
    <w:rsid w:val="0045491C"/>
    <w:rsid w:val="0045587E"/>
    <w:rsid w:val="00455CE0"/>
    <w:rsid w:val="0045739E"/>
    <w:rsid w:val="00457A0F"/>
    <w:rsid w:val="00460825"/>
    <w:rsid w:val="004611EA"/>
    <w:rsid w:val="00462ACC"/>
    <w:rsid w:val="00462E5B"/>
    <w:rsid w:val="00463AE8"/>
    <w:rsid w:val="004666DF"/>
    <w:rsid w:val="00470167"/>
    <w:rsid w:val="0047062D"/>
    <w:rsid w:val="00471254"/>
    <w:rsid w:val="00471346"/>
    <w:rsid w:val="0047141F"/>
    <w:rsid w:val="0047309F"/>
    <w:rsid w:val="0047417D"/>
    <w:rsid w:val="004742A3"/>
    <w:rsid w:val="004757BB"/>
    <w:rsid w:val="00475C66"/>
    <w:rsid w:val="00476655"/>
    <w:rsid w:val="00476AE6"/>
    <w:rsid w:val="0047738B"/>
    <w:rsid w:val="0047746C"/>
    <w:rsid w:val="0048364E"/>
    <w:rsid w:val="00485073"/>
    <w:rsid w:val="00486194"/>
    <w:rsid w:val="00487450"/>
    <w:rsid w:val="0048777B"/>
    <w:rsid w:val="00490622"/>
    <w:rsid w:val="004906F8"/>
    <w:rsid w:val="00490B95"/>
    <w:rsid w:val="004915AA"/>
    <w:rsid w:val="00491FC3"/>
    <w:rsid w:val="004931FD"/>
    <w:rsid w:val="00494CC5"/>
    <w:rsid w:val="0049550E"/>
    <w:rsid w:val="00497244"/>
    <w:rsid w:val="00497826"/>
    <w:rsid w:val="004A0CD5"/>
    <w:rsid w:val="004A0FF0"/>
    <w:rsid w:val="004A1834"/>
    <w:rsid w:val="004A1D34"/>
    <w:rsid w:val="004A385D"/>
    <w:rsid w:val="004A41CB"/>
    <w:rsid w:val="004A4227"/>
    <w:rsid w:val="004A5726"/>
    <w:rsid w:val="004A6CFF"/>
    <w:rsid w:val="004B0723"/>
    <w:rsid w:val="004B2506"/>
    <w:rsid w:val="004B2963"/>
    <w:rsid w:val="004B4AFC"/>
    <w:rsid w:val="004B6734"/>
    <w:rsid w:val="004B78C6"/>
    <w:rsid w:val="004B7C18"/>
    <w:rsid w:val="004C05CF"/>
    <w:rsid w:val="004C25F8"/>
    <w:rsid w:val="004C40BE"/>
    <w:rsid w:val="004C425D"/>
    <w:rsid w:val="004C525B"/>
    <w:rsid w:val="004C73DD"/>
    <w:rsid w:val="004D18C5"/>
    <w:rsid w:val="004D23C7"/>
    <w:rsid w:val="004D30B6"/>
    <w:rsid w:val="004D4B54"/>
    <w:rsid w:val="004D667E"/>
    <w:rsid w:val="004D66EC"/>
    <w:rsid w:val="004D6F3D"/>
    <w:rsid w:val="004D6FDF"/>
    <w:rsid w:val="004E00C5"/>
    <w:rsid w:val="004E106E"/>
    <w:rsid w:val="004E2221"/>
    <w:rsid w:val="004E3309"/>
    <w:rsid w:val="004E37AA"/>
    <w:rsid w:val="004E54A0"/>
    <w:rsid w:val="004E7BF1"/>
    <w:rsid w:val="004F0112"/>
    <w:rsid w:val="004F04A0"/>
    <w:rsid w:val="004F17F6"/>
    <w:rsid w:val="004F27B4"/>
    <w:rsid w:val="004F3952"/>
    <w:rsid w:val="004F4673"/>
    <w:rsid w:val="004F4FCD"/>
    <w:rsid w:val="004F5090"/>
    <w:rsid w:val="004F53FD"/>
    <w:rsid w:val="004F5FE6"/>
    <w:rsid w:val="004F7F19"/>
    <w:rsid w:val="00501CDA"/>
    <w:rsid w:val="00501FA0"/>
    <w:rsid w:val="00502AD3"/>
    <w:rsid w:val="00504912"/>
    <w:rsid w:val="00504C44"/>
    <w:rsid w:val="005052F8"/>
    <w:rsid w:val="0050575C"/>
    <w:rsid w:val="00505A3D"/>
    <w:rsid w:val="0051008A"/>
    <w:rsid w:val="005110D4"/>
    <w:rsid w:val="00511424"/>
    <w:rsid w:val="005128F1"/>
    <w:rsid w:val="00512957"/>
    <w:rsid w:val="00512D16"/>
    <w:rsid w:val="00513E21"/>
    <w:rsid w:val="005143A0"/>
    <w:rsid w:val="00514C58"/>
    <w:rsid w:val="00515397"/>
    <w:rsid w:val="00515F58"/>
    <w:rsid w:val="0051652D"/>
    <w:rsid w:val="00517949"/>
    <w:rsid w:val="00517C83"/>
    <w:rsid w:val="00520161"/>
    <w:rsid w:val="00520E55"/>
    <w:rsid w:val="0052158D"/>
    <w:rsid w:val="00522F51"/>
    <w:rsid w:val="005234E3"/>
    <w:rsid w:val="005244BF"/>
    <w:rsid w:val="00524B0C"/>
    <w:rsid w:val="0052562E"/>
    <w:rsid w:val="0052637F"/>
    <w:rsid w:val="0052644A"/>
    <w:rsid w:val="005265CF"/>
    <w:rsid w:val="00527567"/>
    <w:rsid w:val="00527A54"/>
    <w:rsid w:val="0053060F"/>
    <w:rsid w:val="0053073A"/>
    <w:rsid w:val="0053172B"/>
    <w:rsid w:val="00532971"/>
    <w:rsid w:val="00533491"/>
    <w:rsid w:val="005340F5"/>
    <w:rsid w:val="005341EB"/>
    <w:rsid w:val="00535BF8"/>
    <w:rsid w:val="00536289"/>
    <w:rsid w:val="00536DF5"/>
    <w:rsid w:val="00541BF8"/>
    <w:rsid w:val="005440CD"/>
    <w:rsid w:val="00544A0D"/>
    <w:rsid w:val="0054613B"/>
    <w:rsid w:val="00546D64"/>
    <w:rsid w:val="00547A5B"/>
    <w:rsid w:val="00547F09"/>
    <w:rsid w:val="00550203"/>
    <w:rsid w:val="00550D6A"/>
    <w:rsid w:val="0055276C"/>
    <w:rsid w:val="00552B99"/>
    <w:rsid w:val="00553738"/>
    <w:rsid w:val="0055456A"/>
    <w:rsid w:val="00554CA8"/>
    <w:rsid w:val="00556EF4"/>
    <w:rsid w:val="0056108B"/>
    <w:rsid w:val="005614C8"/>
    <w:rsid w:val="00561EAA"/>
    <w:rsid w:val="00564A2F"/>
    <w:rsid w:val="005665FF"/>
    <w:rsid w:val="005754ED"/>
    <w:rsid w:val="005766AF"/>
    <w:rsid w:val="005777AB"/>
    <w:rsid w:val="00577B0A"/>
    <w:rsid w:val="00580BEB"/>
    <w:rsid w:val="00580C60"/>
    <w:rsid w:val="005815B6"/>
    <w:rsid w:val="00581801"/>
    <w:rsid w:val="00583488"/>
    <w:rsid w:val="00583644"/>
    <w:rsid w:val="00585290"/>
    <w:rsid w:val="00586AE0"/>
    <w:rsid w:val="005870BE"/>
    <w:rsid w:val="00587793"/>
    <w:rsid w:val="005877CE"/>
    <w:rsid w:val="00590337"/>
    <w:rsid w:val="00590F94"/>
    <w:rsid w:val="00591764"/>
    <w:rsid w:val="005933FB"/>
    <w:rsid w:val="0059542F"/>
    <w:rsid w:val="00596602"/>
    <w:rsid w:val="00596D99"/>
    <w:rsid w:val="005A15CA"/>
    <w:rsid w:val="005A2163"/>
    <w:rsid w:val="005A23ED"/>
    <w:rsid w:val="005A2998"/>
    <w:rsid w:val="005A3A39"/>
    <w:rsid w:val="005A3CDF"/>
    <w:rsid w:val="005A5C54"/>
    <w:rsid w:val="005A604A"/>
    <w:rsid w:val="005A6BFD"/>
    <w:rsid w:val="005B0BCF"/>
    <w:rsid w:val="005B0D44"/>
    <w:rsid w:val="005B1A90"/>
    <w:rsid w:val="005B565F"/>
    <w:rsid w:val="005C0666"/>
    <w:rsid w:val="005C3464"/>
    <w:rsid w:val="005C4EA2"/>
    <w:rsid w:val="005C57DC"/>
    <w:rsid w:val="005D3426"/>
    <w:rsid w:val="005D3582"/>
    <w:rsid w:val="005D488F"/>
    <w:rsid w:val="005D5415"/>
    <w:rsid w:val="005D5E2C"/>
    <w:rsid w:val="005D6009"/>
    <w:rsid w:val="005D69C1"/>
    <w:rsid w:val="005D76D9"/>
    <w:rsid w:val="005D7B2E"/>
    <w:rsid w:val="005D7FA1"/>
    <w:rsid w:val="005E00D9"/>
    <w:rsid w:val="005E1B49"/>
    <w:rsid w:val="005E2184"/>
    <w:rsid w:val="005E26D4"/>
    <w:rsid w:val="005E2D89"/>
    <w:rsid w:val="005E3283"/>
    <w:rsid w:val="005E3387"/>
    <w:rsid w:val="005E772C"/>
    <w:rsid w:val="005E7B3D"/>
    <w:rsid w:val="005E7CF4"/>
    <w:rsid w:val="005F0361"/>
    <w:rsid w:val="005F0EEB"/>
    <w:rsid w:val="005F1875"/>
    <w:rsid w:val="005F2FB8"/>
    <w:rsid w:val="005F40C2"/>
    <w:rsid w:val="005F43F9"/>
    <w:rsid w:val="005F4C72"/>
    <w:rsid w:val="005F5544"/>
    <w:rsid w:val="005F66D1"/>
    <w:rsid w:val="005F7CA2"/>
    <w:rsid w:val="0060127D"/>
    <w:rsid w:val="006017F2"/>
    <w:rsid w:val="00601AEE"/>
    <w:rsid w:val="00602523"/>
    <w:rsid w:val="0060358F"/>
    <w:rsid w:val="00603958"/>
    <w:rsid w:val="006052F7"/>
    <w:rsid w:val="00605830"/>
    <w:rsid w:val="00605A11"/>
    <w:rsid w:val="00605D00"/>
    <w:rsid w:val="00606ED4"/>
    <w:rsid w:val="006072A7"/>
    <w:rsid w:val="00611EBD"/>
    <w:rsid w:val="006125AB"/>
    <w:rsid w:val="00613DA5"/>
    <w:rsid w:val="0061571B"/>
    <w:rsid w:val="00616F2C"/>
    <w:rsid w:val="006229BB"/>
    <w:rsid w:val="00622C95"/>
    <w:rsid w:val="0062461E"/>
    <w:rsid w:val="00626631"/>
    <w:rsid w:val="00626F4A"/>
    <w:rsid w:val="006278BD"/>
    <w:rsid w:val="00630919"/>
    <w:rsid w:val="00632B31"/>
    <w:rsid w:val="00634BBD"/>
    <w:rsid w:val="00636913"/>
    <w:rsid w:val="00637FF5"/>
    <w:rsid w:val="0064128F"/>
    <w:rsid w:val="00643FA4"/>
    <w:rsid w:val="006447EA"/>
    <w:rsid w:val="00645091"/>
    <w:rsid w:val="0064587E"/>
    <w:rsid w:val="00645A5D"/>
    <w:rsid w:val="0064655D"/>
    <w:rsid w:val="00646BA2"/>
    <w:rsid w:val="00647288"/>
    <w:rsid w:val="0065181D"/>
    <w:rsid w:val="006519DF"/>
    <w:rsid w:val="00653C1F"/>
    <w:rsid w:val="00653E59"/>
    <w:rsid w:val="0065487D"/>
    <w:rsid w:val="006551AA"/>
    <w:rsid w:val="00655474"/>
    <w:rsid w:val="0065702E"/>
    <w:rsid w:val="00661350"/>
    <w:rsid w:val="00661E48"/>
    <w:rsid w:val="00662C49"/>
    <w:rsid w:val="00663F6C"/>
    <w:rsid w:val="00664000"/>
    <w:rsid w:val="0066445E"/>
    <w:rsid w:val="00664998"/>
    <w:rsid w:val="00664A70"/>
    <w:rsid w:val="0066536E"/>
    <w:rsid w:val="00666F7E"/>
    <w:rsid w:val="0067033D"/>
    <w:rsid w:val="0067078A"/>
    <w:rsid w:val="006728D6"/>
    <w:rsid w:val="00674D57"/>
    <w:rsid w:val="00674EE5"/>
    <w:rsid w:val="006766EC"/>
    <w:rsid w:val="0068019B"/>
    <w:rsid w:val="00681F3A"/>
    <w:rsid w:val="00693140"/>
    <w:rsid w:val="006935A7"/>
    <w:rsid w:val="0069468A"/>
    <w:rsid w:val="00695C80"/>
    <w:rsid w:val="006A0E51"/>
    <w:rsid w:val="006A0F5F"/>
    <w:rsid w:val="006A1138"/>
    <w:rsid w:val="006A3FAB"/>
    <w:rsid w:val="006A414B"/>
    <w:rsid w:val="006A5196"/>
    <w:rsid w:val="006B0CA2"/>
    <w:rsid w:val="006B106A"/>
    <w:rsid w:val="006B28EF"/>
    <w:rsid w:val="006B3520"/>
    <w:rsid w:val="006B3D67"/>
    <w:rsid w:val="006B52F0"/>
    <w:rsid w:val="006B641E"/>
    <w:rsid w:val="006B737C"/>
    <w:rsid w:val="006C149C"/>
    <w:rsid w:val="006C19B7"/>
    <w:rsid w:val="006C25C7"/>
    <w:rsid w:val="006C2D70"/>
    <w:rsid w:val="006C4D7E"/>
    <w:rsid w:val="006C6AD4"/>
    <w:rsid w:val="006C6F45"/>
    <w:rsid w:val="006C7E83"/>
    <w:rsid w:val="006D0B71"/>
    <w:rsid w:val="006D0BA4"/>
    <w:rsid w:val="006D12C2"/>
    <w:rsid w:val="006D18EC"/>
    <w:rsid w:val="006D5E83"/>
    <w:rsid w:val="006E1A87"/>
    <w:rsid w:val="006E1AF0"/>
    <w:rsid w:val="006E2085"/>
    <w:rsid w:val="006E2764"/>
    <w:rsid w:val="006E3F52"/>
    <w:rsid w:val="006E4AC7"/>
    <w:rsid w:val="006E5BB4"/>
    <w:rsid w:val="006E6257"/>
    <w:rsid w:val="006E6E37"/>
    <w:rsid w:val="006E6F0B"/>
    <w:rsid w:val="006E7435"/>
    <w:rsid w:val="006E74C4"/>
    <w:rsid w:val="006E7BB0"/>
    <w:rsid w:val="006F091C"/>
    <w:rsid w:val="006F0D13"/>
    <w:rsid w:val="006F1542"/>
    <w:rsid w:val="006F176F"/>
    <w:rsid w:val="006F2012"/>
    <w:rsid w:val="006F24B0"/>
    <w:rsid w:val="006F2556"/>
    <w:rsid w:val="006F25CC"/>
    <w:rsid w:val="006F39AD"/>
    <w:rsid w:val="00700182"/>
    <w:rsid w:val="00700254"/>
    <w:rsid w:val="00701A0D"/>
    <w:rsid w:val="00701D43"/>
    <w:rsid w:val="007026F6"/>
    <w:rsid w:val="00703DD9"/>
    <w:rsid w:val="00704EA9"/>
    <w:rsid w:val="00706497"/>
    <w:rsid w:val="00707B01"/>
    <w:rsid w:val="00711854"/>
    <w:rsid w:val="00711D52"/>
    <w:rsid w:val="0071346C"/>
    <w:rsid w:val="00716C77"/>
    <w:rsid w:val="00721396"/>
    <w:rsid w:val="00721840"/>
    <w:rsid w:val="007218B0"/>
    <w:rsid w:val="0072286C"/>
    <w:rsid w:val="00723D98"/>
    <w:rsid w:val="007246A5"/>
    <w:rsid w:val="0073045D"/>
    <w:rsid w:val="00730EF2"/>
    <w:rsid w:val="0073677A"/>
    <w:rsid w:val="00736B2B"/>
    <w:rsid w:val="00740217"/>
    <w:rsid w:val="00741A33"/>
    <w:rsid w:val="00741D33"/>
    <w:rsid w:val="007436FA"/>
    <w:rsid w:val="0074476E"/>
    <w:rsid w:val="00744D7E"/>
    <w:rsid w:val="007453FD"/>
    <w:rsid w:val="00745692"/>
    <w:rsid w:val="007459BC"/>
    <w:rsid w:val="00745ADF"/>
    <w:rsid w:val="00747420"/>
    <w:rsid w:val="00750917"/>
    <w:rsid w:val="00753752"/>
    <w:rsid w:val="00754447"/>
    <w:rsid w:val="007547FE"/>
    <w:rsid w:val="00757B4A"/>
    <w:rsid w:val="00760020"/>
    <w:rsid w:val="007602E7"/>
    <w:rsid w:val="00761C74"/>
    <w:rsid w:val="00761E8F"/>
    <w:rsid w:val="007620E6"/>
    <w:rsid w:val="00763DF6"/>
    <w:rsid w:val="0076425D"/>
    <w:rsid w:val="00764922"/>
    <w:rsid w:val="00765956"/>
    <w:rsid w:val="00765D8A"/>
    <w:rsid w:val="00767F3F"/>
    <w:rsid w:val="007709BD"/>
    <w:rsid w:val="00770C69"/>
    <w:rsid w:val="00771159"/>
    <w:rsid w:val="00771A02"/>
    <w:rsid w:val="00772FC5"/>
    <w:rsid w:val="007731F2"/>
    <w:rsid w:val="00773987"/>
    <w:rsid w:val="00776C03"/>
    <w:rsid w:val="00777EB9"/>
    <w:rsid w:val="00782E50"/>
    <w:rsid w:val="0078316C"/>
    <w:rsid w:val="00785124"/>
    <w:rsid w:val="00791186"/>
    <w:rsid w:val="00792B37"/>
    <w:rsid w:val="0079314B"/>
    <w:rsid w:val="007958E8"/>
    <w:rsid w:val="0079616D"/>
    <w:rsid w:val="00796287"/>
    <w:rsid w:val="00797BF8"/>
    <w:rsid w:val="007A1AEB"/>
    <w:rsid w:val="007A342C"/>
    <w:rsid w:val="007A4A90"/>
    <w:rsid w:val="007A4EBF"/>
    <w:rsid w:val="007A6590"/>
    <w:rsid w:val="007A6921"/>
    <w:rsid w:val="007A7C14"/>
    <w:rsid w:val="007B158A"/>
    <w:rsid w:val="007B3BAE"/>
    <w:rsid w:val="007B79EF"/>
    <w:rsid w:val="007B7D6B"/>
    <w:rsid w:val="007C0392"/>
    <w:rsid w:val="007C06FE"/>
    <w:rsid w:val="007C2FBB"/>
    <w:rsid w:val="007C3120"/>
    <w:rsid w:val="007C3C65"/>
    <w:rsid w:val="007C56D9"/>
    <w:rsid w:val="007C69B6"/>
    <w:rsid w:val="007C6F0A"/>
    <w:rsid w:val="007C7087"/>
    <w:rsid w:val="007C71E9"/>
    <w:rsid w:val="007D0BE9"/>
    <w:rsid w:val="007D26E3"/>
    <w:rsid w:val="007D3BFF"/>
    <w:rsid w:val="007D7294"/>
    <w:rsid w:val="007E4DEF"/>
    <w:rsid w:val="007E4F37"/>
    <w:rsid w:val="007F09C2"/>
    <w:rsid w:val="007F6D48"/>
    <w:rsid w:val="00800882"/>
    <w:rsid w:val="00801E6C"/>
    <w:rsid w:val="00802E9E"/>
    <w:rsid w:val="008040C5"/>
    <w:rsid w:val="00807EFD"/>
    <w:rsid w:val="00810F1F"/>
    <w:rsid w:val="0081165C"/>
    <w:rsid w:val="00811F37"/>
    <w:rsid w:val="00816A6C"/>
    <w:rsid w:val="008170B2"/>
    <w:rsid w:val="00817D93"/>
    <w:rsid w:val="008204CB"/>
    <w:rsid w:val="0082083F"/>
    <w:rsid w:val="00822966"/>
    <w:rsid w:val="00823C66"/>
    <w:rsid w:val="00824A73"/>
    <w:rsid w:val="008254CC"/>
    <w:rsid w:val="00826A39"/>
    <w:rsid w:val="008302E0"/>
    <w:rsid w:val="00830F92"/>
    <w:rsid w:val="00831406"/>
    <w:rsid w:val="0083147A"/>
    <w:rsid w:val="00831A5F"/>
    <w:rsid w:val="008321D7"/>
    <w:rsid w:val="0083222B"/>
    <w:rsid w:val="0083229B"/>
    <w:rsid w:val="00833EBC"/>
    <w:rsid w:val="0083595E"/>
    <w:rsid w:val="008372C4"/>
    <w:rsid w:val="00837A18"/>
    <w:rsid w:val="0084022C"/>
    <w:rsid w:val="0084114A"/>
    <w:rsid w:val="0084353C"/>
    <w:rsid w:val="00843751"/>
    <w:rsid w:val="008440C8"/>
    <w:rsid w:val="00845236"/>
    <w:rsid w:val="00845D3C"/>
    <w:rsid w:val="0084657A"/>
    <w:rsid w:val="008469FD"/>
    <w:rsid w:val="008472BA"/>
    <w:rsid w:val="00847F21"/>
    <w:rsid w:val="00852D1D"/>
    <w:rsid w:val="00853A44"/>
    <w:rsid w:val="00853C37"/>
    <w:rsid w:val="00854FC5"/>
    <w:rsid w:val="0086007F"/>
    <w:rsid w:val="00861BBC"/>
    <w:rsid w:val="00862040"/>
    <w:rsid w:val="0086430F"/>
    <w:rsid w:val="00865A66"/>
    <w:rsid w:val="00866CBA"/>
    <w:rsid w:val="00874905"/>
    <w:rsid w:val="00874DD7"/>
    <w:rsid w:val="00875862"/>
    <w:rsid w:val="008759AA"/>
    <w:rsid w:val="00881236"/>
    <w:rsid w:val="00882886"/>
    <w:rsid w:val="00883204"/>
    <w:rsid w:val="00883B51"/>
    <w:rsid w:val="008857C5"/>
    <w:rsid w:val="008862BA"/>
    <w:rsid w:val="00886F40"/>
    <w:rsid w:val="00890A19"/>
    <w:rsid w:val="00890F54"/>
    <w:rsid w:val="00891132"/>
    <w:rsid w:val="00891AC7"/>
    <w:rsid w:val="00894443"/>
    <w:rsid w:val="00894A72"/>
    <w:rsid w:val="00895BF8"/>
    <w:rsid w:val="00895D90"/>
    <w:rsid w:val="008A0557"/>
    <w:rsid w:val="008A170C"/>
    <w:rsid w:val="008A355A"/>
    <w:rsid w:val="008A4241"/>
    <w:rsid w:val="008A4853"/>
    <w:rsid w:val="008A778B"/>
    <w:rsid w:val="008B1031"/>
    <w:rsid w:val="008B10B2"/>
    <w:rsid w:val="008B45CD"/>
    <w:rsid w:val="008B4874"/>
    <w:rsid w:val="008B6861"/>
    <w:rsid w:val="008B6AB4"/>
    <w:rsid w:val="008B6D69"/>
    <w:rsid w:val="008C0F46"/>
    <w:rsid w:val="008C3818"/>
    <w:rsid w:val="008C3980"/>
    <w:rsid w:val="008C3C3A"/>
    <w:rsid w:val="008C419C"/>
    <w:rsid w:val="008C4621"/>
    <w:rsid w:val="008D14E3"/>
    <w:rsid w:val="008D6568"/>
    <w:rsid w:val="008D689B"/>
    <w:rsid w:val="008D73D8"/>
    <w:rsid w:val="008D7B76"/>
    <w:rsid w:val="008E006B"/>
    <w:rsid w:val="008E0CAD"/>
    <w:rsid w:val="008E1136"/>
    <w:rsid w:val="008E1629"/>
    <w:rsid w:val="008E1E0F"/>
    <w:rsid w:val="008E4E91"/>
    <w:rsid w:val="008E5266"/>
    <w:rsid w:val="008E627B"/>
    <w:rsid w:val="008E6520"/>
    <w:rsid w:val="008E7D8A"/>
    <w:rsid w:val="008F0DCC"/>
    <w:rsid w:val="008F53D4"/>
    <w:rsid w:val="008F6A34"/>
    <w:rsid w:val="008F7E18"/>
    <w:rsid w:val="009003D6"/>
    <w:rsid w:val="00904B61"/>
    <w:rsid w:val="009100C3"/>
    <w:rsid w:val="00910187"/>
    <w:rsid w:val="00912CC6"/>
    <w:rsid w:val="00913060"/>
    <w:rsid w:val="009143FA"/>
    <w:rsid w:val="00915938"/>
    <w:rsid w:val="00916EC1"/>
    <w:rsid w:val="00917174"/>
    <w:rsid w:val="009211FF"/>
    <w:rsid w:val="00922879"/>
    <w:rsid w:val="00923490"/>
    <w:rsid w:val="00923E61"/>
    <w:rsid w:val="00926886"/>
    <w:rsid w:val="00927C73"/>
    <w:rsid w:val="009339DF"/>
    <w:rsid w:val="00934804"/>
    <w:rsid w:val="0093619C"/>
    <w:rsid w:val="00940F2B"/>
    <w:rsid w:val="00942EA3"/>
    <w:rsid w:val="00944185"/>
    <w:rsid w:val="00946134"/>
    <w:rsid w:val="009465CA"/>
    <w:rsid w:val="0094697D"/>
    <w:rsid w:val="00947E1B"/>
    <w:rsid w:val="0095147E"/>
    <w:rsid w:val="0095325F"/>
    <w:rsid w:val="00953791"/>
    <w:rsid w:val="00954EF4"/>
    <w:rsid w:val="0095594C"/>
    <w:rsid w:val="0095772E"/>
    <w:rsid w:val="00961D3E"/>
    <w:rsid w:val="009622AA"/>
    <w:rsid w:val="009660B5"/>
    <w:rsid w:val="00966F0B"/>
    <w:rsid w:val="00967599"/>
    <w:rsid w:val="00973844"/>
    <w:rsid w:val="009751CB"/>
    <w:rsid w:val="009756C4"/>
    <w:rsid w:val="00975B28"/>
    <w:rsid w:val="00976AFA"/>
    <w:rsid w:val="00977585"/>
    <w:rsid w:val="009807A0"/>
    <w:rsid w:val="00980CE6"/>
    <w:rsid w:val="0098339B"/>
    <w:rsid w:val="00984B66"/>
    <w:rsid w:val="009853A9"/>
    <w:rsid w:val="009864DF"/>
    <w:rsid w:val="00986BC9"/>
    <w:rsid w:val="00987291"/>
    <w:rsid w:val="0098796A"/>
    <w:rsid w:val="009918B7"/>
    <w:rsid w:val="0099423F"/>
    <w:rsid w:val="009946FD"/>
    <w:rsid w:val="00995D61"/>
    <w:rsid w:val="00995F4A"/>
    <w:rsid w:val="009961D7"/>
    <w:rsid w:val="0099637A"/>
    <w:rsid w:val="00997AA5"/>
    <w:rsid w:val="009A1818"/>
    <w:rsid w:val="009A572B"/>
    <w:rsid w:val="009A5FB6"/>
    <w:rsid w:val="009B0107"/>
    <w:rsid w:val="009B1AEC"/>
    <w:rsid w:val="009B2A96"/>
    <w:rsid w:val="009B2F8F"/>
    <w:rsid w:val="009B3CD6"/>
    <w:rsid w:val="009B3F9A"/>
    <w:rsid w:val="009B41AB"/>
    <w:rsid w:val="009B593A"/>
    <w:rsid w:val="009B68C3"/>
    <w:rsid w:val="009B7D89"/>
    <w:rsid w:val="009C03B6"/>
    <w:rsid w:val="009C253B"/>
    <w:rsid w:val="009C2C66"/>
    <w:rsid w:val="009C4C9B"/>
    <w:rsid w:val="009C70EE"/>
    <w:rsid w:val="009C73FF"/>
    <w:rsid w:val="009C7A8C"/>
    <w:rsid w:val="009D12C1"/>
    <w:rsid w:val="009D1F8F"/>
    <w:rsid w:val="009D213C"/>
    <w:rsid w:val="009D2AD9"/>
    <w:rsid w:val="009D4A43"/>
    <w:rsid w:val="009D6531"/>
    <w:rsid w:val="009D715B"/>
    <w:rsid w:val="009E06CE"/>
    <w:rsid w:val="009E24FE"/>
    <w:rsid w:val="009E4799"/>
    <w:rsid w:val="009E4A66"/>
    <w:rsid w:val="009E6294"/>
    <w:rsid w:val="009E7FF6"/>
    <w:rsid w:val="009F0C7B"/>
    <w:rsid w:val="009F0D31"/>
    <w:rsid w:val="009F224F"/>
    <w:rsid w:val="009F2FE6"/>
    <w:rsid w:val="009F482F"/>
    <w:rsid w:val="009F5674"/>
    <w:rsid w:val="009F6630"/>
    <w:rsid w:val="009F6C4A"/>
    <w:rsid w:val="009F73D2"/>
    <w:rsid w:val="00A000E3"/>
    <w:rsid w:val="00A0186F"/>
    <w:rsid w:val="00A01B8E"/>
    <w:rsid w:val="00A03427"/>
    <w:rsid w:val="00A037A8"/>
    <w:rsid w:val="00A03BEB"/>
    <w:rsid w:val="00A11E4B"/>
    <w:rsid w:val="00A120C0"/>
    <w:rsid w:val="00A175B1"/>
    <w:rsid w:val="00A200C6"/>
    <w:rsid w:val="00A200CE"/>
    <w:rsid w:val="00A2073B"/>
    <w:rsid w:val="00A20B99"/>
    <w:rsid w:val="00A23A68"/>
    <w:rsid w:val="00A2510A"/>
    <w:rsid w:val="00A2790F"/>
    <w:rsid w:val="00A30FF3"/>
    <w:rsid w:val="00A326D5"/>
    <w:rsid w:val="00A41942"/>
    <w:rsid w:val="00A41FD2"/>
    <w:rsid w:val="00A42D43"/>
    <w:rsid w:val="00A44E62"/>
    <w:rsid w:val="00A459BD"/>
    <w:rsid w:val="00A45E94"/>
    <w:rsid w:val="00A4766B"/>
    <w:rsid w:val="00A5154E"/>
    <w:rsid w:val="00A532E4"/>
    <w:rsid w:val="00A53F35"/>
    <w:rsid w:val="00A545F1"/>
    <w:rsid w:val="00A553CA"/>
    <w:rsid w:val="00A5707F"/>
    <w:rsid w:val="00A6078C"/>
    <w:rsid w:val="00A62992"/>
    <w:rsid w:val="00A63A43"/>
    <w:rsid w:val="00A656CC"/>
    <w:rsid w:val="00A67EFD"/>
    <w:rsid w:val="00A67F9A"/>
    <w:rsid w:val="00A713D4"/>
    <w:rsid w:val="00A71C0A"/>
    <w:rsid w:val="00A72651"/>
    <w:rsid w:val="00A73E78"/>
    <w:rsid w:val="00A73FA0"/>
    <w:rsid w:val="00A760E3"/>
    <w:rsid w:val="00A76CA1"/>
    <w:rsid w:val="00A7734C"/>
    <w:rsid w:val="00A803A8"/>
    <w:rsid w:val="00A82803"/>
    <w:rsid w:val="00A8315F"/>
    <w:rsid w:val="00A84F75"/>
    <w:rsid w:val="00A8515F"/>
    <w:rsid w:val="00A86CA4"/>
    <w:rsid w:val="00A871E5"/>
    <w:rsid w:val="00A90C98"/>
    <w:rsid w:val="00A915DA"/>
    <w:rsid w:val="00A93695"/>
    <w:rsid w:val="00A937F8"/>
    <w:rsid w:val="00A94C0E"/>
    <w:rsid w:val="00A979E5"/>
    <w:rsid w:val="00AA002B"/>
    <w:rsid w:val="00AA0126"/>
    <w:rsid w:val="00AA06A2"/>
    <w:rsid w:val="00AA0CAC"/>
    <w:rsid w:val="00AA1A14"/>
    <w:rsid w:val="00AA248A"/>
    <w:rsid w:val="00AA2825"/>
    <w:rsid w:val="00AA2D41"/>
    <w:rsid w:val="00AA53B4"/>
    <w:rsid w:val="00AA64A1"/>
    <w:rsid w:val="00AB3607"/>
    <w:rsid w:val="00AB7FC7"/>
    <w:rsid w:val="00AC122B"/>
    <w:rsid w:val="00AC12E8"/>
    <w:rsid w:val="00AC13FE"/>
    <w:rsid w:val="00AC4655"/>
    <w:rsid w:val="00AC4A05"/>
    <w:rsid w:val="00AC4A3A"/>
    <w:rsid w:val="00AC5F84"/>
    <w:rsid w:val="00AC686B"/>
    <w:rsid w:val="00AD239D"/>
    <w:rsid w:val="00AD2918"/>
    <w:rsid w:val="00AD2C01"/>
    <w:rsid w:val="00AD5596"/>
    <w:rsid w:val="00AD78FD"/>
    <w:rsid w:val="00AE037A"/>
    <w:rsid w:val="00AE0E6F"/>
    <w:rsid w:val="00AE3BE7"/>
    <w:rsid w:val="00AE5124"/>
    <w:rsid w:val="00AE5CB2"/>
    <w:rsid w:val="00AE70E5"/>
    <w:rsid w:val="00AF04BC"/>
    <w:rsid w:val="00AF2D1F"/>
    <w:rsid w:val="00AF47C8"/>
    <w:rsid w:val="00AF5651"/>
    <w:rsid w:val="00AF677F"/>
    <w:rsid w:val="00AF6990"/>
    <w:rsid w:val="00B00080"/>
    <w:rsid w:val="00B002D2"/>
    <w:rsid w:val="00B0146D"/>
    <w:rsid w:val="00B014CB"/>
    <w:rsid w:val="00B02DDE"/>
    <w:rsid w:val="00B03005"/>
    <w:rsid w:val="00B0395A"/>
    <w:rsid w:val="00B03CEE"/>
    <w:rsid w:val="00B046BA"/>
    <w:rsid w:val="00B05ADA"/>
    <w:rsid w:val="00B062F9"/>
    <w:rsid w:val="00B067D0"/>
    <w:rsid w:val="00B138ED"/>
    <w:rsid w:val="00B1497D"/>
    <w:rsid w:val="00B160ED"/>
    <w:rsid w:val="00B166D9"/>
    <w:rsid w:val="00B16FA8"/>
    <w:rsid w:val="00B20926"/>
    <w:rsid w:val="00B20F77"/>
    <w:rsid w:val="00B2132F"/>
    <w:rsid w:val="00B21CEC"/>
    <w:rsid w:val="00B22A51"/>
    <w:rsid w:val="00B240C1"/>
    <w:rsid w:val="00B24978"/>
    <w:rsid w:val="00B2521B"/>
    <w:rsid w:val="00B27253"/>
    <w:rsid w:val="00B30296"/>
    <w:rsid w:val="00B321F7"/>
    <w:rsid w:val="00B32AE4"/>
    <w:rsid w:val="00B351AD"/>
    <w:rsid w:val="00B36266"/>
    <w:rsid w:val="00B36285"/>
    <w:rsid w:val="00B36E38"/>
    <w:rsid w:val="00B40BD5"/>
    <w:rsid w:val="00B40EB5"/>
    <w:rsid w:val="00B4115B"/>
    <w:rsid w:val="00B43F17"/>
    <w:rsid w:val="00B44D23"/>
    <w:rsid w:val="00B503B1"/>
    <w:rsid w:val="00B512E9"/>
    <w:rsid w:val="00B51942"/>
    <w:rsid w:val="00B53A64"/>
    <w:rsid w:val="00B5502F"/>
    <w:rsid w:val="00B560F4"/>
    <w:rsid w:val="00B56CA1"/>
    <w:rsid w:val="00B57AB3"/>
    <w:rsid w:val="00B60ED6"/>
    <w:rsid w:val="00B612AC"/>
    <w:rsid w:val="00B633BB"/>
    <w:rsid w:val="00B65530"/>
    <w:rsid w:val="00B66D02"/>
    <w:rsid w:val="00B6720F"/>
    <w:rsid w:val="00B70C57"/>
    <w:rsid w:val="00B71F6B"/>
    <w:rsid w:val="00B74E25"/>
    <w:rsid w:val="00B751AB"/>
    <w:rsid w:val="00B761D4"/>
    <w:rsid w:val="00B76E08"/>
    <w:rsid w:val="00B77FCD"/>
    <w:rsid w:val="00B82B5E"/>
    <w:rsid w:val="00B83F2A"/>
    <w:rsid w:val="00B850A0"/>
    <w:rsid w:val="00B87089"/>
    <w:rsid w:val="00B91B22"/>
    <w:rsid w:val="00B91DB6"/>
    <w:rsid w:val="00B946D7"/>
    <w:rsid w:val="00B96BF9"/>
    <w:rsid w:val="00B96FB7"/>
    <w:rsid w:val="00BA1D6C"/>
    <w:rsid w:val="00BA1E4B"/>
    <w:rsid w:val="00BA2AB3"/>
    <w:rsid w:val="00BA57C8"/>
    <w:rsid w:val="00BA608C"/>
    <w:rsid w:val="00BA7108"/>
    <w:rsid w:val="00BB0FFE"/>
    <w:rsid w:val="00BB35B4"/>
    <w:rsid w:val="00BB452E"/>
    <w:rsid w:val="00BB530E"/>
    <w:rsid w:val="00BB55AC"/>
    <w:rsid w:val="00BB62AC"/>
    <w:rsid w:val="00BB7937"/>
    <w:rsid w:val="00BB7EA0"/>
    <w:rsid w:val="00BB7EDD"/>
    <w:rsid w:val="00BC03A0"/>
    <w:rsid w:val="00BC0E77"/>
    <w:rsid w:val="00BC162B"/>
    <w:rsid w:val="00BC194E"/>
    <w:rsid w:val="00BC26F8"/>
    <w:rsid w:val="00BC2A5D"/>
    <w:rsid w:val="00BC2AF2"/>
    <w:rsid w:val="00BC42BA"/>
    <w:rsid w:val="00BC528C"/>
    <w:rsid w:val="00BC6D40"/>
    <w:rsid w:val="00BC7313"/>
    <w:rsid w:val="00BC792F"/>
    <w:rsid w:val="00BD129F"/>
    <w:rsid w:val="00BD2C8B"/>
    <w:rsid w:val="00BD4AD2"/>
    <w:rsid w:val="00BD6A58"/>
    <w:rsid w:val="00BD7E83"/>
    <w:rsid w:val="00BE02D4"/>
    <w:rsid w:val="00BE0FDD"/>
    <w:rsid w:val="00BE136B"/>
    <w:rsid w:val="00BE1C15"/>
    <w:rsid w:val="00BE3AD5"/>
    <w:rsid w:val="00BE3F58"/>
    <w:rsid w:val="00BE4019"/>
    <w:rsid w:val="00BE4379"/>
    <w:rsid w:val="00BE576B"/>
    <w:rsid w:val="00BE5A23"/>
    <w:rsid w:val="00BE7A79"/>
    <w:rsid w:val="00BE7F82"/>
    <w:rsid w:val="00BF0C09"/>
    <w:rsid w:val="00BF66BC"/>
    <w:rsid w:val="00BF73C6"/>
    <w:rsid w:val="00C00BA1"/>
    <w:rsid w:val="00C0133B"/>
    <w:rsid w:val="00C01E5D"/>
    <w:rsid w:val="00C01F85"/>
    <w:rsid w:val="00C02FA8"/>
    <w:rsid w:val="00C03A9B"/>
    <w:rsid w:val="00C03D72"/>
    <w:rsid w:val="00C041D6"/>
    <w:rsid w:val="00C04578"/>
    <w:rsid w:val="00C04B88"/>
    <w:rsid w:val="00C05735"/>
    <w:rsid w:val="00C05EC7"/>
    <w:rsid w:val="00C05F87"/>
    <w:rsid w:val="00C10A5D"/>
    <w:rsid w:val="00C10DEF"/>
    <w:rsid w:val="00C11E56"/>
    <w:rsid w:val="00C13120"/>
    <w:rsid w:val="00C132B7"/>
    <w:rsid w:val="00C14757"/>
    <w:rsid w:val="00C16406"/>
    <w:rsid w:val="00C16760"/>
    <w:rsid w:val="00C1709B"/>
    <w:rsid w:val="00C17C70"/>
    <w:rsid w:val="00C22AB4"/>
    <w:rsid w:val="00C23934"/>
    <w:rsid w:val="00C23A5C"/>
    <w:rsid w:val="00C249B0"/>
    <w:rsid w:val="00C26CA1"/>
    <w:rsid w:val="00C273A1"/>
    <w:rsid w:val="00C30588"/>
    <w:rsid w:val="00C30626"/>
    <w:rsid w:val="00C31697"/>
    <w:rsid w:val="00C31DBD"/>
    <w:rsid w:val="00C31F3A"/>
    <w:rsid w:val="00C32169"/>
    <w:rsid w:val="00C32400"/>
    <w:rsid w:val="00C34663"/>
    <w:rsid w:val="00C3479E"/>
    <w:rsid w:val="00C34876"/>
    <w:rsid w:val="00C354E7"/>
    <w:rsid w:val="00C365A9"/>
    <w:rsid w:val="00C36AEC"/>
    <w:rsid w:val="00C419C0"/>
    <w:rsid w:val="00C4639F"/>
    <w:rsid w:val="00C46A32"/>
    <w:rsid w:val="00C4729B"/>
    <w:rsid w:val="00C50660"/>
    <w:rsid w:val="00C51320"/>
    <w:rsid w:val="00C51FF6"/>
    <w:rsid w:val="00C52134"/>
    <w:rsid w:val="00C53038"/>
    <w:rsid w:val="00C53B8B"/>
    <w:rsid w:val="00C53C8D"/>
    <w:rsid w:val="00C54516"/>
    <w:rsid w:val="00C54D4C"/>
    <w:rsid w:val="00C54F1D"/>
    <w:rsid w:val="00C565B3"/>
    <w:rsid w:val="00C57AA5"/>
    <w:rsid w:val="00C614EB"/>
    <w:rsid w:val="00C63570"/>
    <w:rsid w:val="00C649B4"/>
    <w:rsid w:val="00C65CD4"/>
    <w:rsid w:val="00C66341"/>
    <w:rsid w:val="00C67736"/>
    <w:rsid w:val="00C702A1"/>
    <w:rsid w:val="00C7031A"/>
    <w:rsid w:val="00C70554"/>
    <w:rsid w:val="00C72370"/>
    <w:rsid w:val="00C733E4"/>
    <w:rsid w:val="00C773CC"/>
    <w:rsid w:val="00C8094A"/>
    <w:rsid w:val="00C81D02"/>
    <w:rsid w:val="00C844A3"/>
    <w:rsid w:val="00C84A23"/>
    <w:rsid w:val="00C851C7"/>
    <w:rsid w:val="00C85260"/>
    <w:rsid w:val="00C853E9"/>
    <w:rsid w:val="00C875E9"/>
    <w:rsid w:val="00C90998"/>
    <w:rsid w:val="00C94A99"/>
    <w:rsid w:val="00C953D8"/>
    <w:rsid w:val="00CA010F"/>
    <w:rsid w:val="00CA35A7"/>
    <w:rsid w:val="00CA401D"/>
    <w:rsid w:val="00CA4966"/>
    <w:rsid w:val="00CA5788"/>
    <w:rsid w:val="00CA745B"/>
    <w:rsid w:val="00CB131F"/>
    <w:rsid w:val="00CB2E9A"/>
    <w:rsid w:val="00CB3058"/>
    <w:rsid w:val="00CB3381"/>
    <w:rsid w:val="00CB4510"/>
    <w:rsid w:val="00CB45F8"/>
    <w:rsid w:val="00CB5306"/>
    <w:rsid w:val="00CB6B12"/>
    <w:rsid w:val="00CB6D50"/>
    <w:rsid w:val="00CC0455"/>
    <w:rsid w:val="00CC0BF5"/>
    <w:rsid w:val="00CC18BF"/>
    <w:rsid w:val="00CC2EBC"/>
    <w:rsid w:val="00CC4A93"/>
    <w:rsid w:val="00CC4E84"/>
    <w:rsid w:val="00CC4EBD"/>
    <w:rsid w:val="00CC5A60"/>
    <w:rsid w:val="00CD6BB5"/>
    <w:rsid w:val="00CD748E"/>
    <w:rsid w:val="00CE00EE"/>
    <w:rsid w:val="00CE09E6"/>
    <w:rsid w:val="00CE0AE2"/>
    <w:rsid w:val="00CE1AB6"/>
    <w:rsid w:val="00CE2464"/>
    <w:rsid w:val="00CE285C"/>
    <w:rsid w:val="00CE32AC"/>
    <w:rsid w:val="00CE34E4"/>
    <w:rsid w:val="00CE3D86"/>
    <w:rsid w:val="00CE4642"/>
    <w:rsid w:val="00CE4892"/>
    <w:rsid w:val="00CE4ECD"/>
    <w:rsid w:val="00CE555F"/>
    <w:rsid w:val="00CE733E"/>
    <w:rsid w:val="00CE7D96"/>
    <w:rsid w:val="00CF00BA"/>
    <w:rsid w:val="00CF1565"/>
    <w:rsid w:val="00CF3278"/>
    <w:rsid w:val="00CF36E5"/>
    <w:rsid w:val="00CF655C"/>
    <w:rsid w:val="00D00363"/>
    <w:rsid w:val="00D01396"/>
    <w:rsid w:val="00D01926"/>
    <w:rsid w:val="00D019DC"/>
    <w:rsid w:val="00D01E73"/>
    <w:rsid w:val="00D022A8"/>
    <w:rsid w:val="00D02720"/>
    <w:rsid w:val="00D02FE3"/>
    <w:rsid w:val="00D0402B"/>
    <w:rsid w:val="00D0475D"/>
    <w:rsid w:val="00D05BA3"/>
    <w:rsid w:val="00D075FE"/>
    <w:rsid w:val="00D10AD0"/>
    <w:rsid w:val="00D10EEF"/>
    <w:rsid w:val="00D12528"/>
    <w:rsid w:val="00D12FDE"/>
    <w:rsid w:val="00D164C3"/>
    <w:rsid w:val="00D165E4"/>
    <w:rsid w:val="00D167C9"/>
    <w:rsid w:val="00D21632"/>
    <w:rsid w:val="00D2207D"/>
    <w:rsid w:val="00D23135"/>
    <w:rsid w:val="00D2427D"/>
    <w:rsid w:val="00D245A4"/>
    <w:rsid w:val="00D256FF"/>
    <w:rsid w:val="00D2601E"/>
    <w:rsid w:val="00D2697B"/>
    <w:rsid w:val="00D26D2D"/>
    <w:rsid w:val="00D31D8D"/>
    <w:rsid w:val="00D3279C"/>
    <w:rsid w:val="00D34F70"/>
    <w:rsid w:val="00D40790"/>
    <w:rsid w:val="00D415A4"/>
    <w:rsid w:val="00D427B1"/>
    <w:rsid w:val="00D42A5E"/>
    <w:rsid w:val="00D45582"/>
    <w:rsid w:val="00D478AA"/>
    <w:rsid w:val="00D50F86"/>
    <w:rsid w:val="00D52A56"/>
    <w:rsid w:val="00D55883"/>
    <w:rsid w:val="00D5595C"/>
    <w:rsid w:val="00D56AE0"/>
    <w:rsid w:val="00D572A3"/>
    <w:rsid w:val="00D60861"/>
    <w:rsid w:val="00D60D2B"/>
    <w:rsid w:val="00D618DA"/>
    <w:rsid w:val="00D63061"/>
    <w:rsid w:val="00D666C1"/>
    <w:rsid w:val="00D66AF2"/>
    <w:rsid w:val="00D66F6A"/>
    <w:rsid w:val="00D67084"/>
    <w:rsid w:val="00D7098B"/>
    <w:rsid w:val="00D7214A"/>
    <w:rsid w:val="00D73355"/>
    <w:rsid w:val="00D7424E"/>
    <w:rsid w:val="00D7426A"/>
    <w:rsid w:val="00D767A0"/>
    <w:rsid w:val="00D8079D"/>
    <w:rsid w:val="00D81439"/>
    <w:rsid w:val="00D81920"/>
    <w:rsid w:val="00D81A94"/>
    <w:rsid w:val="00D82B6C"/>
    <w:rsid w:val="00D87198"/>
    <w:rsid w:val="00D871A0"/>
    <w:rsid w:val="00D87564"/>
    <w:rsid w:val="00D87CC1"/>
    <w:rsid w:val="00D92864"/>
    <w:rsid w:val="00D93E2F"/>
    <w:rsid w:val="00D94809"/>
    <w:rsid w:val="00D94B9D"/>
    <w:rsid w:val="00D95FE9"/>
    <w:rsid w:val="00D9655C"/>
    <w:rsid w:val="00D978DE"/>
    <w:rsid w:val="00DA2838"/>
    <w:rsid w:val="00DA2969"/>
    <w:rsid w:val="00DA2AE3"/>
    <w:rsid w:val="00DA757D"/>
    <w:rsid w:val="00DB0B04"/>
    <w:rsid w:val="00DB30EE"/>
    <w:rsid w:val="00DB334D"/>
    <w:rsid w:val="00DB4E53"/>
    <w:rsid w:val="00DB5840"/>
    <w:rsid w:val="00DB72DB"/>
    <w:rsid w:val="00DB79D3"/>
    <w:rsid w:val="00DC01DE"/>
    <w:rsid w:val="00DC0D27"/>
    <w:rsid w:val="00DC1A4E"/>
    <w:rsid w:val="00DC2331"/>
    <w:rsid w:val="00DC36ED"/>
    <w:rsid w:val="00DC6031"/>
    <w:rsid w:val="00DC68C7"/>
    <w:rsid w:val="00DC7675"/>
    <w:rsid w:val="00DC7BD4"/>
    <w:rsid w:val="00DD1D86"/>
    <w:rsid w:val="00DD29C7"/>
    <w:rsid w:val="00DD359D"/>
    <w:rsid w:val="00DD4305"/>
    <w:rsid w:val="00DD5E6A"/>
    <w:rsid w:val="00DD5F8E"/>
    <w:rsid w:val="00DD6406"/>
    <w:rsid w:val="00DD7FB8"/>
    <w:rsid w:val="00DE38BE"/>
    <w:rsid w:val="00DE3EF1"/>
    <w:rsid w:val="00DE4D2B"/>
    <w:rsid w:val="00DE4E35"/>
    <w:rsid w:val="00DE522C"/>
    <w:rsid w:val="00DE5507"/>
    <w:rsid w:val="00DE610C"/>
    <w:rsid w:val="00DE7A53"/>
    <w:rsid w:val="00DE7EA4"/>
    <w:rsid w:val="00DF008B"/>
    <w:rsid w:val="00DF0DE5"/>
    <w:rsid w:val="00DF2274"/>
    <w:rsid w:val="00DF42D9"/>
    <w:rsid w:val="00DF43CE"/>
    <w:rsid w:val="00DF45C5"/>
    <w:rsid w:val="00DF6A20"/>
    <w:rsid w:val="00DF6B43"/>
    <w:rsid w:val="00DF7122"/>
    <w:rsid w:val="00DF7D09"/>
    <w:rsid w:val="00E0007D"/>
    <w:rsid w:val="00E0243D"/>
    <w:rsid w:val="00E03476"/>
    <w:rsid w:val="00E051F4"/>
    <w:rsid w:val="00E056DC"/>
    <w:rsid w:val="00E07585"/>
    <w:rsid w:val="00E11303"/>
    <w:rsid w:val="00E1482D"/>
    <w:rsid w:val="00E14FE4"/>
    <w:rsid w:val="00E21997"/>
    <w:rsid w:val="00E2250B"/>
    <w:rsid w:val="00E2260C"/>
    <w:rsid w:val="00E2589A"/>
    <w:rsid w:val="00E3038C"/>
    <w:rsid w:val="00E30419"/>
    <w:rsid w:val="00E309D8"/>
    <w:rsid w:val="00E30AEF"/>
    <w:rsid w:val="00E311F7"/>
    <w:rsid w:val="00E347ED"/>
    <w:rsid w:val="00E354C5"/>
    <w:rsid w:val="00E37BC1"/>
    <w:rsid w:val="00E43B8D"/>
    <w:rsid w:val="00E44320"/>
    <w:rsid w:val="00E4533B"/>
    <w:rsid w:val="00E50ECF"/>
    <w:rsid w:val="00E50F0C"/>
    <w:rsid w:val="00E521F4"/>
    <w:rsid w:val="00E5224F"/>
    <w:rsid w:val="00E53EA4"/>
    <w:rsid w:val="00E5553D"/>
    <w:rsid w:val="00E55ABB"/>
    <w:rsid w:val="00E55AE5"/>
    <w:rsid w:val="00E5723C"/>
    <w:rsid w:val="00E574B2"/>
    <w:rsid w:val="00E60075"/>
    <w:rsid w:val="00E60F4F"/>
    <w:rsid w:val="00E62DD8"/>
    <w:rsid w:val="00E631D5"/>
    <w:rsid w:val="00E648B6"/>
    <w:rsid w:val="00E6607B"/>
    <w:rsid w:val="00E66FD4"/>
    <w:rsid w:val="00E702C0"/>
    <w:rsid w:val="00E712A8"/>
    <w:rsid w:val="00E725CB"/>
    <w:rsid w:val="00E72964"/>
    <w:rsid w:val="00E756C7"/>
    <w:rsid w:val="00E757BC"/>
    <w:rsid w:val="00E76647"/>
    <w:rsid w:val="00E76CE7"/>
    <w:rsid w:val="00E822BE"/>
    <w:rsid w:val="00E82EEE"/>
    <w:rsid w:val="00E84919"/>
    <w:rsid w:val="00E84D8D"/>
    <w:rsid w:val="00E8550D"/>
    <w:rsid w:val="00E8632A"/>
    <w:rsid w:val="00E9059B"/>
    <w:rsid w:val="00E90A42"/>
    <w:rsid w:val="00E922B6"/>
    <w:rsid w:val="00E9235D"/>
    <w:rsid w:val="00E923B9"/>
    <w:rsid w:val="00E92C12"/>
    <w:rsid w:val="00E9359C"/>
    <w:rsid w:val="00E940DF"/>
    <w:rsid w:val="00E94A28"/>
    <w:rsid w:val="00E94BAF"/>
    <w:rsid w:val="00E961AE"/>
    <w:rsid w:val="00E9685F"/>
    <w:rsid w:val="00EA1B1C"/>
    <w:rsid w:val="00EA239B"/>
    <w:rsid w:val="00EA23E7"/>
    <w:rsid w:val="00EA3346"/>
    <w:rsid w:val="00EA3A24"/>
    <w:rsid w:val="00EA4ACC"/>
    <w:rsid w:val="00EA4CAB"/>
    <w:rsid w:val="00EA6564"/>
    <w:rsid w:val="00EA7515"/>
    <w:rsid w:val="00EB5430"/>
    <w:rsid w:val="00EB6C1F"/>
    <w:rsid w:val="00EC10C4"/>
    <w:rsid w:val="00EC1640"/>
    <w:rsid w:val="00EC1878"/>
    <w:rsid w:val="00EC252D"/>
    <w:rsid w:val="00EC4478"/>
    <w:rsid w:val="00EC6C01"/>
    <w:rsid w:val="00EC70CF"/>
    <w:rsid w:val="00EC7E4D"/>
    <w:rsid w:val="00ED02BF"/>
    <w:rsid w:val="00ED191D"/>
    <w:rsid w:val="00ED1C96"/>
    <w:rsid w:val="00ED32C8"/>
    <w:rsid w:val="00ED354E"/>
    <w:rsid w:val="00ED6996"/>
    <w:rsid w:val="00ED7473"/>
    <w:rsid w:val="00ED74EB"/>
    <w:rsid w:val="00ED7D7A"/>
    <w:rsid w:val="00EE22BD"/>
    <w:rsid w:val="00EE3FDB"/>
    <w:rsid w:val="00EE52F5"/>
    <w:rsid w:val="00EE5C94"/>
    <w:rsid w:val="00EE6710"/>
    <w:rsid w:val="00EE6B08"/>
    <w:rsid w:val="00EE79A2"/>
    <w:rsid w:val="00EE7C9D"/>
    <w:rsid w:val="00EF09F3"/>
    <w:rsid w:val="00EF1BA1"/>
    <w:rsid w:val="00EF203C"/>
    <w:rsid w:val="00EF242B"/>
    <w:rsid w:val="00EF3D9B"/>
    <w:rsid w:val="00EF5615"/>
    <w:rsid w:val="00EF6AFF"/>
    <w:rsid w:val="00EF73E4"/>
    <w:rsid w:val="00F00F46"/>
    <w:rsid w:val="00F01119"/>
    <w:rsid w:val="00F01980"/>
    <w:rsid w:val="00F02E70"/>
    <w:rsid w:val="00F036A5"/>
    <w:rsid w:val="00F03CD0"/>
    <w:rsid w:val="00F03D71"/>
    <w:rsid w:val="00F045EB"/>
    <w:rsid w:val="00F079AC"/>
    <w:rsid w:val="00F100BA"/>
    <w:rsid w:val="00F115F2"/>
    <w:rsid w:val="00F12283"/>
    <w:rsid w:val="00F133C7"/>
    <w:rsid w:val="00F14809"/>
    <w:rsid w:val="00F14914"/>
    <w:rsid w:val="00F171D9"/>
    <w:rsid w:val="00F202CA"/>
    <w:rsid w:val="00F212C2"/>
    <w:rsid w:val="00F2424B"/>
    <w:rsid w:val="00F279CF"/>
    <w:rsid w:val="00F30A77"/>
    <w:rsid w:val="00F31A09"/>
    <w:rsid w:val="00F31CCA"/>
    <w:rsid w:val="00F324CB"/>
    <w:rsid w:val="00F34893"/>
    <w:rsid w:val="00F3607C"/>
    <w:rsid w:val="00F36DD3"/>
    <w:rsid w:val="00F41C11"/>
    <w:rsid w:val="00F421F9"/>
    <w:rsid w:val="00F4235E"/>
    <w:rsid w:val="00F44471"/>
    <w:rsid w:val="00F44A24"/>
    <w:rsid w:val="00F46A12"/>
    <w:rsid w:val="00F525C9"/>
    <w:rsid w:val="00F52F17"/>
    <w:rsid w:val="00F569D8"/>
    <w:rsid w:val="00F56EF2"/>
    <w:rsid w:val="00F572B7"/>
    <w:rsid w:val="00F57C2F"/>
    <w:rsid w:val="00F6141D"/>
    <w:rsid w:val="00F61BA6"/>
    <w:rsid w:val="00F61E8B"/>
    <w:rsid w:val="00F64B92"/>
    <w:rsid w:val="00F64FF2"/>
    <w:rsid w:val="00F65A9F"/>
    <w:rsid w:val="00F65F67"/>
    <w:rsid w:val="00F66F72"/>
    <w:rsid w:val="00F67067"/>
    <w:rsid w:val="00F6778F"/>
    <w:rsid w:val="00F677E5"/>
    <w:rsid w:val="00F70091"/>
    <w:rsid w:val="00F70588"/>
    <w:rsid w:val="00F729CA"/>
    <w:rsid w:val="00F73303"/>
    <w:rsid w:val="00F75BF7"/>
    <w:rsid w:val="00F761C5"/>
    <w:rsid w:val="00F767C8"/>
    <w:rsid w:val="00F76998"/>
    <w:rsid w:val="00F77CD2"/>
    <w:rsid w:val="00F82896"/>
    <w:rsid w:val="00F83FB1"/>
    <w:rsid w:val="00F85449"/>
    <w:rsid w:val="00F91401"/>
    <w:rsid w:val="00F91EC8"/>
    <w:rsid w:val="00F92225"/>
    <w:rsid w:val="00F92967"/>
    <w:rsid w:val="00F955BF"/>
    <w:rsid w:val="00F957C5"/>
    <w:rsid w:val="00FA0709"/>
    <w:rsid w:val="00FA0ADC"/>
    <w:rsid w:val="00FA14A2"/>
    <w:rsid w:val="00FA2421"/>
    <w:rsid w:val="00FA2779"/>
    <w:rsid w:val="00FA2CB3"/>
    <w:rsid w:val="00FA2D23"/>
    <w:rsid w:val="00FA3F38"/>
    <w:rsid w:val="00FA7A2B"/>
    <w:rsid w:val="00FB21D7"/>
    <w:rsid w:val="00FB3BBF"/>
    <w:rsid w:val="00FB4C4B"/>
    <w:rsid w:val="00FB5864"/>
    <w:rsid w:val="00FB6CE8"/>
    <w:rsid w:val="00FC0634"/>
    <w:rsid w:val="00FC06CA"/>
    <w:rsid w:val="00FC0C85"/>
    <w:rsid w:val="00FC27E0"/>
    <w:rsid w:val="00FC29E2"/>
    <w:rsid w:val="00FC52B9"/>
    <w:rsid w:val="00FC5F56"/>
    <w:rsid w:val="00FD0104"/>
    <w:rsid w:val="00FD09C7"/>
    <w:rsid w:val="00FD23A8"/>
    <w:rsid w:val="00FD3232"/>
    <w:rsid w:val="00FD4108"/>
    <w:rsid w:val="00FD4ADB"/>
    <w:rsid w:val="00FD4D5E"/>
    <w:rsid w:val="00FD52E1"/>
    <w:rsid w:val="00FD68A9"/>
    <w:rsid w:val="00FD7E35"/>
    <w:rsid w:val="00FE0B4E"/>
    <w:rsid w:val="00FE19BE"/>
    <w:rsid w:val="00FE1D27"/>
    <w:rsid w:val="00FE354A"/>
    <w:rsid w:val="00FE3D0B"/>
    <w:rsid w:val="00FF06C7"/>
    <w:rsid w:val="00FF0A7C"/>
    <w:rsid w:val="00FF1DFB"/>
    <w:rsid w:val="00FF21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3ABA0F"/>
  <w15:docId w15:val="{7B9648ED-DC96-4625-9554-E9A97E04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60F"/>
    <w:rPr>
      <w:lang w:val="en-US"/>
    </w:rPr>
  </w:style>
  <w:style w:type="paragraph" w:styleId="Heading1">
    <w:name w:val="heading 1"/>
    <w:basedOn w:val="Normal"/>
    <w:next w:val="Normal"/>
    <w:link w:val="Heading1Char"/>
    <w:uiPriority w:val="9"/>
    <w:qFormat/>
    <w:rsid w:val="00763DF6"/>
    <w:pPr>
      <w:keepNext/>
      <w:spacing w:before="360"/>
      <w:jc w:val="both"/>
      <w:outlineLvl w:val="0"/>
    </w:pPr>
    <w:rPr>
      <w:rFonts w:ascii="Arial" w:hAnsi="Arial" w:cs="Times New Roman"/>
      <w:sz w:val="28"/>
    </w:rPr>
  </w:style>
  <w:style w:type="paragraph" w:styleId="Heading2">
    <w:name w:val="heading 2"/>
    <w:basedOn w:val="Normal"/>
    <w:next w:val="Normal"/>
    <w:link w:val="Heading2Char"/>
    <w:uiPriority w:val="9"/>
    <w:unhideWhenUsed/>
    <w:qFormat/>
    <w:rsid w:val="00763DF6"/>
    <w:pPr>
      <w:keepNext/>
      <w:spacing w:before="240" w:line="480" w:lineRule="auto"/>
      <w:jc w:val="both"/>
      <w:outlineLvl w:val="1"/>
    </w:pPr>
    <w:rPr>
      <w:rFonts w:ascii="Arial" w:hAnsi="Arial" w:cs="Times New Roman"/>
      <w:sz w:val="24"/>
    </w:rPr>
  </w:style>
  <w:style w:type="paragraph" w:styleId="Heading3">
    <w:name w:val="heading 3"/>
    <w:basedOn w:val="Normal"/>
    <w:next w:val="Normal"/>
    <w:link w:val="Heading3Char"/>
    <w:uiPriority w:val="99"/>
    <w:qFormat/>
    <w:rsid w:val="00374382"/>
    <w:pPr>
      <w:outlineLvl w:val="2"/>
    </w:pPr>
    <w:rPr>
      <w:rFonts w:asciiTheme="minorHAnsi" w:hAnsiTheme="minorHAns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74382"/>
    <w:rPr>
      <w:rFonts w:asciiTheme="minorHAnsi" w:hAnsiTheme="minorHAnsi"/>
      <w:i/>
      <w:sz w:val="24"/>
      <w:szCs w:val="24"/>
      <w:lang w:val="en-US"/>
    </w:rPr>
  </w:style>
  <w:style w:type="paragraph" w:styleId="FootnoteText">
    <w:name w:val="footnote text"/>
    <w:basedOn w:val="Normal"/>
    <w:link w:val="FootnoteTextChar"/>
    <w:uiPriority w:val="99"/>
    <w:rsid w:val="009E24FE"/>
    <w:pPr>
      <w:spacing w:line="480" w:lineRule="auto"/>
    </w:pPr>
    <w:rPr>
      <w:rFonts w:eastAsia="Times New Roman" w:cs="Times New Roman"/>
      <w:sz w:val="20"/>
      <w:szCs w:val="20"/>
      <w:lang w:eastAsia="fr-FR"/>
    </w:rPr>
  </w:style>
  <w:style w:type="character" w:customStyle="1" w:styleId="FootnoteTextChar">
    <w:name w:val="Footnote Text Char"/>
    <w:basedOn w:val="DefaultParagraphFont"/>
    <w:link w:val="FootnoteText"/>
    <w:uiPriority w:val="99"/>
    <w:rsid w:val="009E24FE"/>
    <w:rPr>
      <w:rFonts w:ascii="Times New Roman" w:eastAsia="Times New Roman" w:hAnsi="Times New Roman" w:cs="Times New Roman"/>
      <w:sz w:val="20"/>
      <w:szCs w:val="20"/>
      <w:lang w:val="en-US" w:eastAsia="fr-FR"/>
    </w:rPr>
  </w:style>
  <w:style w:type="character" w:styleId="FootnoteReference">
    <w:name w:val="footnote reference"/>
    <w:basedOn w:val="DefaultParagraphFont"/>
    <w:uiPriority w:val="99"/>
    <w:rsid w:val="009E24FE"/>
    <w:rPr>
      <w:rFonts w:cs="Times New Roman"/>
      <w:vertAlign w:val="superscript"/>
    </w:rPr>
  </w:style>
  <w:style w:type="paragraph" w:styleId="ListParagraph">
    <w:name w:val="List Paragraph"/>
    <w:basedOn w:val="Normal"/>
    <w:uiPriority w:val="34"/>
    <w:qFormat/>
    <w:rsid w:val="00E347ED"/>
    <w:pPr>
      <w:ind w:left="720"/>
      <w:contextualSpacing/>
    </w:pPr>
  </w:style>
  <w:style w:type="paragraph" w:styleId="BalloonText">
    <w:name w:val="Balloon Text"/>
    <w:basedOn w:val="Normal"/>
    <w:link w:val="BalloonTextChar"/>
    <w:uiPriority w:val="99"/>
    <w:semiHidden/>
    <w:unhideWhenUsed/>
    <w:rsid w:val="00704E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EA9"/>
    <w:rPr>
      <w:rFonts w:ascii="Segoe UI" w:hAnsi="Segoe UI" w:cs="Segoe UI"/>
      <w:sz w:val="18"/>
      <w:szCs w:val="18"/>
    </w:rPr>
  </w:style>
  <w:style w:type="character" w:styleId="PlaceholderText">
    <w:name w:val="Placeholder Text"/>
    <w:basedOn w:val="DefaultParagraphFont"/>
    <w:uiPriority w:val="99"/>
    <w:semiHidden/>
    <w:rsid w:val="00B1497D"/>
    <w:rPr>
      <w:color w:val="808080"/>
    </w:rPr>
  </w:style>
  <w:style w:type="paragraph" w:styleId="Header">
    <w:name w:val="header"/>
    <w:basedOn w:val="Normal"/>
    <w:link w:val="HeaderChar"/>
    <w:uiPriority w:val="99"/>
    <w:unhideWhenUsed/>
    <w:rsid w:val="00CE733E"/>
    <w:pPr>
      <w:tabs>
        <w:tab w:val="center" w:pos="4513"/>
        <w:tab w:val="right" w:pos="9026"/>
      </w:tabs>
    </w:pPr>
  </w:style>
  <w:style w:type="character" w:customStyle="1" w:styleId="HeaderChar">
    <w:name w:val="Header Char"/>
    <w:basedOn w:val="DefaultParagraphFont"/>
    <w:link w:val="Header"/>
    <w:uiPriority w:val="99"/>
    <w:rsid w:val="00CE733E"/>
  </w:style>
  <w:style w:type="paragraph" w:styleId="Footer">
    <w:name w:val="footer"/>
    <w:basedOn w:val="Normal"/>
    <w:link w:val="FooterChar"/>
    <w:uiPriority w:val="99"/>
    <w:unhideWhenUsed/>
    <w:rsid w:val="00CE733E"/>
    <w:pPr>
      <w:tabs>
        <w:tab w:val="center" w:pos="4513"/>
        <w:tab w:val="right" w:pos="9026"/>
      </w:tabs>
    </w:pPr>
  </w:style>
  <w:style w:type="character" w:customStyle="1" w:styleId="FooterChar">
    <w:name w:val="Footer Char"/>
    <w:basedOn w:val="DefaultParagraphFont"/>
    <w:link w:val="Footer"/>
    <w:uiPriority w:val="99"/>
    <w:rsid w:val="00CE733E"/>
  </w:style>
  <w:style w:type="numbering" w:customStyle="1" w:styleId="NoList1">
    <w:name w:val="No List1"/>
    <w:next w:val="NoList"/>
    <w:uiPriority w:val="99"/>
    <w:semiHidden/>
    <w:unhideWhenUsed/>
    <w:rsid w:val="00664998"/>
  </w:style>
  <w:style w:type="paragraph" w:styleId="NoSpacing">
    <w:name w:val="No Spacing"/>
    <w:uiPriority w:val="1"/>
    <w:qFormat/>
    <w:rsid w:val="00664998"/>
    <w:rPr>
      <w:rFonts w:eastAsia="Times New Roman" w:cs="Times New Roman"/>
      <w:sz w:val="18"/>
      <w:szCs w:val="24"/>
      <w:lang w:val="en-US" w:eastAsia="fr-FR"/>
    </w:rPr>
  </w:style>
  <w:style w:type="character" w:styleId="Hyperlink">
    <w:name w:val="Hyperlink"/>
    <w:basedOn w:val="DefaultParagraphFont"/>
    <w:uiPriority w:val="99"/>
    <w:unhideWhenUsed/>
    <w:rsid w:val="00CD748E"/>
    <w:rPr>
      <w:color w:val="0563C1" w:themeColor="hyperlink"/>
      <w:u w:val="single"/>
    </w:rPr>
  </w:style>
  <w:style w:type="character" w:customStyle="1" w:styleId="Heading1Char">
    <w:name w:val="Heading 1 Char"/>
    <w:basedOn w:val="DefaultParagraphFont"/>
    <w:link w:val="Heading1"/>
    <w:uiPriority w:val="9"/>
    <w:rsid w:val="00763DF6"/>
    <w:rPr>
      <w:rFonts w:ascii="Arial" w:hAnsi="Arial" w:cs="Times New Roman"/>
      <w:sz w:val="28"/>
      <w:lang w:val="en-US"/>
    </w:rPr>
  </w:style>
  <w:style w:type="character" w:customStyle="1" w:styleId="Heading2Char">
    <w:name w:val="Heading 2 Char"/>
    <w:basedOn w:val="DefaultParagraphFont"/>
    <w:link w:val="Heading2"/>
    <w:uiPriority w:val="9"/>
    <w:rsid w:val="00763DF6"/>
    <w:rPr>
      <w:rFonts w:ascii="Arial" w:hAnsi="Arial" w:cs="Times New Roman"/>
      <w:sz w:val="24"/>
      <w:lang w:val="en-US"/>
    </w:rPr>
  </w:style>
  <w:style w:type="paragraph" w:styleId="NormalWeb">
    <w:name w:val="Normal (Web)"/>
    <w:basedOn w:val="Normal"/>
    <w:uiPriority w:val="99"/>
    <w:unhideWhenUsed/>
    <w:rsid w:val="00E354C5"/>
    <w:pPr>
      <w:spacing w:before="100" w:beforeAutospacing="1" w:after="100" w:afterAutospacing="1"/>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8302E0"/>
    <w:rPr>
      <w:sz w:val="16"/>
      <w:szCs w:val="16"/>
    </w:rPr>
  </w:style>
  <w:style w:type="paragraph" w:styleId="CommentText">
    <w:name w:val="annotation text"/>
    <w:basedOn w:val="Normal"/>
    <w:link w:val="CommentTextChar"/>
    <w:uiPriority w:val="99"/>
    <w:semiHidden/>
    <w:unhideWhenUsed/>
    <w:rsid w:val="008302E0"/>
    <w:rPr>
      <w:sz w:val="20"/>
      <w:szCs w:val="20"/>
    </w:rPr>
  </w:style>
  <w:style w:type="character" w:customStyle="1" w:styleId="CommentTextChar">
    <w:name w:val="Comment Text Char"/>
    <w:basedOn w:val="DefaultParagraphFont"/>
    <w:link w:val="CommentText"/>
    <w:uiPriority w:val="99"/>
    <w:semiHidden/>
    <w:rsid w:val="008302E0"/>
    <w:rPr>
      <w:sz w:val="20"/>
      <w:szCs w:val="20"/>
      <w:lang w:val="en-US"/>
    </w:rPr>
  </w:style>
  <w:style w:type="paragraph" w:styleId="CommentSubject">
    <w:name w:val="annotation subject"/>
    <w:basedOn w:val="CommentText"/>
    <w:next w:val="CommentText"/>
    <w:link w:val="CommentSubjectChar"/>
    <w:uiPriority w:val="99"/>
    <w:semiHidden/>
    <w:unhideWhenUsed/>
    <w:rsid w:val="008302E0"/>
    <w:rPr>
      <w:b/>
      <w:bCs/>
    </w:rPr>
  </w:style>
  <w:style w:type="character" w:customStyle="1" w:styleId="CommentSubjectChar">
    <w:name w:val="Comment Subject Char"/>
    <w:basedOn w:val="CommentTextChar"/>
    <w:link w:val="CommentSubject"/>
    <w:uiPriority w:val="99"/>
    <w:semiHidden/>
    <w:rsid w:val="008302E0"/>
    <w:rPr>
      <w:b/>
      <w:bCs/>
      <w:sz w:val="20"/>
      <w:szCs w:val="20"/>
      <w:lang w:val="en-US"/>
    </w:rPr>
  </w:style>
  <w:style w:type="paragraph" w:styleId="Revision">
    <w:name w:val="Revision"/>
    <w:hidden/>
    <w:uiPriority w:val="99"/>
    <w:semiHidden/>
    <w:rsid w:val="00106BDC"/>
    <w:rPr>
      <w:lang w:val="en-US"/>
    </w:rPr>
  </w:style>
  <w:style w:type="paragraph" w:customStyle="1" w:styleId="Default">
    <w:name w:val="Default"/>
    <w:uiPriority w:val="99"/>
    <w:rsid w:val="00F65A9F"/>
    <w:pPr>
      <w:autoSpaceDE w:val="0"/>
      <w:autoSpaceDN w:val="0"/>
      <w:adjustRightInd w:val="0"/>
    </w:pPr>
    <w:rPr>
      <w:rFonts w:ascii="Code" w:hAnsi="Code" w:cs="Code"/>
      <w:color w:val="000000"/>
      <w:sz w:val="24"/>
      <w:szCs w:val="24"/>
    </w:rPr>
  </w:style>
  <w:style w:type="paragraph" w:styleId="EndnoteText">
    <w:name w:val="endnote text"/>
    <w:basedOn w:val="Normal"/>
    <w:link w:val="EndnoteTextChar"/>
    <w:uiPriority w:val="99"/>
    <w:semiHidden/>
    <w:unhideWhenUsed/>
    <w:rsid w:val="00D415A4"/>
    <w:rPr>
      <w:sz w:val="20"/>
      <w:szCs w:val="20"/>
    </w:rPr>
  </w:style>
  <w:style w:type="character" w:customStyle="1" w:styleId="EndnoteTextChar">
    <w:name w:val="Endnote Text Char"/>
    <w:basedOn w:val="DefaultParagraphFont"/>
    <w:link w:val="EndnoteText"/>
    <w:uiPriority w:val="99"/>
    <w:semiHidden/>
    <w:rsid w:val="00D415A4"/>
    <w:rPr>
      <w:sz w:val="20"/>
      <w:szCs w:val="20"/>
      <w:lang w:val="en-US"/>
    </w:rPr>
  </w:style>
  <w:style w:type="character" w:styleId="EndnoteReference">
    <w:name w:val="endnote reference"/>
    <w:basedOn w:val="DefaultParagraphFont"/>
    <w:uiPriority w:val="99"/>
    <w:semiHidden/>
    <w:unhideWhenUsed/>
    <w:rsid w:val="00D415A4"/>
    <w:rPr>
      <w:vertAlign w:val="superscript"/>
    </w:rPr>
  </w:style>
  <w:style w:type="numbering" w:customStyle="1" w:styleId="NoList2">
    <w:name w:val="No List2"/>
    <w:next w:val="NoList"/>
    <w:uiPriority w:val="99"/>
    <w:semiHidden/>
    <w:unhideWhenUsed/>
    <w:rsid w:val="00032E88"/>
  </w:style>
  <w:style w:type="character" w:customStyle="1" w:styleId="FollowedHyperlink1">
    <w:name w:val="FollowedHyperlink1"/>
    <w:basedOn w:val="DefaultParagraphFont"/>
    <w:uiPriority w:val="99"/>
    <w:semiHidden/>
    <w:unhideWhenUsed/>
    <w:rsid w:val="00032E88"/>
    <w:rPr>
      <w:color w:val="954F72"/>
      <w:u w:val="single"/>
    </w:rPr>
  </w:style>
  <w:style w:type="paragraph" w:customStyle="1" w:styleId="msonormal0">
    <w:name w:val="msonormal"/>
    <w:basedOn w:val="Normal"/>
    <w:uiPriority w:val="99"/>
    <w:rsid w:val="00032E88"/>
    <w:pPr>
      <w:spacing w:before="100" w:beforeAutospacing="1" w:after="100" w:afterAutospacing="1"/>
    </w:pPr>
    <w:rPr>
      <w:rFonts w:ascii="Times" w:eastAsia="Times New Roman" w:hAnsi="Times" w:cs="Times New Roman"/>
      <w:sz w:val="20"/>
      <w:szCs w:val="20"/>
    </w:rPr>
  </w:style>
  <w:style w:type="character" w:styleId="FollowedHyperlink">
    <w:name w:val="FollowedHyperlink"/>
    <w:basedOn w:val="DefaultParagraphFont"/>
    <w:uiPriority w:val="99"/>
    <w:semiHidden/>
    <w:unhideWhenUsed/>
    <w:rsid w:val="00032E88"/>
    <w:rPr>
      <w:color w:val="954F72" w:themeColor="followedHyperlink"/>
      <w:u w:val="single"/>
    </w:rPr>
  </w:style>
  <w:style w:type="character" w:customStyle="1" w:styleId="UnresolvedMention1">
    <w:name w:val="Unresolved Mention1"/>
    <w:basedOn w:val="DefaultParagraphFont"/>
    <w:uiPriority w:val="99"/>
    <w:semiHidden/>
    <w:unhideWhenUsed/>
    <w:rsid w:val="00D7214A"/>
    <w:rPr>
      <w:color w:val="605E5C"/>
      <w:shd w:val="clear" w:color="auto" w:fill="E1DFDD"/>
    </w:rPr>
  </w:style>
  <w:style w:type="character" w:styleId="UnresolvedMention">
    <w:name w:val="Unresolved Mention"/>
    <w:basedOn w:val="DefaultParagraphFont"/>
    <w:uiPriority w:val="99"/>
    <w:semiHidden/>
    <w:unhideWhenUsed/>
    <w:rsid w:val="00D02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3181">
      <w:bodyDiv w:val="1"/>
      <w:marLeft w:val="0"/>
      <w:marRight w:val="0"/>
      <w:marTop w:val="0"/>
      <w:marBottom w:val="0"/>
      <w:divBdr>
        <w:top w:val="none" w:sz="0" w:space="0" w:color="auto"/>
        <w:left w:val="none" w:sz="0" w:space="0" w:color="auto"/>
        <w:bottom w:val="none" w:sz="0" w:space="0" w:color="auto"/>
        <w:right w:val="none" w:sz="0" w:space="0" w:color="auto"/>
      </w:divBdr>
    </w:div>
    <w:div w:id="74475696">
      <w:bodyDiv w:val="1"/>
      <w:marLeft w:val="0"/>
      <w:marRight w:val="0"/>
      <w:marTop w:val="0"/>
      <w:marBottom w:val="0"/>
      <w:divBdr>
        <w:top w:val="none" w:sz="0" w:space="0" w:color="auto"/>
        <w:left w:val="none" w:sz="0" w:space="0" w:color="auto"/>
        <w:bottom w:val="none" w:sz="0" w:space="0" w:color="auto"/>
        <w:right w:val="none" w:sz="0" w:space="0" w:color="auto"/>
      </w:divBdr>
    </w:div>
    <w:div w:id="109905760">
      <w:bodyDiv w:val="1"/>
      <w:marLeft w:val="0"/>
      <w:marRight w:val="0"/>
      <w:marTop w:val="0"/>
      <w:marBottom w:val="0"/>
      <w:divBdr>
        <w:top w:val="none" w:sz="0" w:space="0" w:color="auto"/>
        <w:left w:val="none" w:sz="0" w:space="0" w:color="auto"/>
        <w:bottom w:val="none" w:sz="0" w:space="0" w:color="auto"/>
        <w:right w:val="none" w:sz="0" w:space="0" w:color="auto"/>
      </w:divBdr>
    </w:div>
    <w:div w:id="292950247">
      <w:bodyDiv w:val="1"/>
      <w:marLeft w:val="0"/>
      <w:marRight w:val="0"/>
      <w:marTop w:val="0"/>
      <w:marBottom w:val="0"/>
      <w:divBdr>
        <w:top w:val="none" w:sz="0" w:space="0" w:color="auto"/>
        <w:left w:val="none" w:sz="0" w:space="0" w:color="auto"/>
        <w:bottom w:val="none" w:sz="0" w:space="0" w:color="auto"/>
        <w:right w:val="none" w:sz="0" w:space="0" w:color="auto"/>
      </w:divBdr>
    </w:div>
    <w:div w:id="328335772">
      <w:bodyDiv w:val="1"/>
      <w:marLeft w:val="0"/>
      <w:marRight w:val="0"/>
      <w:marTop w:val="0"/>
      <w:marBottom w:val="0"/>
      <w:divBdr>
        <w:top w:val="none" w:sz="0" w:space="0" w:color="auto"/>
        <w:left w:val="none" w:sz="0" w:space="0" w:color="auto"/>
        <w:bottom w:val="none" w:sz="0" w:space="0" w:color="auto"/>
        <w:right w:val="none" w:sz="0" w:space="0" w:color="auto"/>
      </w:divBdr>
    </w:div>
    <w:div w:id="339161903">
      <w:bodyDiv w:val="1"/>
      <w:marLeft w:val="0"/>
      <w:marRight w:val="0"/>
      <w:marTop w:val="0"/>
      <w:marBottom w:val="0"/>
      <w:divBdr>
        <w:top w:val="none" w:sz="0" w:space="0" w:color="auto"/>
        <w:left w:val="none" w:sz="0" w:space="0" w:color="auto"/>
        <w:bottom w:val="none" w:sz="0" w:space="0" w:color="auto"/>
        <w:right w:val="none" w:sz="0" w:space="0" w:color="auto"/>
      </w:divBdr>
      <w:divsChild>
        <w:div w:id="677728878">
          <w:marLeft w:val="0"/>
          <w:marRight w:val="0"/>
          <w:marTop w:val="0"/>
          <w:marBottom w:val="0"/>
          <w:divBdr>
            <w:top w:val="none" w:sz="0" w:space="0" w:color="auto"/>
            <w:left w:val="none" w:sz="0" w:space="0" w:color="auto"/>
            <w:bottom w:val="none" w:sz="0" w:space="0" w:color="auto"/>
            <w:right w:val="none" w:sz="0" w:space="0" w:color="auto"/>
          </w:divBdr>
        </w:div>
        <w:div w:id="760416241">
          <w:marLeft w:val="0"/>
          <w:marRight w:val="0"/>
          <w:marTop w:val="0"/>
          <w:marBottom w:val="0"/>
          <w:divBdr>
            <w:top w:val="none" w:sz="0" w:space="0" w:color="auto"/>
            <w:left w:val="none" w:sz="0" w:space="0" w:color="auto"/>
            <w:bottom w:val="none" w:sz="0" w:space="0" w:color="auto"/>
            <w:right w:val="none" w:sz="0" w:space="0" w:color="auto"/>
          </w:divBdr>
        </w:div>
      </w:divsChild>
    </w:div>
    <w:div w:id="522591129">
      <w:bodyDiv w:val="1"/>
      <w:marLeft w:val="0"/>
      <w:marRight w:val="0"/>
      <w:marTop w:val="0"/>
      <w:marBottom w:val="0"/>
      <w:divBdr>
        <w:top w:val="none" w:sz="0" w:space="0" w:color="auto"/>
        <w:left w:val="none" w:sz="0" w:space="0" w:color="auto"/>
        <w:bottom w:val="none" w:sz="0" w:space="0" w:color="auto"/>
        <w:right w:val="none" w:sz="0" w:space="0" w:color="auto"/>
      </w:divBdr>
      <w:divsChild>
        <w:div w:id="564148546">
          <w:marLeft w:val="0"/>
          <w:marRight w:val="0"/>
          <w:marTop w:val="0"/>
          <w:marBottom w:val="0"/>
          <w:divBdr>
            <w:top w:val="none" w:sz="0" w:space="0" w:color="auto"/>
            <w:left w:val="none" w:sz="0" w:space="0" w:color="auto"/>
            <w:bottom w:val="none" w:sz="0" w:space="0" w:color="auto"/>
            <w:right w:val="none" w:sz="0" w:space="0" w:color="auto"/>
          </w:divBdr>
        </w:div>
        <w:div w:id="949163344">
          <w:marLeft w:val="0"/>
          <w:marRight w:val="0"/>
          <w:marTop w:val="0"/>
          <w:marBottom w:val="0"/>
          <w:divBdr>
            <w:top w:val="none" w:sz="0" w:space="0" w:color="auto"/>
            <w:left w:val="none" w:sz="0" w:space="0" w:color="auto"/>
            <w:bottom w:val="none" w:sz="0" w:space="0" w:color="auto"/>
            <w:right w:val="none" w:sz="0" w:space="0" w:color="auto"/>
          </w:divBdr>
        </w:div>
        <w:div w:id="537276788">
          <w:marLeft w:val="0"/>
          <w:marRight w:val="0"/>
          <w:marTop w:val="0"/>
          <w:marBottom w:val="0"/>
          <w:divBdr>
            <w:top w:val="none" w:sz="0" w:space="0" w:color="auto"/>
            <w:left w:val="none" w:sz="0" w:space="0" w:color="auto"/>
            <w:bottom w:val="none" w:sz="0" w:space="0" w:color="auto"/>
            <w:right w:val="none" w:sz="0" w:space="0" w:color="auto"/>
          </w:divBdr>
        </w:div>
        <w:div w:id="1052198140">
          <w:marLeft w:val="0"/>
          <w:marRight w:val="0"/>
          <w:marTop w:val="0"/>
          <w:marBottom w:val="0"/>
          <w:divBdr>
            <w:top w:val="none" w:sz="0" w:space="0" w:color="auto"/>
            <w:left w:val="none" w:sz="0" w:space="0" w:color="auto"/>
            <w:bottom w:val="none" w:sz="0" w:space="0" w:color="auto"/>
            <w:right w:val="none" w:sz="0" w:space="0" w:color="auto"/>
          </w:divBdr>
        </w:div>
        <w:div w:id="49615921">
          <w:marLeft w:val="0"/>
          <w:marRight w:val="0"/>
          <w:marTop w:val="0"/>
          <w:marBottom w:val="0"/>
          <w:divBdr>
            <w:top w:val="none" w:sz="0" w:space="0" w:color="auto"/>
            <w:left w:val="none" w:sz="0" w:space="0" w:color="auto"/>
            <w:bottom w:val="none" w:sz="0" w:space="0" w:color="auto"/>
            <w:right w:val="none" w:sz="0" w:space="0" w:color="auto"/>
          </w:divBdr>
        </w:div>
      </w:divsChild>
    </w:div>
    <w:div w:id="535780205">
      <w:bodyDiv w:val="1"/>
      <w:marLeft w:val="0"/>
      <w:marRight w:val="0"/>
      <w:marTop w:val="0"/>
      <w:marBottom w:val="0"/>
      <w:divBdr>
        <w:top w:val="none" w:sz="0" w:space="0" w:color="auto"/>
        <w:left w:val="none" w:sz="0" w:space="0" w:color="auto"/>
        <w:bottom w:val="none" w:sz="0" w:space="0" w:color="auto"/>
        <w:right w:val="none" w:sz="0" w:space="0" w:color="auto"/>
      </w:divBdr>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61909452">
      <w:bodyDiv w:val="1"/>
      <w:marLeft w:val="0"/>
      <w:marRight w:val="0"/>
      <w:marTop w:val="0"/>
      <w:marBottom w:val="0"/>
      <w:divBdr>
        <w:top w:val="none" w:sz="0" w:space="0" w:color="auto"/>
        <w:left w:val="none" w:sz="0" w:space="0" w:color="auto"/>
        <w:bottom w:val="none" w:sz="0" w:space="0" w:color="auto"/>
        <w:right w:val="none" w:sz="0" w:space="0" w:color="auto"/>
      </w:divBdr>
    </w:div>
    <w:div w:id="607468879">
      <w:bodyDiv w:val="1"/>
      <w:marLeft w:val="0"/>
      <w:marRight w:val="0"/>
      <w:marTop w:val="0"/>
      <w:marBottom w:val="0"/>
      <w:divBdr>
        <w:top w:val="none" w:sz="0" w:space="0" w:color="auto"/>
        <w:left w:val="none" w:sz="0" w:space="0" w:color="auto"/>
        <w:bottom w:val="none" w:sz="0" w:space="0" w:color="auto"/>
        <w:right w:val="none" w:sz="0" w:space="0" w:color="auto"/>
      </w:divBdr>
    </w:div>
    <w:div w:id="624509490">
      <w:bodyDiv w:val="1"/>
      <w:marLeft w:val="0"/>
      <w:marRight w:val="0"/>
      <w:marTop w:val="0"/>
      <w:marBottom w:val="0"/>
      <w:divBdr>
        <w:top w:val="none" w:sz="0" w:space="0" w:color="auto"/>
        <w:left w:val="none" w:sz="0" w:space="0" w:color="auto"/>
        <w:bottom w:val="none" w:sz="0" w:space="0" w:color="auto"/>
        <w:right w:val="none" w:sz="0" w:space="0" w:color="auto"/>
      </w:divBdr>
    </w:div>
    <w:div w:id="772625951">
      <w:bodyDiv w:val="1"/>
      <w:marLeft w:val="0"/>
      <w:marRight w:val="0"/>
      <w:marTop w:val="0"/>
      <w:marBottom w:val="0"/>
      <w:divBdr>
        <w:top w:val="none" w:sz="0" w:space="0" w:color="auto"/>
        <w:left w:val="none" w:sz="0" w:space="0" w:color="auto"/>
        <w:bottom w:val="none" w:sz="0" w:space="0" w:color="auto"/>
        <w:right w:val="none" w:sz="0" w:space="0" w:color="auto"/>
      </w:divBdr>
      <w:divsChild>
        <w:div w:id="62802660">
          <w:marLeft w:val="0"/>
          <w:marRight w:val="0"/>
          <w:marTop w:val="0"/>
          <w:marBottom w:val="0"/>
          <w:divBdr>
            <w:top w:val="none" w:sz="0" w:space="0" w:color="auto"/>
            <w:left w:val="none" w:sz="0" w:space="0" w:color="auto"/>
            <w:bottom w:val="none" w:sz="0" w:space="0" w:color="auto"/>
            <w:right w:val="none" w:sz="0" w:space="0" w:color="auto"/>
          </w:divBdr>
          <w:divsChild>
            <w:div w:id="1369258488">
              <w:marLeft w:val="0"/>
              <w:marRight w:val="0"/>
              <w:marTop w:val="0"/>
              <w:marBottom w:val="0"/>
              <w:divBdr>
                <w:top w:val="none" w:sz="0" w:space="0" w:color="auto"/>
                <w:left w:val="none" w:sz="0" w:space="0" w:color="auto"/>
                <w:bottom w:val="none" w:sz="0" w:space="0" w:color="auto"/>
                <w:right w:val="none" w:sz="0" w:space="0" w:color="auto"/>
              </w:divBdr>
              <w:divsChild>
                <w:div w:id="1956326565">
                  <w:marLeft w:val="0"/>
                  <w:marRight w:val="0"/>
                  <w:marTop w:val="0"/>
                  <w:marBottom w:val="0"/>
                  <w:divBdr>
                    <w:top w:val="none" w:sz="0" w:space="0" w:color="auto"/>
                    <w:left w:val="none" w:sz="0" w:space="0" w:color="auto"/>
                    <w:bottom w:val="none" w:sz="0" w:space="0" w:color="auto"/>
                    <w:right w:val="none" w:sz="0" w:space="0" w:color="auto"/>
                  </w:divBdr>
                  <w:divsChild>
                    <w:div w:id="209276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15387">
      <w:bodyDiv w:val="1"/>
      <w:marLeft w:val="0"/>
      <w:marRight w:val="0"/>
      <w:marTop w:val="0"/>
      <w:marBottom w:val="0"/>
      <w:divBdr>
        <w:top w:val="none" w:sz="0" w:space="0" w:color="auto"/>
        <w:left w:val="none" w:sz="0" w:space="0" w:color="auto"/>
        <w:bottom w:val="none" w:sz="0" w:space="0" w:color="auto"/>
        <w:right w:val="none" w:sz="0" w:space="0" w:color="auto"/>
      </w:divBdr>
    </w:div>
    <w:div w:id="838814390">
      <w:bodyDiv w:val="1"/>
      <w:marLeft w:val="0"/>
      <w:marRight w:val="0"/>
      <w:marTop w:val="0"/>
      <w:marBottom w:val="0"/>
      <w:divBdr>
        <w:top w:val="none" w:sz="0" w:space="0" w:color="auto"/>
        <w:left w:val="none" w:sz="0" w:space="0" w:color="auto"/>
        <w:bottom w:val="none" w:sz="0" w:space="0" w:color="auto"/>
        <w:right w:val="none" w:sz="0" w:space="0" w:color="auto"/>
      </w:divBdr>
    </w:div>
    <w:div w:id="931009459">
      <w:bodyDiv w:val="1"/>
      <w:marLeft w:val="0"/>
      <w:marRight w:val="0"/>
      <w:marTop w:val="0"/>
      <w:marBottom w:val="0"/>
      <w:divBdr>
        <w:top w:val="none" w:sz="0" w:space="0" w:color="auto"/>
        <w:left w:val="none" w:sz="0" w:space="0" w:color="auto"/>
        <w:bottom w:val="none" w:sz="0" w:space="0" w:color="auto"/>
        <w:right w:val="none" w:sz="0" w:space="0" w:color="auto"/>
      </w:divBdr>
    </w:div>
    <w:div w:id="1140997302">
      <w:bodyDiv w:val="1"/>
      <w:marLeft w:val="0"/>
      <w:marRight w:val="0"/>
      <w:marTop w:val="0"/>
      <w:marBottom w:val="0"/>
      <w:divBdr>
        <w:top w:val="none" w:sz="0" w:space="0" w:color="auto"/>
        <w:left w:val="none" w:sz="0" w:space="0" w:color="auto"/>
        <w:bottom w:val="none" w:sz="0" w:space="0" w:color="auto"/>
        <w:right w:val="none" w:sz="0" w:space="0" w:color="auto"/>
      </w:divBdr>
    </w:div>
    <w:div w:id="1217858224">
      <w:bodyDiv w:val="1"/>
      <w:marLeft w:val="0"/>
      <w:marRight w:val="0"/>
      <w:marTop w:val="0"/>
      <w:marBottom w:val="0"/>
      <w:divBdr>
        <w:top w:val="none" w:sz="0" w:space="0" w:color="auto"/>
        <w:left w:val="none" w:sz="0" w:space="0" w:color="auto"/>
        <w:bottom w:val="none" w:sz="0" w:space="0" w:color="auto"/>
        <w:right w:val="none" w:sz="0" w:space="0" w:color="auto"/>
      </w:divBdr>
    </w:div>
    <w:div w:id="1326546448">
      <w:bodyDiv w:val="1"/>
      <w:marLeft w:val="0"/>
      <w:marRight w:val="0"/>
      <w:marTop w:val="0"/>
      <w:marBottom w:val="0"/>
      <w:divBdr>
        <w:top w:val="none" w:sz="0" w:space="0" w:color="auto"/>
        <w:left w:val="none" w:sz="0" w:space="0" w:color="auto"/>
        <w:bottom w:val="none" w:sz="0" w:space="0" w:color="auto"/>
        <w:right w:val="none" w:sz="0" w:space="0" w:color="auto"/>
      </w:divBdr>
    </w:div>
    <w:div w:id="1459838127">
      <w:bodyDiv w:val="1"/>
      <w:marLeft w:val="0"/>
      <w:marRight w:val="0"/>
      <w:marTop w:val="0"/>
      <w:marBottom w:val="0"/>
      <w:divBdr>
        <w:top w:val="none" w:sz="0" w:space="0" w:color="auto"/>
        <w:left w:val="none" w:sz="0" w:space="0" w:color="auto"/>
        <w:bottom w:val="none" w:sz="0" w:space="0" w:color="auto"/>
        <w:right w:val="none" w:sz="0" w:space="0" w:color="auto"/>
      </w:divBdr>
      <w:divsChild>
        <w:div w:id="1845196241">
          <w:marLeft w:val="0"/>
          <w:marRight w:val="0"/>
          <w:marTop w:val="0"/>
          <w:marBottom w:val="0"/>
          <w:divBdr>
            <w:top w:val="none" w:sz="0" w:space="0" w:color="auto"/>
            <w:left w:val="none" w:sz="0" w:space="0" w:color="auto"/>
            <w:bottom w:val="none" w:sz="0" w:space="0" w:color="auto"/>
            <w:right w:val="none" w:sz="0" w:space="0" w:color="auto"/>
          </w:divBdr>
        </w:div>
        <w:div w:id="2134666337">
          <w:marLeft w:val="0"/>
          <w:marRight w:val="0"/>
          <w:marTop w:val="0"/>
          <w:marBottom w:val="0"/>
          <w:divBdr>
            <w:top w:val="none" w:sz="0" w:space="0" w:color="auto"/>
            <w:left w:val="none" w:sz="0" w:space="0" w:color="auto"/>
            <w:bottom w:val="none" w:sz="0" w:space="0" w:color="auto"/>
            <w:right w:val="none" w:sz="0" w:space="0" w:color="auto"/>
          </w:divBdr>
        </w:div>
        <w:div w:id="1925869918">
          <w:marLeft w:val="0"/>
          <w:marRight w:val="0"/>
          <w:marTop w:val="0"/>
          <w:marBottom w:val="0"/>
          <w:divBdr>
            <w:top w:val="none" w:sz="0" w:space="0" w:color="auto"/>
            <w:left w:val="none" w:sz="0" w:space="0" w:color="auto"/>
            <w:bottom w:val="none" w:sz="0" w:space="0" w:color="auto"/>
            <w:right w:val="none" w:sz="0" w:space="0" w:color="auto"/>
          </w:divBdr>
        </w:div>
        <w:div w:id="1074232355">
          <w:marLeft w:val="0"/>
          <w:marRight w:val="0"/>
          <w:marTop w:val="0"/>
          <w:marBottom w:val="0"/>
          <w:divBdr>
            <w:top w:val="none" w:sz="0" w:space="0" w:color="auto"/>
            <w:left w:val="none" w:sz="0" w:space="0" w:color="auto"/>
            <w:bottom w:val="none" w:sz="0" w:space="0" w:color="auto"/>
            <w:right w:val="none" w:sz="0" w:space="0" w:color="auto"/>
          </w:divBdr>
        </w:div>
        <w:div w:id="1979534804">
          <w:marLeft w:val="0"/>
          <w:marRight w:val="0"/>
          <w:marTop w:val="0"/>
          <w:marBottom w:val="0"/>
          <w:divBdr>
            <w:top w:val="none" w:sz="0" w:space="0" w:color="auto"/>
            <w:left w:val="none" w:sz="0" w:space="0" w:color="auto"/>
            <w:bottom w:val="none" w:sz="0" w:space="0" w:color="auto"/>
            <w:right w:val="none" w:sz="0" w:space="0" w:color="auto"/>
          </w:divBdr>
        </w:div>
      </w:divsChild>
    </w:div>
    <w:div w:id="1686249744">
      <w:bodyDiv w:val="1"/>
      <w:marLeft w:val="0"/>
      <w:marRight w:val="0"/>
      <w:marTop w:val="0"/>
      <w:marBottom w:val="0"/>
      <w:divBdr>
        <w:top w:val="none" w:sz="0" w:space="0" w:color="auto"/>
        <w:left w:val="none" w:sz="0" w:space="0" w:color="auto"/>
        <w:bottom w:val="none" w:sz="0" w:space="0" w:color="auto"/>
        <w:right w:val="none" w:sz="0" w:space="0" w:color="auto"/>
      </w:divBdr>
    </w:div>
    <w:div w:id="1746683627">
      <w:bodyDiv w:val="1"/>
      <w:marLeft w:val="0"/>
      <w:marRight w:val="0"/>
      <w:marTop w:val="0"/>
      <w:marBottom w:val="0"/>
      <w:divBdr>
        <w:top w:val="none" w:sz="0" w:space="0" w:color="auto"/>
        <w:left w:val="none" w:sz="0" w:space="0" w:color="auto"/>
        <w:bottom w:val="none" w:sz="0" w:space="0" w:color="auto"/>
        <w:right w:val="none" w:sz="0" w:space="0" w:color="auto"/>
      </w:divBdr>
    </w:div>
    <w:div w:id="1807623580">
      <w:bodyDiv w:val="1"/>
      <w:marLeft w:val="0"/>
      <w:marRight w:val="0"/>
      <w:marTop w:val="0"/>
      <w:marBottom w:val="0"/>
      <w:divBdr>
        <w:top w:val="none" w:sz="0" w:space="0" w:color="auto"/>
        <w:left w:val="none" w:sz="0" w:space="0" w:color="auto"/>
        <w:bottom w:val="none" w:sz="0" w:space="0" w:color="auto"/>
        <w:right w:val="none" w:sz="0" w:space="0" w:color="auto"/>
      </w:divBdr>
    </w:div>
    <w:div w:id="1865316322">
      <w:bodyDiv w:val="1"/>
      <w:marLeft w:val="0"/>
      <w:marRight w:val="0"/>
      <w:marTop w:val="0"/>
      <w:marBottom w:val="0"/>
      <w:divBdr>
        <w:top w:val="none" w:sz="0" w:space="0" w:color="auto"/>
        <w:left w:val="none" w:sz="0" w:space="0" w:color="auto"/>
        <w:bottom w:val="none" w:sz="0" w:space="0" w:color="auto"/>
        <w:right w:val="none" w:sz="0" w:space="0" w:color="auto"/>
      </w:divBdr>
    </w:div>
    <w:div w:id="2069454120">
      <w:bodyDiv w:val="1"/>
      <w:marLeft w:val="0"/>
      <w:marRight w:val="0"/>
      <w:marTop w:val="0"/>
      <w:marBottom w:val="0"/>
      <w:divBdr>
        <w:top w:val="none" w:sz="0" w:space="0" w:color="auto"/>
        <w:left w:val="none" w:sz="0" w:space="0" w:color="auto"/>
        <w:bottom w:val="none" w:sz="0" w:space="0" w:color="auto"/>
        <w:right w:val="none" w:sz="0" w:space="0" w:color="auto"/>
      </w:divBdr>
    </w:div>
    <w:div w:id="21134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mailto:paolo.volpin.1@city.ac.uk" TargetMode="External"/><Relationship Id="rId2" Type="http://schemas.openxmlformats.org/officeDocument/2006/relationships/hyperlink" Target="mailto:anh.tran@city.ac.uk" TargetMode="External"/><Relationship Id="rId1" Type="http://schemas.openxmlformats.org/officeDocument/2006/relationships/hyperlink" Target="mailto:a.keswani@cit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CEFEB5B7BFB4438EE0BCBB361E16D7" ma:contentTypeVersion="12" ma:contentTypeDescription="Create a new document." ma:contentTypeScope="" ma:versionID="314818dc012225eb7ae86bf3a2986165">
  <xsd:schema xmlns:xsd="http://www.w3.org/2001/XMLSchema" xmlns:xs="http://www.w3.org/2001/XMLSchema" xmlns:p="http://schemas.microsoft.com/office/2006/metadata/properties" xmlns:ns3="5d22855a-bcf7-4326-a642-96ee41a75967" xmlns:ns4="55d15d0d-21dc-4720-a6a5-e030c23e28e4" targetNamespace="http://schemas.microsoft.com/office/2006/metadata/properties" ma:root="true" ma:fieldsID="de193f370f8fbb2d0335a471d5285925" ns3:_="" ns4:_="">
    <xsd:import namespace="5d22855a-bcf7-4326-a642-96ee41a75967"/>
    <xsd:import namespace="55d15d0d-21dc-4720-a6a5-e030c23e28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2855a-bcf7-4326-a642-96ee41a75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15d0d-21dc-4720-a6a5-e030c23e28e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ABD11-956E-4482-A371-C410D71CB6C5}">
  <ds:schemaRefs>
    <ds:schemaRef ds:uri="http://schemas.microsoft.com/office/2006/documentManagement/types"/>
    <ds:schemaRef ds:uri="5d22855a-bcf7-4326-a642-96ee41a75967"/>
    <ds:schemaRef ds:uri="http://schemas.microsoft.com/office/2006/metadata/properties"/>
    <ds:schemaRef ds:uri="55d15d0d-21dc-4720-a6a5-e030c23e28e4"/>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0AC29818-C0A4-48FA-B1E5-DDCCF18E1E54}">
  <ds:schemaRefs>
    <ds:schemaRef ds:uri="http://schemas.microsoft.com/sharepoint/v3/contenttype/forms"/>
  </ds:schemaRefs>
</ds:datastoreItem>
</file>

<file path=customXml/itemProps3.xml><?xml version="1.0" encoding="utf-8"?>
<ds:datastoreItem xmlns:ds="http://schemas.openxmlformats.org/officeDocument/2006/customXml" ds:itemID="{539AFF36-629C-43D2-827D-E5870768C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2855a-bcf7-4326-a642-96ee41a75967"/>
    <ds:schemaRef ds:uri="55d15d0d-21dc-4720-a6a5-e030c23e2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AA1C8-218D-477B-AC7C-1D101267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49</Pages>
  <Words>15783</Words>
  <Characters>89968</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City University</Company>
  <LinksUpToDate>false</LinksUpToDate>
  <CharactersWithSpaces>105540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Keswani, Aneel</dc:creator>
  <cp:keywords/>
  <dc:description/>
  <cp:lastModifiedBy>Keswani, Aneel</cp:lastModifiedBy>
  <cp:revision>6</cp:revision>
  <cp:lastPrinted>2019-11-25T15:35:00Z</cp:lastPrinted>
  <dcterms:created xsi:type="dcterms:W3CDTF">2020-07-23T08:01:00Z</dcterms:created>
  <dcterms:modified xsi:type="dcterms:W3CDTF">2022-03-09T13:34:00Z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0x010100B5CEFEB5B7BFB4438EE0BCBB361E16D7</vt:lpwstr>
  </property>
  <property fmtid="{D5CDD505-2E9C-101B-9397-08002B2CF9AE}" pid="3" name="MSIP_Label_06c24981-b6df-48f8-949b-0896357b9b03_Enabled">
    <vt:lpwstr>true</vt:lpwstr>
  </property>
  <property fmtid="{D5CDD505-2E9C-101B-9397-08002B2CF9AE}" pid="4" name="MSIP_Label_06c24981-b6df-48f8-949b-0896357b9b03_SetDate">
    <vt:lpwstr>2022-03-09T13:34:46Z</vt:lpwstr>
  </property>
  <property fmtid="{D5CDD505-2E9C-101B-9397-08002B2CF9AE}" pid="5" name="MSIP_Label_06c24981-b6df-48f8-949b-0896357b9b03_Method">
    <vt:lpwstr>Privileged</vt:lpwstr>
  </property>
  <property fmtid="{D5CDD505-2E9C-101B-9397-08002B2CF9AE}" pid="6" name="MSIP_Label_06c24981-b6df-48f8-949b-0896357b9b03_Name">
    <vt:lpwstr>Official</vt:lpwstr>
  </property>
  <property fmtid="{D5CDD505-2E9C-101B-9397-08002B2CF9AE}" pid="7" name="MSIP_Label_06c24981-b6df-48f8-949b-0896357b9b03_SiteId">
    <vt:lpwstr>dd615949-5bd0-4da0-ac52-28ef8d336373</vt:lpwstr>
  </property>
  <property fmtid="{D5CDD505-2E9C-101B-9397-08002B2CF9AE}" pid="8" name="MSIP_Label_06c24981-b6df-48f8-949b-0896357b9b03_ActionId">
    <vt:lpwstr>90453189-5e2e-42d7-8c02-1b3843384ab4</vt:lpwstr>
  </property>
  <property fmtid="{D5CDD505-2E9C-101B-9397-08002B2CF9AE}" pid="9" name="MSIP_Label_06c24981-b6df-48f8-949b-0896357b9b03_ContentBits">
    <vt:lpwstr>0</vt:lpwstr>
  </property>
</Properties>
</file>