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B210" w14:textId="5CB61D75" w:rsidR="00E65991" w:rsidRPr="00FE7240" w:rsidRDefault="00DD02BD" w:rsidP="00E65991">
      <w:pPr>
        <w:spacing w:line="480" w:lineRule="auto"/>
        <w:jc w:val="center"/>
        <w:rPr>
          <w:rFonts w:cs="Times New Roman"/>
          <w:b/>
          <w:bCs/>
          <w:szCs w:val="24"/>
        </w:rPr>
      </w:pPr>
      <w:r>
        <w:rPr>
          <w:rFonts w:cs="Times New Roman"/>
          <w:b/>
          <w:bCs/>
          <w:sz w:val="28"/>
          <w:szCs w:val="28"/>
        </w:rPr>
        <w:t xml:space="preserve">  </w:t>
      </w:r>
      <w:r>
        <w:rPr>
          <w:rFonts w:cs="Times New Roman"/>
          <w:b/>
          <w:bCs/>
          <w:szCs w:val="24"/>
        </w:rPr>
        <w:t>D</w:t>
      </w:r>
      <w:r w:rsidRPr="00DD02BD">
        <w:rPr>
          <w:rFonts w:cs="Times New Roman"/>
          <w:b/>
          <w:bCs/>
          <w:szCs w:val="24"/>
        </w:rPr>
        <w:t>ose optimization of adult h</w:t>
      </w:r>
      <w:r w:rsidRPr="00FE7240">
        <w:rPr>
          <w:rFonts w:cs="Times New Roman"/>
          <w:b/>
          <w:bCs/>
          <w:szCs w:val="24"/>
        </w:rPr>
        <w:t>ead computed tomogra</w:t>
      </w:r>
      <w:r w:rsidR="00F32BEA">
        <w:rPr>
          <w:rFonts w:cs="Times New Roman"/>
          <w:b/>
          <w:bCs/>
          <w:szCs w:val="24"/>
        </w:rPr>
        <w:t>p</w:t>
      </w:r>
      <w:r w:rsidRPr="00FE7240">
        <w:rPr>
          <w:rFonts w:cs="Times New Roman"/>
          <w:b/>
          <w:bCs/>
          <w:szCs w:val="24"/>
        </w:rPr>
        <w:t>hy examination</w:t>
      </w:r>
      <w:r w:rsidR="00320A87" w:rsidRPr="00FE7240">
        <w:rPr>
          <w:rFonts w:cs="Times New Roman"/>
          <w:b/>
          <w:bCs/>
          <w:szCs w:val="24"/>
        </w:rPr>
        <w:t xml:space="preserve"> in an </w:t>
      </w:r>
      <w:r w:rsidR="005E6E6F" w:rsidRPr="00FE7240">
        <w:rPr>
          <w:rFonts w:cs="Times New Roman"/>
          <w:b/>
          <w:bCs/>
          <w:szCs w:val="24"/>
        </w:rPr>
        <w:t>a</w:t>
      </w:r>
      <w:r w:rsidR="00320A87" w:rsidRPr="00FE7240">
        <w:rPr>
          <w:rFonts w:cs="Times New Roman"/>
          <w:b/>
          <w:bCs/>
          <w:szCs w:val="24"/>
        </w:rPr>
        <w:t xml:space="preserve">cademic </w:t>
      </w:r>
      <w:r w:rsidR="005E6E6F" w:rsidRPr="00FE7240">
        <w:rPr>
          <w:rFonts w:cs="Times New Roman"/>
          <w:b/>
          <w:bCs/>
          <w:szCs w:val="24"/>
        </w:rPr>
        <w:t>h</w:t>
      </w:r>
      <w:r w:rsidR="00320A87" w:rsidRPr="00FE7240">
        <w:rPr>
          <w:rFonts w:cs="Times New Roman"/>
          <w:b/>
          <w:bCs/>
          <w:szCs w:val="24"/>
        </w:rPr>
        <w:t>ospital in Ghana</w:t>
      </w:r>
    </w:p>
    <w:p w14:paraId="6A4C4496" w14:textId="359ACA81" w:rsidR="00EB1600" w:rsidRDefault="0070390D" w:rsidP="0070390D">
      <w:pPr>
        <w:spacing w:line="480" w:lineRule="auto"/>
        <w:jc w:val="center"/>
        <w:rPr>
          <w:rFonts w:cs="Times New Roman"/>
          <w:szCs w:val="24"/>
          <w:vertAlign w:val="superscript"/>
        </w:rPr>
      </w:pPr>
      <w:r w:rsidRPr="00FE7240">
        <w:rPr>
          <w:rFonts w:cs="Times New Roman"/>
          <w:bCs/>
          <w:szCs w:val="24"/>
        </w:rPr>
        <w:t>S</w:t>
      </w:r>
      <w:r w:rsidR="009306BA" w:rsidRPr="00FE7240">
        <w:rPr>
          <w:rFonts w:cs="Times New Roman"/>
          <w:bCs/>
          <w:szCs w:val="24"/>
        </w:rPr>
        <w:t>amuel</w:t>
      </w:r>
      <w:r w:rsidRPr="00FE7240">
        <w:rPr>
          <w:rFonts w:cs="Times New Roman"/>
          <w:bCs/>
          <w:szCs w:val="24"/>
        </w:rPr>
        <w:t xml:space="preserve"> </w:t>
      </w:r>
      <w:proofErr w:type="spellStart"/>
      <w:r w:rsidRPr="00FE7240">
        <w:rPr>
          <w:rFonts w:cs="Times New Roman"/>
          <w:bCs/>
          <w:szCs w:val="24"/>
        </w:rPr>
        <w:t>Anim-Sampong</w:t>
      </w:r>
      <w:r w:rsidR="007E771B">
        <w:rPr>
          <w:rFonts w:cs="Times New Roman"/>
          <w:bCs/>
          <w:szCs w:val="24"/>
          <w:vertAlign w:val="superscript"/>
        </w:rPr>
        <w:t>a</w:t>
      </w:r>
      <w:proofErr w:type="spellEnd"/>
      <w:r w:rsidR="00242B9D">
        <w:rPr>
          <w:rFonts w:cs="Times New Roman"/>
          <w:bCs/>
          <w:szCs w:val="24"/>
        </w:rPr>
        <w:t>,</w:t>
      </w:r>
      <w:r w:rsidRPr="00FE7240">
        <w:rPr>
          <w:rFonts w:cs="Times New Roman"/>
          <w:bCs/>
          <w:szCs w:val="24"/>
        </w:rPr>
        <w:t xml:space="preserve"> B</w:t>
      </w:r>
      <w:r w:rsidR="009306BA" w:rsidRPr="00FE7240">
        <w:rPr>
          <w:rFonts w:cs="Times New Roman"/>
          <w:bCs/>
          <w:szCs w:val="24"/>
        </w:rPr>
        <w:t>enard</w:t>
      </w:r>
      <w:r w:rsidRPr="00FE7240">
        <w:rPr>
          <w:rFonts w:cs="Times New Roman"/>
          <w:bCs/>
          <w:szCs w:val="24"/>
        </w:rPr>
        <w:t xml:space="preserve"> O</w:t>
      </w:r>
      <w:r w:rsidR="009306BA" w:rsidRPr="00FE7240">
        <w:rPr>
          <w:rFonts w:cs="Times New Roman"/>
          <w:bCs/>
          <w:szCs w:val="24"/>
        </w:rPr>
        <w:t>hene</w:t>
      </w:r>
      <w:r w:rsidR="0076300E">
        <w:rPr>
          <w:rFonts w:cs="Times New Roman"/>
          <w:bCs/>
          <w:szCs w:val="24"/>
        </w:rPr>
        <w:t>-</w:t>
      </w:r>
      <w:proofErr w:type="spellStart"/>
      <w:r w:rsidRPr="00FE7240">
        <w:rPr>
          <w:rFonts w:cs="Times New Roman"/>
          <w:bCs/>
          <w:szCs w:val="24"/>
        </w:rPr>
        <w:t>Botwe</w:t>
      </w:r>
      <w:r w:rsidR="007E771B">
        <w:rPr>
          <w:rFonts w:cs="Times New Roman"/>
          <w:bCs/>
          <w:szCs w:val="24"/>
          <w:vertAlign w:val="superscript"/>
        </w:rPr>
        <w:t>a</w:t>
      </w:r>
      <w:proofErr w:type="spellEnd"/>
      <w:r w:rsidR="00C86906">
        <w:rPr>
          <w:rFonts w:cs="Times New Roman"/>
          <w:bCs/>
          <w:szCs w:val="24"/>
          <w:vertAlign w:val="superscript"/>
        </w:rPr>
        <w:t xml:space="preserve">, </w:t>
      </w:r>
      <w:r w:rsidR="007E771B">
        <w:rPr>
          <w:rFonts w:cs="Times New Roman"/>
          <w:bCs/>
          <w:szCs w:val="24"/>
          <w:vertAlign w:val="superscript"/>
        </w:rPr>
        <w:t>b</w:t>
      </w:r>
      <w:r w:rsidR="00242B9D">
        <w:rPr>
          <w:rFonts w:cs="Times New Roman"/>
          <w:bCs/>
          <w:szCs w:val="24"/>
        </w:rPr>
        <w:t>*</w:t>
      </w:r>
      <w:r w:rsidRPr="00FE7240">
        <w:rPr>
          <w:rFonts w:cs="Times New Roman"/>
          <w:bCs/>
          <w:szCs w:val="24"/>
        </w:rPr>
        <w:t>, E</w:t>
      </w:r>
      <w:r w:rsidR="009306BA" w:rsidRPr="00FE7240">
        <w:rPr>
          <w:rFonts w:cs="Times New Roman"/>
          <w:bCs/>
          <w:szCs w:val="24"/>
        </w:rPr>
        <w:t>sther</w:t>
      </w:r>
      <w:r w:rsidRPr="00FE7240">
        <w:rPr>
          <w:rFonts w:cs="Times New Roman"/>
          <w:bCs/>
          <w:szCs w:val="24"/>
        </w:rPr>
        <w:t xml:space="preserve"> </w:t>
      </w:r>
      <w:proofErr w:type="spellStart"/>
      <w:r w:rsidRPr="00FE7240">
        <w:rPr>
          <w:rFonts w:cs="Times New Roman"/>
          <w:bCs/>
          <w:szCs w:val="24"/>
        </w:rPr>
        <w:t>B</w:t>
      </w:r>
      <w:r w:rsidR="0066288D">
        <w:rPr>
          <w:rFonts w:cs="Times New Roman"/>
          <w:bCs/>
          <w:szCs w:val="24"/>
        </w:rPr>
        <w:t>oatemaa</w:t>
      </w:r>
      <w:proofErr w:type="spellEnd"/>
      <w:r w:rsidRPr="00FE7240">
        <w:rPr>
          <w:rFonts w:cs="Times New Roman"/>
          <w:bCs/>
          <w:szCs w:val="24"/>
        </w:rPr>
        <w:t xml:space="preserve"> </w:t>
      </w:r>
      <w:proofErr w:type="spellStart"/>
      <w:r w:rsidRPr="00FE7240">
        <w:rPr>
          <w:rFonts w:cs="Times New Roman"/>
          <w:bCs/>
          <w:szCs w:val="24"/>
        </w:rPr>
        <w:t>Adom</w:t>
      </w:r>
      <w:r w:rsidR="007E771B">
        <w:rPr>
          <w:rFonts w:cs="Times New Roman"/>
          <w:bCs/>
          <w:szCs w:val="24"/>
          <w:vertAlign w:val="superscript"/>
        </w:rPr>
        <w:t>a</w:t>
      </w:r>
      <w:proofErr w:type="spellEnd"/>
      <w:r w:rsidR="009306BA" w:rsidRPr="00FE7240">
        <w:rPr>
          <w:rFonts w:cs="Times New Roman"/>
          <w:bCs/>
          <w:szCs w:val="24"/>
        </w:rPr>
        <w:t xml:space="preserve">, </w:t>
      </w:r>
      <w:r w:rsidR="007D2596" w:rsidRPr="00FE7240">
        <w:rPr>
          <w:rFonts w:cs="Times New Roman"/>
          <w:szCs w:val="24"/>
        </w:rPr>
        <w:t>S</w:t>
      </w:r>
      <w:r w:rsidR="009306BA" w:rsidRPr="00FE7240">
        <w:rPr>
          <w:rFonts w:cs="Times New Roman"/>
          <w:szCs w:val="24"/>
        </w:rPr>
        <w:t>amuel</w:t>
      </w:r>
      <w:r w:rsidRPr="00FE7240">
        <w:rPr>
          <w:rFonts w:cs="Times New Roman"/>
          <w:szCs w:val="24"/>
        </w:rPr>
        <w:t xml:space="preserve"> </w:t>
      </w:r>
      <w:proofErr w:type="spellStart"/>
      <w:r w:rsidR="007D2596" w:rsidRPr="00FE7240">
        <w:rPr>
          <w:rFonts w:cs="Times New Roman"/>
          <w:szCs w:val="24"/>
        </w:rPr>
        <w:t>N</w:t>
      </w:r>
      <w:r w:rsidR="009306BA" w:rsidRPr="00FE7240">
        <w:rPr>
          <w:rFonts w:cs="Times New Roman"/>
          <w:szCs w:val="24"/>
        </w:rPr>
        <w:t>ii</w:t>
      </w:r>
      <w:proofErr w:type="spellEnd"/>
      <w:r w:rsidRPr="00FE7240">
        <w:rPr>
          <w:rFonts w:cs="Times New Roman"/>
          <w:szCs w:val="24"/>
        </w:rPr>
        <w:t xml:space="preserve"> </w:t>
      </w:r>
      <w:proofErr w:type="spellStart"/>
      <w:r w:rsidR="007D2596" w:rsidRPr="00FE7240">
        <w:rPr>
          <w:rFonts w:cs="Times New Roman"/>
          <w:szCs w:val="24"/>
        </w:rPr>
        <w:t>A</w:t>
      </w:r>
      <w:r w:rsidR="0066288D">
        <w:rPr>
          <w:rFonts w:cs="Times New Roman"/>
          <w:szCs w:val="24"/>
        </w:rPr>
        <w:t>du</w:t>
      </w:r>
      <w:proofErr w:type="spellEnd"/>
      <w:r w:rsidRPr="00FE7240">
        <w:rPr>
          <w:rFonts w:cs="Times New Roman"/>
          <w:szCs w:val="24"/>
        </w:rPr>
        <w:t xml:space="preserve"> </w:t>
      </w:r>
      <w:proofErr w:type="spellStart"/>
      <w:r w:rsidR="00242B9D">
        <w:rPr>
          <w:rFonts w:cs="Times New Roman"/>
          <w:szCs w:val="24"/>
        </w:rPr>
        <w:t>Tagoe</w:t>
      </w:r>
      <w:r w:rsidR="007E771B">
        <w:rPr>
          <w:rFonts w:cs="Times New Roman"/>
          <w:szCs w:val="24"/>
          <w:vertAlign w:val="superscript"/>
        </w:rPr>
        <w:t>a</w:t>
      </w:r>
      <w:proofErr w:type="spellEnd"/>
    </w:p>
    <w:p w14:paraId="0E5780AC" w14:textId="4DEFF6BD" w:rsidR="00EB29CF" w:rsidRDefault="00EB29CF" w:rsidP="0070390D">
      <w:pPr>
        <w:spacing w:line="480" w:lineRule="auto"/>
        <w:jc w:val="center"/>
        <w:rPr>
          <w:rFonts w:cs="Times New Roman"/>
          <w:szCs w:val="24"/>
          <w:vertAlign w:val="superscript"/>
        </w:rPr>
      </w:pPr>
    </w:p>
    <w:p w14:paraId="09D9899B" w14:textId="77777777" w:rsidR="00EB29CF" w:rsidRPr="00046519" w:rsidRDefault="00EB29CF" w:rsidP="0070390D">
      <w:pPr>
        <w:spacing w:line="480" w:lineRule="auto"/>
        <w:jc w:val="center"/>
        <w:rPr>
          <w:rFonts w:cs="Times New Roman"/>
          <w:szCs w:val="24"/>
          <w:vertAlign w:val="superscript"/>
        </w:rPr>
      </w:pPr>
    </w:p>
    <w:p w14:paraId="1C2F10FE" w14:textId="2CD47F59" w:rsidR="0070390D" w:rsidRDefault="007E771B" w:rsidP="0070390D">
      <w:pPr>
        <w:spacing w:line="360" w:lineRule="auto"/>
        <w:jc w:val="center"/>
        <w:rPr>
          <w:rFonts w:eastAsia="Times New Roman" w:cs="Times New Roman"/>
          <w:bCs/>
          <w:color w:val="000000"/>
          <w:szCs w:val="24"/>
        </w:rPr>
      </w:pPr>
      <w:r>
        <w:rPr>
          <w:rFonts w:eastAsia="Times New Roman" w:cs="Times New Roman"/>
          <w:bCs/>
          <w:color w:val="000000"/>
          <w:szCs w:val="24"/>
          <w:vertAlign w:val="superscript"/>
        </w:rPr>
        <w:t>a</w:t>
      </w:r>
      <w:r w:rsidR="00046519">
        <w:rPr>
          <w:rFonts w:eastAsia="Times New Roman" w:cs="Times New Roman"/>
          <w:bCs/>
          <w:color w:val="000000"/>
          <w:szCs w:val="24"/>
        </w:rPr>
        <w:t>=</w:t>
      </w:r>
      <w:r w:rsidR="0070390D" w:rsidRPr="00046519">
        <w:rPr>
          <w:rFonts w:eastAsia="Times New Roman" w:cs="Times New Roman"/>
          <w:bCs/>
          <w:color w:val="000000"/>
          <w:szCs w:val="24"/>
        </w:rPr>
        <w:t>Dep</w:t>
      </w:r>
      <w:r w:rsidR="00142931">
        <w:rPr>
          <w:rFonts w:eastAsia="Times New Roman" w:cs="Times New Roman"/>
          <w:bCs/>
          <w:color w:val="000000"/>
          <w:szCs w:val="24"/>
        </w:rPr>
        <w:t>artment</w:t>
      </w:r>
      <w:r w:rsidR="0070390D" w:rsidRPr="00FE7240">
        <w:rPr>
          <w:rFonts w:eastAsia="Times New Roman" w:cs="Times New Roman"/>
          <w:bCs/>
          <w:color w:val="000000"/>
          <w:szCs w:val="24"/>
        </w:rPr>
        <w:t xml:space="preserve"> of Radiography, </w:t>
      </w:r>
      <w:r w:rsidR="009306BA" w:rsidRPr="00FE7240">
        <w:rPr>
          <w:rFonts w:eastAsia="Times New Roman" w:cs="Times New Roman"/>
          <w:bCs/>
          <w:color w:val="000000"/>
          <w:szCs w:val="24"/>
        </w:rPr>
        <w:t xml:space="preserve">School of Biomedical &amp; Allied Health Sciences, </w:t>
      </w:r>
      <w:r w:rsidR="0070390D" w:rsidRPr="00FE7240">
        <w:rPr>
          <w:rFonts w:eastAsia="Times New Roman" w:cs="Times New Roman"/>
          <w:bCs/>
          <w:color w:val="000000"/>
          <w:szCs w:val="24"/>
        </w:rPr>
        <w:t xml:space="preserve">University of Ghana, </w:t>
      </w:r>
      <w:r w:rsidR="009306BA" w:rsidRPr="00FE7240">
        <w:rPr>
          <w:rFonts w:eastAsia="Times New Roman" w:cs="Times New Roman"/>
          <w:bCs/>
          <w:color w:val="000000"/>
          <w:szCs w:val="24"/>
        </w:rPr>
        <w:t xml:space="preserve">P.O Box KB 14, </w:t>
      </w:r>
      <w:r w:rsidR="0070390D" w:rsidRPr="00FE7240">
        <w:rPr>
          <w:rFonts w:eastAsia="Times New Roman" w:cs="Times New Roman"/>
          <w:bCs/>
          <w:color w:val="000000"/>
          <w:szCs w:val="24"/>
        </w:rPr>
        <w:t>Korle Bu Campus</w:t>
      </w:r>
      <w:r w:rsidR="009306BA" w:rsidRPr="00FE7240">
        <w:rPr>
          <w:rFonts w:eastAsia="Times New Roman" w:cs="Times New Roman"/>
          <w:bCs/>
          <w:color w:val="000000"/>
          <w:szCs w:val="24"/>
        </w:rPr>
        <w:t>, Accra.</w:t>
      </w:r>
    </w:p>
    <w:p w14:paraId="45D2B1AA" w14:textId="2392BD28" w:rsidR="00046519" w:rsidRPr="00046519" w:rsidRDefault="007E771B" w:rsidP="00046519">
      <w:pPr>
        <w:spacing w:line="360" w:lineRule="auto"/>
        <w:jc w:val="center"/>
        <w:rPr>
          <w:rFonts w:eastAsia="Calibri" w:cs="Times New Roman"/>
          <w:szCs w:val="24"/>
        </w:rPr>
      </w:pPr>
      <w:r>
        <w:rPr>
          <w:rFonts w:eastAsia="Calibri" w:cs="Times New Roman"/>
          <w:szCs w:val="24"/>
          <w:vertAlign w:val="superscript"/>
        </w:rPr>
        <w:t>b</w:t>
      </w:r>
      <w:r w:rsidR="00046519" w:rsidRPr="00182BA6">
        <w:rPr>
          <w:rFonts w:eastAsia="Calibri" w:cs="Times New Roman"/>
          <w:szCs w:val="24"/>
        </w:rPr>
        <w:t>=</w:t>
      </w:r>
      <w:r w:rsidR="0076300E" w:rsidRPr="00182BA6">
        <w:rPr>
          <w:rFonts w:eastAsia="Calibri" w:cs="Times New Roman"/>
          <w:szCs w:val="24"/>
          <w:lang w:val="en-GB"/>
        </w:rPr>
        <w:t xml:space="preserve"> Department of Midwifery and Radiography, School of Health &amp; Psychological Sciences, City, University of London, Northampton Square, London EC1V 0HB.</w:t>
      </w:r>
      <w:r w:rsidR="00046519" w:rsidRPr="00182BA6">
        <w:rPr>
          <w:rFonts w:eastAsia="Calibri" w:cs="Times New Roman"/>
          <w:szCs w:val="24"/>
        </w:rPr>
        <w:t xml:space="preserve"> UK</w:t>
      </w:r>
    </w:p>
    <w:p w14:paraId="05A18F4F" w14:textId="77777777" w:rsidR="004521ED" w:rsidRDefault="004521ED" w:rsidP="005542E3">
      <w:pPr>
        <w:spacing w:line="360" w:lineRule="auto"/>
        <w:jc w:val="center"/>
        <w:rPr>
          <w:rFonts w:eastAsia="Times New Roman" w:cs="Times New Roman"/>
          <w:bCs/>
          <w:color w:val="000000"/>
          <w:szCs w:val="24"/>
        </w:rPr>
      </w:pPr>
    </w:p>
    <w:p w14:paraId="22036C3E" w14:textId="07B83524" w:rsidR="004521ED" w:rsidRDefault="005542E3" w:rsidP="004521ED">
      <w:pPr>
        <w:spacing w:line="360" w:lineRule="auto"/>
        <w:rPr>
          <w:rFonts w:eastAsia="Times New Roman" w:cs="Times New Roman"/>
          <w:bCs/>
          <w:color w:val="000000"/>
          <w:szCs w:val="24"/>
        </w:rPr>
      </w:pPr>
      <w:r>
        <w:rPr>
          <w:rFonts w:eastAsia="Times New Roman" w:cs="Times New Roman"/>
          <w:bCs/>
          <w:color w:val="000000"/>
          <w:szCs w:val="24"/>
        </w:rPr>
        <w:t>*</w:t>
      </w:r>
      <w:r w:rsidR="00544A07" w:rsidRPr="00FE7240">
        <w:rPr>
          <w:rFonts w:eastAsia="Times New Roman" w:cs="Times New Roman"/>
          <w:bCs/>
          <w:color w:val="000000"/>
          <w:szCs w:val="24"/>
        </w:rPr>
        <w:t>Corresponding Author</w:t>
      </w:r>
      <w:r>
        <w:rPr>
          <w:rFonts w:eastAsia="Times New Roman" w:cs="Times New Roman"/>
          <w:bCs/>
          <w:color w:val="000000"/>
          <w:szCs w:val="24"/>
        </w:rPr>
        <w:t xml:space="preserve">: </w:t>
      </w:r>
      <w:r w:rsidR="00544A07" w:rsidRPr="00FE7240">
        <w:rPr>
          <w:rFonts w:eastAsia="Times New Roman" w:cs="Times New Roman"/>
          <w:bCs/>
          <w:color w:val="000000"/>
          <w:szCs w:val="24"/>
        </w:rPr>
        <w:t xml:space="preserve"> </w:t>
      </w:r>
    </w:p>
    <w:p w14:paraId="10CE533E" w14:textId="77777777" w:rsidR="00142931" w:rsidRDefault="005542E3" w:rsidP="004521ED">
      <w:pPr>
        <w:spacing w:line="360" w:lineRule="auto"/>
        <w:rPr>
          <w:rFonts w:eastAsia="Calibri" w:cs="Times New Roman"/>
          <w:szCs w:val="24"/>
          <w:lang w:val="en-GB"/>
        </w:rPr>
      </w:pPr>
      <w:r w:rsidRPr="00FE7240">
        <w:rPr>
          <w:rFonts w:cs="Times New Roman"/>
          <w:bCs/>
          <w:szCs w:val="24"/>
        </w:rPr>
        <w:t>Benard Ohene</w:t>
      </w:r>
      <w:r w:rsidR="00142931">
        <w:rPr>
          <w:rFonts w:cs="Times New Roman"/>
          <w:bCs/>
          <w:szCs w:val="24"/>
        </w:rPr>
        <w:t>-</w:t>
      </w:r>
      <w:r w:rsidRPr="00FE7240">
        <w:rPr>
          <w:rFonts w:cs="Times New Roman"/>
          <w:bCs/>
          <w:szCs w:val="24"/>
        </w:rPr>
        <w:t>Botwe</w:t>
      </w:r>
      <w:r w:rsidR="004521ED" w:rsidRPr="004521ED">
        <w:rPr>
          <w:rFonts w:eastAsia="Calibri" w:cs="Times New Roman"/>
          <w:szCs w:val="24"/>
          <w:lang w:val="en-GB"/>
        </w:rPr>
        <w:t xml:space="preserve"> </w:t>
      </w:r>
    </w:p>
    <w:p w14:paraId="66AF59E9" w14:textId="1CE1783C" w:rsidR="004521ED" w:rsidRPr="00046519" w:rsidRDefault="004521ED" w:rsidP="004521ED">
      <w:pPr>
        <w:spacing w:line="360" w:lineRule="auto"/>
        <w:rPr>
          <w:rFonts w:eastAsia="Calibri" w:cs="Times New Roman"/>
          <w:szCs w:val="24"/>
        </w:rPr>
      </w:pPr>
      <w:r w:rsidRPr="00182BA6">
        <w:rPr>
          <w:rFonts w:eastAsia="Calibri" w:cs="Times New Roman"/>
          <w:szCs w:val="24"/>
          <w:lang w:val="en-GB"/>
        </w:rPr>
        <w:t>Department of Midwifery and Radiography, School of Health &amp; Psychological Sciences, City, University of London, Northampton Square, London EC1V 0HB.</w:t>
      </w:r>
      <w:r w:rsidRPr="00182BA6">
        <w:rPr>
          <w:rFonts w:eastAsia="Calibri" w:cs="Times New Roman"/>
          <w:szCs w:val="24"/>
        </w:rPr>
        <w:t xml:space="preserve"> UK</w:t>
      </w:r>
    </w:p>
    <w:p w14:paraId="0C2D551E" w14:textId="5FAC49A4" w:rsidR="00C96C41" w:rsidRPr="007B7DCA" w:rsidRDefault="005542E3" w:rsidP="004521ED">
      <w:pPr>
        <w:spacing w:line="360" w:lineRule="auto"/>
        <w:rPr>
          <w:rFonts w:eastAsia="Times New Roman" w:cs="Times New Roman"/>
          <w:bCs/>
          <w:color w:val="000000"/>
          <w:szCs w:val="24"/>
          <w:lang w:val="en-GB"/>
        </w:rPr>
      </w:pPr>
      <w:r>
        <w:rPr>
          <w:rStyle w:val="Hyperlink"/>
          <w:rFonts w:eastAsia="Times New Roman" w:cs="Times New Roman"/>
          <w:bCs/>
          <w:szCs w:val="24"/>
        </w:rPr>
        <w:t xml:space="preserve"> </w:t>
      </w:r>
      <w:r w:rsidRPr="007B7DCA">
        <w:rPr>
          <w:rStyle w:val="Hyperlink"/>
          <w:rFonts w:eastAsia="Times New Roman" w:cs="Times New Roman"/>
          <w:bCs/>
          <w:szCs w:val="24"/>
          <w:lang w:val="en-GB"/>
        </w:rPr>
        <w:t xml:space="preserve">email: </w:t>
      </w:r>
      <w:hyperlink r:id="rId8" w:history="1">
        <w:r w:rsidR="00544A07" w:rsidRPr="007B7DCA">
          <w:rPr>
            <w:rStyle w:val="Hyperlink"/>
            <w:rFonts w:eastAsia="Times New Roman" w:cs="Times New Roman"/>
            <w:bCs/>
            <w:szCs w:val="24"/>
            <w:lang w:val="en-GB"/>
          </w:rPr>
          <w:t>sirbenard13@gmail.com</w:t>
        </w:r>
      </w:hyperlink>
      <w:bookmarkStart w:id="0" w:name="_Toc82774767"/>
      <w:r w:rsidR="002A5CA4" w:rsidRPr="007B7DCA">
        <w:rPr>
          <w:rFonts w:eastAsia="Times New Roman" w:cs="Times New Roman"/>
          <w:bCs/>
          <w:color w:val="000000"/>
          <w:szCs w:val="24"/>
          <w:lang w:val="en-GB"/>
        </w:rPr>
        <w:t xml:space="preserve"> </w:t>
      </w:r>
      <w:r w:rsidR="00142931">
        <w:rPr>
          <w:rFonts w:eastAsia="Times New Roman" w:cs="Times New Roman"/>
          <w:bCs/>
          <w:color w:val="000000"/>
          <w:szCs w:val="24"/>
          <w:lang w:val="en-GB"/>
        </w:rPr>
        <w:t>/benard.ohene-botwe@city.ac.uk</w:t>
      </w:r>
    </w:p>
    <w:p w14:paraId="4BEBB0BF" w14:textId="77777777" w:rsidR="00EB29CF" w:rsidRDefault="00EB29CF" w:rsidP="00C96C41">
      <w:pPr>
        <w:spacing w:line="480" w:lineRule="auto"/>
        <w:jc w:val="center"/>
        <w:rPr>
          <w:rFonts w:cs="Times New Roman"/>
          <w:b/>
          <w:bCs/>
          <w:szCs w:val="24"/>
          <w:lang w:val="en-GB"/>
        </w:rPr>
      </w:pPr>
    </w:p>
    <w:p w14:paraId="6BF1E8B6" w14:textId="1C9CF18F" w:rsidR="00A83BAC" w:rsidRPr="007B7DCA" w:rsidRDefault="004521ED" w:rsidP="00C96C41">
      <w:pPr>
        <w:spacing w:line="480" w:lineRule="auto"/>
        <w:jc w:val="center"/>
        <w:rPr>
          <w:rFonts w:cs="Times New Roman"/>
          <w:b/>
          <w:bCs/>
          <w:szCs w:val="24"/>
          <w:lang w:val="en-GB"/>
        </w:rPr>
      </w:pPr>
      <w:r>
        <w:rPr>
          <w:rFonts w:cs="Times New Roman"/>
          <w:b/>
          <w:bCs/>
          <w:noProof/>
          <w:szCs w:val="24"/>
        </w:rPr>
        <mc:AlternateContent>
          <mc:Choice Requires="wps">
            <w:drawing>
              <wp:anchor distT="0" distB="0" distL="114300" distR="114300" simplePos="0" relativeHeight="251659264" behindDoc="0" locked="0" layoutInCell="1" allowOverlap="1" wp14:anchorId="7065A533" wp14:editId="3C84E18E">
                <wp:simplePos x="0" y="0"/>
                <wp:positionH relativeFrom="margin">
                  <wp:align>right</wp:align>
                </wp:positionH>
                <wp:positionV relativeFrom="paragraph">
                  <wp:posOffset>12065</wp:posOffset>
                </wp:positionV>
                <wp:extent cx="549973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5499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0747F9" id="Straight Connector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381.85pt,.95pt" to="814.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" strokecolor="black [3213]" strokeweight=".5pt">
                <v:stroke joinstyle="miter"/>
                <w10:wrap anchorx="margin"/>
              </v:line>
            </w:pict>
          </mc:Fallback>
        </mc:AlternateContent>
      </w:r>
      <w:r w:rsidR="0070390D" w:rsidRPr="007B7DCA">
        <w:rPr>
          <w:rFonts w:cs="Times New Roman"/>
          <w:b/>
          <w:bCs/>
          <w:szCs w:val="24"/>
          <w:lang w:val="en-GB"/>
        </w:rPr>
        <w:t>Abstract</w:t>
      </w:r>
      <w:bookmarkEnd w:id="0"/>
    </w:p>
    <w:p w14:paraId="4C1E667A" w14:textId="7BC3A30D" w:rsidR="00DA53C1" w:rsidRDefault="00012123" w:rsidP="00550D21">
      <w:pPr>
        <w:spacing w:before="240" w:line="480" w:lineRule="auto"/>
        <w:ind w:firstLine="720"/>
        <w:rPr>
          <w:rFonts w:cs="Times New Roman"/>
          <w:szCs w:val="24"/>
        </w:rPr>
      </w:pPr>
      <w:r w:rsidRPr="00012123">
        <w:rPr>
          <w:rFonts w:cs="Times New Roman"/>
          <w:szCs w:val="24"/>
        </w:rPr>
        <w:t>The study investigated</w:t>
      </w:r>
      <w:r w:rsidRPr="00CB4B25">
        <w:rPr>
          <w:rFonts w:cs="Times New Roman"/>
          <w:szCs w:val="24"/>
        </w:rPr>
        <w:t xml:space="preserve"> </w:t>
      </w:r>
      <w:r w:rsidR="00CB4B25" w:rsidRPr="00CB4B25">
        <w:rPr>
          <w:rFonts w:cs="Times New Roman"/>
          <w:szCs w:val="24"/>
        </w:rPr>
        <w:t>radiation</w:t>
      </w:r>
      <w:r w:rsidRPr="00012123">
        <w:rPr>
          <w:rFonts w:cs="Times New Roman"/>
          <w:szCs w:val="24"/>
        </w:rPr>
        <w:t xml:space="preserve"> dose</w:t>
      </w:r>
      <w:r w:rsidR="002C1905">
        <w:rPr>
          <w:rFonts w:cs="Times New Roman"/>
          <w:szCs w:val="24"/>
        </w:rPr>
        <w:t>s</w:t>
      </w:r>
      <w:r w:rsidRPr="00012123">
        <w:rPr>
          <w:rFonts w:cs="Times New Roman"/>
          <w:szCs w:val="24"/>
        </w:rPr>
        <w:t xml:space="preserve"> and image quality of adult </w:t>
      </w:r>
      <w:r w:rsidR="00CB4B25">
        <w:rPr>
          <w:rFonts w:cs="Times New Roman"/>
          <w:szCs w:val="24"/>
        </w:rPr>
        <w:t xml:space="preserve">head </w:t>
      </w:r>
      <w:r w:rsidR="002C1905">
        <w:rPr>
          <w:rFonts w:cs="Times New Roman"/>
          <w:szCs w:val="24"/>
        </w:rPr>
        <w:t>CT data</w:t>
      </w:r>
      <w:r w:rsidRPr="00012123">
        <w:rPr>
          <w:rFonts w:cs="Times New Roman"/>
          <w:szCs w:val="24"/>
        </w:rPr>
        <w:t xml:space="preserve"> and </w:t>
      </w:r>
      <w:r w:rsidR="0006138A">
        <w:rPr>
          <w:rFonts w:cs="Times New Roman"/>
          <w:szCs w:val="24"/>
        </w:rPr>
        <w:t>optimization</w:t>
      </w:r>
      <w:r w:rsidRPr="00012123">
        <w:rPr>
          <w:rFonts w:cs="Times New Roman"/>
          <w:szCs w:val="24"/>
        </w:rPr>
        <w:t xml:space="preserve"> options using an anthropomorphic RANDO phantom </w:t>
      </w:r>
      <w:r w:rsidR="00540ADF">
        <w:rPr>
          <w:rFonts w:cs="Times New Roman"/>
          <w:szCs w:val="24"/>
        </w:rPr>
        <w:t xml:space="preserve">on the only available </w:t>
      </w:r>
      <w:proofErr w:type="spellStart"/>
      <w:r w:rsidR="00540ADF">
        <w:rPr>
          <w:rFonts w:cs="Times New Roman"/>
          <w:szCs w:val="24"/>
        </w:rPr>
        <w:t>AquilionONE</w:t>
      </w:r>
      <w:proofErr w:type="spellEnd"/>
      <w:r w:rsidR="00540ADF">
        <w:rPr>
          <w:rFonts w:cs="Times New Roman"/>
          <w:szCs w:val="24"/>
        </w:rPr>
        <w:t xml:space="preserve"> CT scanner</w:t>
      </w:r>
      <w:r w:rsidR="00540ADF" w:rsidRPr="00012123">
        <w:rPr>
          <w:rFonts w:cs="Times New Roman"/>
          <w:szCs w:val="24"/>
        </w:rPr>
        <w:t xml:space="preserve"> </w:t>
      </w:r>
      <w:r w:rsidR="00540ADF">
        <w:rPr>
          <w:rFonts w:cs="Times New Roman"/>
          <w:szCs w:val="24"/>
        </w:rPr>
        <w:t xml:space="preserve">in </w:t>
      </w:r>
      <w:r w:rsidRPr="00012123">
        <w:rPr>
          <w:rFonts w:cs="Times New Roman"/>
          <w:szCs w:val="24"/>
        </w:rPr>
        <w:t xml:space="preserve">Ghana. </w:t>
      </w:r>
      <w:r w:rsidR="00F32BEA">
        <w:rPr>
          <w:rFonts w:cs="Times New Roman"/>
          <w:szCs w:val="24"/>
        </w:rPr>
        <w:t>D</w:t>
      </w:r>
      <w:r w:rsidR="00F32BEA" w:rsidRPr="00B93F97">
        <w:rPr>
          <w:rFonts w:cs="Times New Roman"/>
          <w:szCs w:val="24"/>
        </w:rPr>
        <w:t xml:space="preserve">ose length product (DLP) </w:t>
      </w:r>
      <w:r w:rsidR="00F32BEA">
        <w:rPr>
          <w:rFonts w:cs="Times New Roman"/>
          <w:szCs w:val="24"/>
        </w:rPr>
        <w:t>and v</w:t>
      </w:r>
      <w:r w:rsidR="004C41AD" w:rsidRPr="00B93F97">
        <w:rPr>
          <w:rFonts w:cs="Times New Roman"/>
          <w:szCs w:val="24"/>
        </w:rPr>
        <w:t>olume-weighted CT dose index (CTDI</w:t>
      </w:r>
      <w:r w:rsidR="004C41AD" w:rsidRPr="00B93F97">
        <w:rPr>
          <w:rFonts w:cs="Times New Roman"/>
          <w:szCs w:val="24"/>
          <w:vertAlign w:val="subscript"/>
        </w:rPr>
        <w:t>vol</w:t>
      </w:r>
      <w:r w:rsidR="004C41AD" w:rsidRPr="00B93F97">
        <w:rPr>
          <w:rFonts w:cs="Times New Roman"/>
          <w:szCs w:val="24"/>
        </w:rPr>
        <w:t>)</w:t>
      </w:r>
      <w:r w:rsidR="002C1905">
        <w:rPr>
          <w:rFonts w:cs="Times New Roman"/>
          <w:szCs w:val="24"/>
        </w:rPr>
        <w:t xml:space="preserve"> dose descriptors </w:t>
      </w:r>
      <w:r w:rsidR="004C41AD" w:rsidRPr="00B93F97">
        <w:rPr>
          <w:rFonts w:cs="Times New Roman"/>
          <w:szCs w:val="24"/>
        </w:rPr>
        <w:t xml:space="preserve">were retrospectively obtained from </w:t>
      </w:r>
      <w:r w:rsidR="004C41AD">
        <w:rPr>
          <w:rFonts w:cs="Times New Roman"/>
          <w:szCs w:val="24"/>
        </w:rPr>
        <w:t>402</w:t>
      </w:r>
      <w:r w:rsidR="004C41AD" w:rsidRPr="00B93F97">
        <w:rPr>
          <w:rFonts w:cs="Times New Roman"/>
          <w:szCs w:val="24"/>
        </w:rPr>
        <w:t xml:space="preserve"> </w:t>
      </w:r>
      <w:r w:rsidR="004C41AD">
        <w:rPr>
          <w:rFonts w:cs="Times New Roman"/>
          <w:szCs w:val="24"/>
        </w:rPr>
        <w:t xml:space="preserve">adult </w:t>
      </w:r>
      <w:r w:rsidR="004C41AD" w:rsidRPr="00B93F97">
        <w:rPr>
          <w:rFonts w:cs="Times New Roman"/>
          <w:szCs w:val="24"/>
        </w:rPr>
        <w:t xml:space="preserve">head CT examinations </w:t>
      </w:r>
      <w:proofErr w:type="gramStart"/>
      <w:r w:rsidR="004C41AD" w:rsidRPr="00B93F97">
        <w:rPr>
          <w:rFonts w:cs="Times New Roman"/>
          <w:szCs w:val="24"/>
        </w:rPr>
        <w:t xml:space="preserve">performed </w:t>
      </w:r>
      <w:r w:rsidR="00306CF5">
        <w:rPr>
          <w:rFonts w:cs="Times New Roman"/>
          <w:szCs w:val="24"/>
        </w:rPr>
        <w:t xml:space="preserve"> (</w:t>
      </w:r>
      <w:proofErr w:type="gramEnd"/>
      <w:r w:rsidR="004C41AD" w:rsidRPr="00B93F97">
        <w:rPr>
          <w:rFonts w:cs="Times New Roman"/>
          <w:szCs w:val="24"/>
        </w:rPr>
        <w:t>from 2020</w:t>
      </w:r>
      <w:r w:rsidR="00306CF5">
        <w:rPr>
          <w:rFonts w:cs="Times New Roman"/>
          <w:szCs w:val="24"/>
        </w:rPr>
        <w:t>-</w:t>
      </w:r>
      <w:r w:rsidR="004C41AD" w:rsidRPr="00B93F97">
        <w:rPr>
          <w:rFonts w:cs="Times New Roman"/>
          <w:szCs w:val="24"/>
        </w:rPr>
        <w:t>2021</w:t>
      </w:r>
      <w:r w:rsidR="00306CF5">
        <w:rPr>
          <w:rFonts w:cs="Times New Roman"/>
          <w:szCs w:val="24"/>
        </w:rPr>
        <w:t>)</w:t>
      </w:r>
      <w:r w:rsidR="004C41AD" w:rsidRPr="00B93F97">
        <w:rPr>
          <w:rFonts w:cs="Times New Roman"/>
          <w:szCs w:val="24"/>
        </w:rPr>
        <w:t xml:space="preserve"> at </w:t>
      </w:r>
      <w:r w:rsidR="004C41AD">
        <w:rPr>
          <w:rFonts w:cs="Times New Roman"/>
          <w:szCs w:val="24"/>
        </w:rPr>
        <w:t xml:space="preserve">a </w:t>
      </w:r>
      <w:r w:rsidR="006E7D2D">
        <w:rPr>
          <w:rFonts w:cs="Times New Roman"/>
          <w:szCs w:val="24"/>
        </w:rPr>
        <w:t xml:space="preserve">Ghanaian </w:t>
      </w:r>
      <w:r w:rsidR="004C41AD">
        <w:rPr>
          <w:rFonts w:cs="Times New Roman"/>
          <w:szCs w:val="24"/>
        </w:rPr>
        <w:t>h</w:t>
      </w:r>
      <w:r w:rsidR="004C41AD" w:rsidRPr="00B93F97">
        <w:rPr>
          <w:rFonts w:cs="Times New Roman"/>
          <w:szCs w:val="24"/>
        </w:rPr>
        <w:t>ospital</w:t>
      </w:r>
      <w:r w:rsidR="00DA5F18">
        <w:rPr>
          <w:rFonts w:cs="Times New Roman"/>
          <w:szCs w:val="24"/>
        </w:rPr>
        <w:t xml:space="preserve">, </w:t>
      </w:r>
      <w:bookmarkStart w:id="1" w:name="_Hlk120126261"/>
      <w:r w:rsidR="00DA5F18">
        <w:rPr>
          <w:rFonts w:cs="Times New Roman"/>
          <w:szCs w:val="24"/>
        </w:rPr>
        <w:t>while the effective dose (</w:t>
      </w:r>
      <w:proofErr w:type="spellStart"/>
      <w:r w:rsidR="00DA5F18" w:rsidRPr="00550D21">
        <w:rPr>
          <w:rFonts w:cs="Times New Roman"/>
          <w:i/>
          <w:iCs/>
          <w:szCs w:val="24"/>
        </w:rPr>
        <w:t>D</w:t>
      </w:r>
      <w:r w:rsidR="00DA5F18" w:rsidRPr="00550D21">
        <w:rPr>
          <w:rFonts w:cs="Times New Roman"/>
          <w:i/>
          <w:iCs/>
          <w:szCs w:val="24"/>
          <w:vertAlign w:val="subscript"/>
        </w:rPr>
        <w:t>eff</w:t>
      </w:r>
      <w:proofErr w:type="spellEnd"/>
      <w:r w:rsidR="00DA5F18">
        <w:rPr>
          <w:rFonts w:cs="Times New Roman"/>
          <w:szCs w:val="24"/>
        </w:rPr>
        <w:t>) was estimated from the product of the DLP and</w:t>
      </w:r>
      <w:r w:rsidR="009A3875">
        <w:rPr>
          <w:rFonts w:cs="Times New Roman"/>
          <w:szCs w:val="24"/>
        </w:rPr>
        <w:t xml:space="preserve"> </w:t>
      </w:r>
      <w:r w:rsidR="005826CA">
        <w:rPr>
          <w:rFonts w:cs="Times New Roman"/>
          <w:szCs w:val="24"/>
        </w:rPr>
        <w:t xml:space="preserve">a </w:t>
      </w:r>
      <w:r w:rsidR="00900EE1">
        <w:rPr>
          <w:rFonts w:cs="Times New Roman"/>
          <w:szCs w:val="24"/>
        </w:rPr>
        <w:t xml:space="preserve">convention </w:t>
      </w:r>
      <w:r w:rsidR="00900EE1" w:rsidRPr="00900EE1">
        <w:rPr>
          <w:rFonts w:cs="Times New Roman"/>
          <w:szCs w:val="24"/>
        </w:rPr>
        <w:t xml:space="preserve">coefficient </w:t>
      </w:r>
      <w:r w:rsidR="00DA5F18">
        <w:rPr>
          <w:rFonts w:cs="Times New Roman"/>
          <w:szCs w:val="24"/>
        </w:rPr>
        <w:t>(</w:t>
      </w:r>
      <w:r w:rsidR="009A3875" w:rsidRPr="00550D21">
        <w:rPr>
          <w:rFonts w:cs="Times New Roman"/>
          <w:i/>
          <w:szCs w:val="24"/>
        </w:rPr>
        <w:t>k</w:t>
      </w:r>
      <w:r w:rsidR="009A3875" w:rsidRPr="00DA5F18">
        <w:rPr>
          <w:rFonts w:cs="Times New Roman"/>
          <w:szCs w:val="24"/>
        </w:rPr>
        <w:t>= 0.0023</w:t>
      </w:r>
      <w:r w:rsidR="009A3875">
        <w:rPr>
          <w:rFonts w:cs="Times New Roman"/>
          <w:szCs w:val="24"/>
        </w:rPr>
        <w:t>)</w:t>
      </w:r>
      <w:r w:rsidR="004C41AD">
        <w:rPr>
          <w:rFonts w:cs="Times New Roman"/>
          <w:szCs w:val="24"/>
        </w:rPr>
        <w:t xml:space="preserve">. </w:t>
      </w:r>
      <w:bookmarkEnd w:id="1"/>
      <w:r w:rsidR="002C1905">
        <w:rPr>
          <w:rFonts w:cs="Times New Roman"/>
          <w:szCs w:val="24"/>
        </w:rPr>
        <w:t xml:space="preserve">Using the same </w:t>
      </w:r>
      <w:r w:rsidR="002C1905" w:rsidRPr="004C41AD">
        <w:rPr>
          <w:rFonts w:cs="Times New Roman"/>
          <w:szCs w:val="24"/>
        </w:rPr>
        <w:t xml:space="preserve">routine </w:t>
      </w:r>
      <w:r w:rsidR="006E7D2D" w:rsidRPr="004C41AD">
        <w:rPr>
          <w:rFonts w:cs="Times New Roman"/>
          <w:szCs w:val="24"/>
        </w:rPr>
        <w:t xml:space="preserve">head CT </w:t>
      </w:r>
      <w:r w:rsidR="002C1905" w:rsidRPr="004C41AD">
        <w:rPr>
          <w:rFonts w:cs="Times New Roman"/>
          <w:szCs w:val="24"/>
        </w:rPr>
        <w:t>protocol</w:t>
      </w:r>
      <w:r w:rsidR="006E7D2D">
        <w:rPr>
          <w:rFonts w:cs="Times New Roman"/>
          <w:szCs w:val="24"/>
        </w:rPr>
        <w:t xml:space="preserve">, </w:t>
      </w:r>
      <w:r w:rsidR="005826CA">
        <w:rPr>
          <w:rFonts w:cs="Times New Roman"/>
          <w:szCs w:val="24"/>
        </w:rPr>
        <w:t>the</w:t>
      </w:r>
      <w:r w:rsidR="002C1905" w:rsidRPr="00B93F97">
        <w:rPr>
          <w:rFonts w:cs="Times New Roman"/>
          <w:szCs w:val="24"/>
        </w:rPr>
        <w:t xml:space="preserve"> anthropomorphic </w:t>
      </w:r>
      <w:r w:rsidR="002C1905">
        <w:rPr>
          <w:rFonts w:cs="Times New Roman"/>
          <w:szCs w:val="24"/>
        </w:rPr>
        <w:t xml:space="preserve">RANDO </w:t>
      </w:r>
      <w:r w:rsidR="002C1905" w:rsidRPr="00B93F97">
        <w:rPr>
          <w:rFonts w:cs="Times New Roman"/>
          <w:szCs w:val="24"/>
        </w:rPr>
        <w:t xml:space="preserve">phantom was </w:t>
      </w:r>
      <w:r w:rsidR="002C1905">
        <w:rPr>
          <w:rFonts w:cs="Times New Roman"/>
          <w:szCs w:val="24"/>
        </w:rPr>
        <w:t xml:space="preserve">scanned with the hospital’s 640-slice </w:t>
      </w:r>
      <w:r w:rsidR="002A5CA4">
        <w:rPr>
          <w:rFonts w:cs="Times New Roman"/>
          <w:szCs w:val="24"/>
        </w:rPr>
        <w:t xml:space="preserve">Toshiba </w:t>
      </w:r>
      <w:proofErr w:type="spellStart"/>
      <w:r w:rsidR="002C1905">
        <w:rPr>
          <w:rFonts w:cs="Times New Roman"/>
          <w:szCs w:val="24"/>
        </w:rPr>
        <w:t>AquilionONE</w:t>
      </w:r>
      <w:proofErr w:type="spellEnd"/>
      <w:r w:rsidR="002C1905">
        <w:rPr>
          <w:rFonts w:cs="Times New Roman"/>
          <w:szCs w:val="24"/>
        </w:rPr>
        <w:t xml:space="preserve"> </w:t>
      </w:r>
      <w:r w:rsidR="00540ADF">
        <w:rPr>
          <w:rFonts w:cs="Times New Roman"/>
          <w:szCs w:val="24"/>
        </w:rPr>
        <w:t>CT scanner</w:t>
      </w:r>
      <w:r w:rsidR="002C1905">
        <w:rPr>
          <w:rFonts w:cs="Times New Roman"/>
          <w:szCs w:val="24"/>
        </w:rPr>
        <w:t xml:space="preserve">. </w:t>
      </w:r>
      <w:r w:rsidR="005826CA" w:rsidRPr="005826CA">
        <w:rPr>
          <w:rFonts w:cs="Times New Roman"/>
          <w:szCs w:val="24"/>
        </w:rPr>
        <w:t>Subsequently, exposure factors were varied to study their effects on the dose and image quality.</w:t>
      </w:r>
      <w:r w:rsidR="005826CA">
        <w:rPr>
          <w:rFonts w:cs="Times New Roman"/>
          <w:szCs w:val="24"/>
        </w:rPr>
        <w:t xml:space="preserve"> </w:t>
      </w:r>
      <w:r w:rsidR="004C41AD" w:rsidRPr="002C1905">
        <w:rPr>
          <w:rFonts w:cs="Times New Roman"/>
          <w:szCs w:val="24"/>
        </w:rPr>
        <w:t xml:space="preserve">The </w:t>
      </w:r>
      <w:r w:rsidR="002C1905" w:rsidRPr="002C1905">
        <w:rPr>
          <w:rFonts w:cs="Times New Roman"/>
          <w:szCs w:val="24"/>
        </w:rPr>
        <w:t xml:space="preserve">adult head and </w:t>
      </w:r>
      <w:r w:rsidR="002C1905" w:rsidRPr="002C1905">
        <w:rPr>
          <w:rFonts w:cs="Times New Roman"/>
          <w:szCs w:val="24"/>
        </w:rPr>
        <w:lastRenderedPageBreak/>
        <w:t>phantom</w:t>
      </w:r>
      <w:r w:rsidR="002C1905" w:rsidRPr="00B93F97">
        <w:rPr>
          <w:rFonts w:cs="Times New Roman"/>
          <w:szCs w:val="24"/>
        </w:rPr>
        <w:t xml:space="preserve"> </w:t>
      </w:r>
      <w:r w:rsidR="002C1905">
        <w:rPr>
          <w:rFonts w:cs="Times New Roman"/>
          <w:szCs w:val="24"/>
        </w:rPr>
        <w:t xml:space="preserve">images </w:t>
      </w:r>
      <w:r w:rsidR="004C41AD" w:rsidRPr="00B93F97">
        <w:rPr>
          <w:rFonts w:cs="Times New Roman"/>
          <w:szCs w:val="24"/>
        </w:rPr>
        <w:t xml:space="preserve">were obtained in </w:t>
      </w:r>
      <w:r w:rsidR="004C41AD">
        <w:rPr>
          <w:rFonts w:cs="Times New Roman"/>
          <w:szCs w:val="24"/>
        </w:rPr>
        <w:t>Digital Imaging and Communications in Medicine (</w:t>
      </w:r>
      <w:r w:rsidR="004C41AD" w:rsidRPr="00B93F97">
        <w:rPr>
          <w:rFonts w:cs="Times New Roman"/>
          <w:szCs w:val="24"/>
        </w:rPr>
        <w:t>DICOM</w:t>
      </w:r>
      <w:r w:rsidR="004C41AD">
        <w:rPr>
          <w:rFonts w:cs="Times New Roman"/>
          <w:szCs w:val="24"/>
        </w:rPr>
        <w:t>) format</w:t>
      </w:r>
      <w:r w:rsidR="009A3875">
        <w:rPr>
          <w:rFonts w:cs="Times New Roman"/>
          <w:szCs w:val="24"/>
        </w:rPr>
        <w:t>,</w:t>
      </w:r>
      <w:r w:rsidR="004C41AD" w:rsidRPr="00B93F97">
        <w:rPr>
          <w:rFonts w:cs="Times New Roman"/>
          <w:szCs w:val="24"/>
        </w:rPr>
        <w:t xml:space="preserve"> </w:t>
      </w:r>
      <w:r w:rsidR="004C41AD" w:rsidRPr="004C41AD">
        <w:rPr>
          <w:rFonts w:cs="Times New Roman"/>
          <w:szCs w:val="24"/>
        </w:rPr>
        <w:t xml:space="preserve">and </w:t>
      </w:r>
      <w:r w:rsidR="00046519">
        <w:rPr>
          <w:rFonts w:cs="Times New Roman"/>
          <w:szCs w:val="24"/>
        </w:rPr>
        <w:t>their signal-to-</w:t>
      </w:r>
      <w:r w:rsidR="00046519" w:rsidRPr="00B93F97">
        <w:rPr>
          <w:rFonts w:cs="Times New Roman"/>
          <w:szCs w:val="24"/>
        </w:rPr>
        <w:t xml:space="preserve">noise </w:t>
      </w:r>
      <w:r w:rsidR="00046519">
        <w:rPr>
          <w:rFonts w:cs="Times New Roman"/>
          <w:szCs w:val="24"/>
        </w:rPr>
        <w:t xml:space="preserve">(SNR) ratios were </w:t>
      </w:r>
      <w:r w:rsidR="004C41AD" w:rsidRPr="00B93F97">
        <w:rPr>
          <w:rFonts w:cs="Times New Roman"/>
          <w:szCs w:val="24"/>
        </w:rPr>
        <w:t xml:space="preserve">analyzed </w:t>
      </w:r>
      <w:r w:rsidR="006E7D2D">
        <w:rPr>
          <w:rFonts w:cs="Times New Roman"/>
          <w:szCs w:val="24"/>
        </w:rPr>
        <w:t xml:space="preserve">with </w:t>
      </w:r>
      <w:r w:rsidR="0006138A">
        <w:rPr>
          <w:rFonts w:cs="Times New Roman"/>
          <w:szCs w:val="24"/>
        </w:rPr>
        <w:t>ImageJ</w:t>
      </w:r>
      <w:r w:rsidR="002C1905">
        <w:rPr>
          <w:rFonts w:cs="Times New Roman"/>
          <w:szCs w:val="24"/>
        </w:rPr>
        <w:t xml:space="preserve"> software</w:t>
      </w:r>
      <w:r w:rsidR="007512DB">
        <w:rPr>
          <w:rFonts w:cs="Times New Roman"/>
          <w:szCs w:val="24"/>
        </w:rPr>
        <w:t xml:space="preserve">. </w:t>
      </w:r>
      <w:r w:rsidR="00707B03" w:rsidRPr="00FE7240">
        <w:rPr>
          <w:rFonts w:cs="Times New Roman"/>
          <w:szCs w:val="24"/>
        </w:rPr>
        <w:t xml:space="preserve">The </w:t>
      </w:r>
      <w:r w:rsidR="005826CA" w:rsidRPr="005826CA">
        <w:rPr>
          <w:rFonts w:cs="Times New Roman"/>
          <w:szCs w:val="24"/>
        </w:rPr>
        <w:t>facility's</w:t>
      </w:r>
      <w:r w:rsidR="005826CA">
        <w:rPr>
          <w:rFonts w:cs="Times New Roman"/>
          <w:szCs w:val="24"/>
        </w:rPr>
        <w:t xml:space="preserve"> </w:t>
      </w:r>
      <w:r w:rsidR="00707B03" w:rsidRPr="00FE7240">
        <w:rPr>
          <w:rFonts w:cs="Times New Roman"/>
          <w:szCs w:val="24"/>
        </w:rPr>
        <w:t>mean CTDI</w:t>
      </w:r>
      <w:r w:rsidR="00707B03" w:rsidRPr="00FE7240">
        <w:rPr>
          <w:rFonts w:cs="Times New Roman"/>
          <w:szCs w:val="24"/>
          <w:vertAlign w:val="subscript"/>
        </w:rPr>
        <w:t>vol</w:t>
      </w:r>
      <w:r w:rsidR="00707B03" w:rsidRPr="00FE7240">
        <w:rPr>
          <w:rFonts w:cs="Times New Roman"/>
          <w:szCs w:val="24"/>
        </w:rPr>
        <w:t>, DLP</w:t>
      </w:r>
      <w:r w:rsidR="0006138A">
        <w:rPr>
          <w:rFonts w:cs="Times New Roman"/>
          <w:szCs w:val="24"/>
        </w:rPr>
        <w:t>,</w:t>
      </w:r>
      <w:r w:rsidR="00707B03" w:rsidRPr="00FE7240">
        <w:rPr>
          <w:rFonts w:cs="Times New Roman"/>
          <w:szCs w:val="24"/>
        </w:rPr>
        <w:t xml:space="preserve"> and </w:t>
      </w:r>
      <w:r w:rsidR="007512DB">
        <w:rPr>
          <w:rFonts w:cs="Times New Roman"/>
          <w:szCs w:val="24"/>
        </w:rPr>
        <w:t>effective dose (</w:t>
      </w:r>
      <w:proofErr w:type="spellStart"/>
      <w:r w:rsidR="007B323B" w:rsidRPr="007B323B">
        <w:rPr>
          <w:rFonts w:cs="Times New Roman"/>
          <w:i/>
          <w:szCs w:val="24"/>
        </w:rPr>
        <w:t>D</w:t>
      </w:r>
      <w:r w:rsidR="007B323B" w:rsidRPr="007B323B">
        <w:rPr>
          <w:rFonts w:cs="Times New Roman"/>
          <w:i/>
          <w:szCs w:val="24"/>
          <w:vertAlign w:val="subscript"/>
        </w:rPr>
        <w:t>e</w:t>
      </w:r>
      <w:r w:rsidR="007B323B" w:rsidRPr="007B323B">
        <w:rPr>
          <w:rFonts w:cs="Times New Roman"/>
          <w:i/>
          <w:iCs/>
          <w:szCs w:val="24"/>
          <w:vertAlign w:val="subscript"/>
        </w:rPr>
        <w:t>ff</w:t>
      </w:r>
      <w:proofErr w:type="spellEnd"/>
      <w:r w:rsidR="007512DB">
        <w:rPr>
          <w:rFonts w:cs="Times New Roman"/>
          <w:szCs w:val="24"/>
        </w:rPr>
        <w:t>)</w:t>
      </w:r>
      <w:r w:rsidR="00707B03" w:rsidRPr="00FE7240">
        <w:rPr>
          <w:rFonts w:cs="Times New Roman"/>
          <w:szCs w:val="24"/>
        </w:rPr>
        <w:t xml:space="preserve"> were 86.00±0.00</w:t>
      </w:r>
      <w:r w:rsidR="005826CA">
        <w:rPr>
          <w:rFonts w:cs="Times New Roman"/>
          <w:szCs w:val="24"/>
        </w:rPr>
        <w:t xml:space="preserve"> </w:t>
      </w:r>
      <w:r w:rsidR="00707B03" w:rsidRPr="00FE7240">
        <w:rPr>
          <w:rFonts w:cs="Times New Roman"/>
          <w:szCs w:val="24"/>
        </w:rPr>
        <w:t>mGy, 1559.68±197.</w:t>
      </w:r>
      <w:r w:rsidR="00101EC2" w:rsidRPr="00FE7240">
        <w:rPr>
          <w:rFonts w:cs="Times New Roman"/>
          <w:szCs w:val="24"/>
        </w:rPr>
        <w:t>18</w:t>
      </w:r>
      <w:r w:rsidR="005826CA">
        <w:rPr>
          <w:rFonts w:cs="Times New Roman"/>
          <w:szCs w:val="24"/>
        </w:rPr>
        <w:t xml:space="preserve"> </w:t>
      </w:r>
      <w:r w:rsidR="00101EC2" w:rsidRPr="00FE7240">
        <w:rPr>
          <w:rFonts w:cs="Times New Roman"/>
          <w:szCs w:val="24"/>
        </w:rPr>
        <w:t>mGy.cm</w:t>
      </w:r>
      <w:r w:rsidR="0006138A">
        <w:rPr>
          <w:rFonts w:cs="Times New Roman"/>
          <w:szCs w:val="24"/>
        </w:rPr>
        <w:t>,</w:t>
      </w:r>
      <w:r w:rsidR="00101EC2" w:rsidRPr="00FE7240">
        <w:rPr>
          <w:rFonts w:cs="Times New Roman"/>
          <w:szCs w:val="24"/>
        </w:rPr>
        <w:t xml:space="preserve"> and 3.57±0.46</w:t>
      </w:r>
      <w:r w:rsidR="005826CA">
        <w:rPr>
          <w:rFonts w:cs="Times New Roman"/>
          <w:szCs w:val="24"/>
        </w:rPr>
        <w:t xml:space="preserve"> </w:t>
      </w:r>
      <w:r w:rsidR="00101EC2" w:rsidRPr="00FE7240">
        <w:rPr>
          <w:rFonts w:cs="Times New Roman"/>
          <w:szCs w:val="24"/>
        </w:rPr>
        <w:t xml:space="preserve">mSv respectively </w:t>
      </w:r>
      <w:r w:rsidR="002C1905">
        <w:rPr>
          <w:rFonts w:cs="Times New Roman"/>
          <w:szCs w:val="24"/>
        </w:rPr>
        <w:t>(</w:t>
      </w:r>
      <w:r w:rsidR="00DE3FD8">
        <w:rPr>
          <w:rFonts w:cs="Times New Roman"/>
          <w:szCs w:val="24"/>
        </w:rPr>
        <w:t>SNR=</w:t>
      </w:r>
      <w:r w:rsidR="00101EC2" w:rsidRPr="00FE7240">
        <w:rPr>
          <w:rFonts w:cs="Times New Roman"/>
          <w:szCs w:val="24"/>
        </w:rPr>
        <w:t>7.04</w:t>
      </w:r>
      <w:r w:rsidR="002C1905">
        <w:rPr>
          <w:rFonts w:cs="Times New Roman"/>
          <w:szCs w:val="24"/>
        </w:rPr>
        <w:t>)</w:t>
      </w:r>
      <w:r w:rsidR="00101EC2" w:rsidRPr="00FE7240">
        <w:rPr>
          <w:rFonts w:cs="Times New Roman"/>
          <w:szCs w:val="24"/>
        </w:rPr>
        <w:t xml:space="preserve">. </w:t>
      </w:r>
      <w:r w:rsidR="006E7D2D">
        <w:rPr>
          <w:rFonts w:cs="Times New Roman"/>
          <w:szCs w:val="24"/>
        </w:rPr>
        <w:t xml:space="preserve">For </w:t>
      </w:r>
      <w:r w:rsidR="00101EC2" w:rsidRPr="00FE7240">
        <w:rPr>
          <w:rFonts w:cs="Times New Roman"/>
          <w:szCs w:val="24"/>
        </w:rPr>
        <w:t>a fixed tube potential, CTDI</w:t>
      </w:r>
      <w:r w:rsidR="00101EC2" w:rsidRPr="00FE7240">
        <w:rPr>
          <w:rFonts w:cs="Times New Roman"/>
          <w:szCs w:val="24"/>
          <w:vertAlign w:val="subscript"/>
        </w:rPr>
        <w:t>vol</w:t>
      </w:r>
      <w:r w:rsidR="00101EC2" w:rsidRPr="00FE7240">
        <w:rPr>
          <w:rFonts w:cs="Times New Roman"/>
          <w:szCs w:val="24"/>
        </w:rPr>
        <w:t>, DLP</w:t>
      </w:r>
      <w:r w:rsidR="0006138A">
        <w:rPr>
          <w:rFonts w:cs="Times New Roman"/>
          <w:szCs w:val="24"/>
        </w:rPr>
        <w:t>,</w:t>
      </w:r>
      <w:r w:rsidR="00101EC2" w:rsidRPr="00FE7240">
        <w:rPr>
          <w:rFonts w:cs="Times New Roman"/>
          <w:szCs w:val="24"/>
        </w:rPr>
        <w:t xml:space="preserve"> and </w:t>
      </w:r>
      <w:proofErr w:type="spellStart"/>
      <w:r w:rsidR="007B323B" w:rsidRPr="007B323B">
        <w:rPr>
          <w:rFonts w:cs="Times New Roman"/>
          <w:i/>
          <w:szCs w:val="24"/>
        </w:rPr>
        <w:t>D</w:t>
      </w:r>
      <w:r w:rsidR="007B323B" w:rsidRPr="007B323B">
        <w:rPr>
          <w:rFonts w:cs="Times New Roman"/>
          <w:i/>
          <w:szCs w:val="24"/>
          <w:vertAlign w:val="subscript"/>
        </w:rPr>
        <w:t>e</w:t>
      </w:r>
      <w:r w:rsidR="007B323B" w:rsidRPr="007B323B">
        <w:rPr>
          <w:rFonts w:cs="Times New Roman"/>
          <w:i/>
          <w:iCs/>
          <w:szCs w:val="24"/>
          <w:vertAlign w:val="subscript"/>
        </w:rPr>
        <w:t>ff</w:t>
      </w:r>
      <w:proofErr w:type="spellEnd"/>
      <w:r w:rsidR="007B323B" w:rsidRPr="007B323B">
        <w:rPr>
          <w:rFonts w:cs="Times New Roman"/>
          <w:i/>
          <w:szCs w:val="24"/>
        </w:rPr>
        <w:t xml:space="preserve"> </w:t>
      </w:r>
      <w:r w:rsidR="00101EC2" w:rsidRPr="00FE7240">
        <w:rPr>
          <w:rFonts w:cs="Times New Roman"/>
          <w:szCs w:val="24"/>
        </w:rPr>
        <w:t>of 51.30mGy, 1013.80mGy.cm</w:t>
      </w:r>
      <w:r w:rsidR="0006138A">
        <w:rPr>
          <w:rFonts w:cs="Times New Roman"/>
          <w:szCs w:val="24"/>
        </w:rPr>
        <w:t>,</w:t>
      </w:r>
      <w:r w:rsidR="00101EC2" w:rsidRPr="00FE7240">
        <w:rPr>
          <w:rFonts w:cs="Times New Roman"/>
          <w:szCs w:val="24"/>
        </w:rPr>
        <w:t xml:space="preserve"> and 2.33mSv </w:t>
      </w:r>
      <w:r w:rsidR="004A5662" w:rsidRPr="00FE7240">
        <w:rPr>
          <w:rFonts w:cs="Times New Roman"/>
          <w:szCs w:val="24"/>
        </w:rPr>
        <w:t xml:space="preserve">were </w:t>
      </w:r>
      <w:r w:rsidR="00101EC2" w:rsidRPr="00FE7240">
        <w:rPr>
          <w:rFonts w:cs="Times New Roman"/>
          <w:szCs w:val="24"/>
        </w:rPr>
        <w:t>respectively achieved</w:t>
      </w:r>
      <w:r w:rsidR="002C1905">
        <w:rPr>
          <w:rFonts w:cs="Times New Roman"/>
          <w:szCs w:val="24"/>
        </w:rPr>
        <w:t xml:space="preserve"> (</w:t>
      </w:r>
      <w:r w:rsidR="00DE3FD8">
        <w:rPr>
          <w:rFonts w:cs="Times New Roman"/>
          <w:szCs w:val="24"/>
        </w:rPr>
        <w:t>SNR</w:t>
      </w:r>
      <w:r w:rsidR="002C1905">
        <w:rPr>
          <w:rFonts w:cs="Times New Roman"/>
          <w:szCs w:val="24"/>
        </w:rPr>
        <w:t>=</w:t>
      </w:r>
      <w:r w:rsidR="004A5662" w:rsidRPr="00FE7240">
        <w:rPr>
          <w:rFonts w:cs="Times New Roman"/>
          <w:szCs w:val="24"/>
        </w:rPr>
        <w:t>5.49</w:t>
      </w:r>
      <w:r w:rsidR="002C1905">
        <w:rPr>
          <w:rFonts w:cs="Times New Roman"/>
          <w:szCs w:val="24"/>
        </w:rPr>
        <w:t>)</w:t>
      </w:r>
      <w:r w:rsidR="004A5662" w:rsidRPr="00FE7240">
        <w:rPr>
          <w:rFonts w:cs="Times New Roman"/>
          <w:szCs w:val="24"/>
        </w:rPr>
        <w:t xml:space="preserve"> after optimization.</w:t>
      </w:r>
      <w:r w:rsidR="00101EC2" w:rsidRPr="00FE7240">
        <w:rPr>
          <w:rFonts w:cs="Times New Roman"/>
          <w:szCs w:val="24"/>
        </w:rPr>
        <w:t xml:space="preserve"> </w:t>
      </w:r>
      <w:r w:rsidR="007512DB">
        <w:rPr>
          <w:rFonts w:cs="Times New Roman"/>
          <w:szCs w:val="24"/>
        </w:rPr>
        <w:t xml:space="preserve">Using </w:t>
      </w:r>
      <w:r w:rsidR="0055005C" w:rsidRPr="00FE7240">
        <w:rPr>
          <w:rFonts w:cs="Times New Roman"/>
          <w:szCs w:val="24"/>
        </w:rPr>
        <w:t xml:space="preserve">automatic exposure control </w:t>
      </w:r>
      <w:r w:rsidR="007512DB">
        <w:rPr>
          <w:rFonts w:cs="Times New Roman"/>
          <w:szCs w:val="24"/>
        </w:rPr>
        <w:t xml:space="preserve">(AEC) </w:t>
      </w:r>
      <w:r w:rsidR="00C05382" w:rsidRPr="00FE7240">
        <w:rPr>
          <w:rFonts w:cs="Times New Roman"/>
          <w:szCs w:val="24"/>
        </w:rPr>
        <w:t>in the optimization process</w:t>
      </w:r>
      <w:r w:rsidR="00101EC2" w:rsidRPr="00FE7240">
        <w:rPr>
          <w:rFonts w:cs="Times New Roman"/>
          <w:szCs w:val="24"/>
        </w:rPr>
        <w:t xml:space="preserve">, </w:t>
      </w:r>
      <w:r w:rsidR="002C1905">
        <w:rPr>
          <w:rFonts w:cs="Times New Roman"/>
          <w:szCs w:val="24"/>
        </w:rPr>
        <w:t xml:space="preserve">the respective </w:t>
      </w:r>
      <w:r w:rsidR="00101EC2" w:rsidRPr="00FE7240">
        <w:rPr>
          <w:rFonts w:cs="Times New Roman"/>
          <w:szCs w:val="24"/>
        </w:rPr>
        <w:t>CTDI</w:t>
      </w:r>
      <w:r w:rsidR="00101EC2" w:rsidRPr="00FE7240">
        <w:rPr>
          <w:rFonts w:cs="Times New Roman"/>
          <w:szCs w:val="24"/>
          <w:vertAlign w:val="subscript"/>
        </w:rPr>
        <w:t>vol</w:t>
      </w:r>
      <w:r w:rsidR="00101EC2" w:rsidRPr="00FE7240">
        <w:rPr>
          <w:rFonts w:cs="Times New Roman"/>
          <w:szCs w:val="24"/>
        </w:rPr>
        <w:t xml:space="preserve">, DLP and </w:t>
      </w:r>
      <w:proofErr w:type="spellStart"/>
      <w:r w:rsidR="007B323B" w:rsidRPr="007B323B">
        <w:rPr>
          <w:rFonts w:cs="Times New Roman"/>
          <w:i/>
          <w:szCs w:val="24"/>
        </w:rPr>
        <w:t>D</w:t>
      </w:r>
      <w:r w:rsidR="007B323B" w:rsidRPr="007B323B">
        <w:rPr>
          <w:rFonts w:cs="Times New Roman"/>
          <w:i/>
          <w:szCs w:val="24"/>
          <w:vertAlign w:val="subscript"/>
        </w:rPr>
        <w:t>e</w:t>
      </w:r>
      <w:r w:rsidR="007B323B" w:rsidRPr="007B323B">
        <w:rPr>
          <w:rFonts w:cs="Times New Roman"/>
          <w:i/>
          <w:iCs/>
          <w:szCs w:val="24"/>
          <w:vertAlign w:val="subscript"/>
        </w:rPr>
        <w:t>ff</w:t>
      </w:r>
      <w:proofErr w:type="spellEnd"/>
      <w:r w:rsidR="00101EC2" w:rsidRPr="00FE7240">
        <w:rPr>
          <w:rFonts w:cs="Times New Roman"/>
          <w:szCs w:val="24"/>
        </w:rPr>
        <w:t xml:space="preserve"> </w:t>
      </w:r>
      <w:r w:rsidR="004B495F" w:rsidRPr="00FE7240">
        <w:rPr>
          <w:rFonts w:cs="Times New Roman"/>
          <w:szCs w:val="24"/>
        </w:rPr>
        <w:t xml:space="preserve">values </w:t>
      </w:r>
      <w:r w:rsidR="002C1905">
        <w:rPr>
          <w:rFonts w:cs="Times New Roman"/>
          <w:szCs w:val="24"/>
        </w:rPr>
        <w:t xml:space="preserve">were </w:t>
      </w:r>
      <w:r w:rsidR="00101EC2" w:rsidRPr="00FE7240">
        <w:rPr>
          <w:rFonts w:cs="Times New Roman"/>
          <w:szCs w:val="24"/>
        </w:rPr>
        <w:t>59.50mGy</w:t>
      </w:r>
      <w:r w:rsidR="00FE1A55" w:rsidRPr="00FE7240">
        <w:rPr>
          <w:rFonts w:cs="Times New Roman"/>
          <w:szCs w:val="24"/>
        </w:rPr>
        <w:t xml:space="preserve">, 1176.00mGy.cm and 2.70mSv </w:t>
      </w:r>
      <w:r w:rsidR="002C1905">
        <w:rPr>
          <w:rFonts w:cs="Times New Roman"/>
          <w:szCs w:val="24"/>
        </w:rPr>
        <w:t>(</w:t>
      </w:r>
      <w:r w:rsidR="00FE1A55" w:rsidRPr="00FE7240">
        <w:rPr>
          <w:rFonts w:cs="Times New Roman"/>
          <w:szCs w:val="24"/>
        </w:rPr>
        <w:t>SNR</w:t>
      </w:r>
      <w:r w:rsidR="002C1905">
        <w:rPr>
          <w:rFonts w:cs="Times New Roman"/>
          <w:szCs w:val="24"/>
        </w:rPr>
        <w:t>=</w:t>
      </w:r>
      <w:r w:rsidR="00FE1A55" w:rsidRPr="00FE7240">
        <w:rPr>
          <w:rFonts w:cs="Times New Roman"/>
          <w:szCs w:val="24"/>
        </w:rPr>
        <w:t>5.62</w:t>
      </w:r>
      <w:r w:rsidR="002C1905">
        <w:rPr>
          <w:rFonts w:cs="Times New Roman"/>
          <w:szCs w:val="24"/>
        </w:rPr>
        <w:t>)</w:t>
      </w:r>
      <w:r w:rsidR="00FE1A55" w:rsidRPr="00FE7240">
        <w:rPr>
          <w:rFonts w:cs="Times New Roman"/>
          <w:szCs w:val="24"/>
        </w:rPr>
        <w:t>.</w:t>
      </w:r>
      <w:r w:rsidR="00873ABD" w:rsidRPr="00FE7240">
        <w:rPr>
          <w:rFonts w:cs="Times New Roman"/>
          <w:szCs w:val="24"/>
        </w:rPr>
        <w:t xml:space="preserve"> </w:t>
      </w:r>
      <w:r w:rsidR="00544A07" w:rsidRPr="00FE7240">
        <w:rPr>
          <w:rFonts w:cs="Times New Roman"/>
          <w:szCs w:val="24"/>
        </w:rPr>
        <w:t>We</w:t>
      </w:r>
      <w:r w:rsidR="00FE1A55" w:rsidRPr="00FE7240">
        <w:rPr>
          <w:rFonts w:cs="Times New Roman"/>
          <w:szCs w:val="24"/>
        </w:rPr>
        <w:t xml:space="preserve"> </w:t>
      </w:r>
      <w:r w:rsidR="00544A07" w:rsidRPr="00FE7240">
        <w:rPr>
          <w:rFonts w:cs="Times New Roman"/>
          <w:szCs w:val="24"/>
        </w:rPr>
        <w:t xml:space="preserve">conclude that </w:t>
      </w:r>
      <w:r w:rsidR="00FE1A55" w:rsidRPr="00FE7240">
        <w:rPr>
          <w:rFonts w:cs="Times New Roman"/>
          <w:szCs w:val="24"/>
        </w:rPr>
        <w:t xml:space="preserve">substantial </w:t>
      </w:r>
      <w:proofErr w:type="spellStart"/>
      <w:r w:rsidR="00046519" w:rsidRPr="007B323B">
        <w:rPr>
          <w:rFonts w:cs="Times New Roman"/>
          <w:i/>
          <w:szCs w:val="24"/>
        </w:rPr>
        <w:t>D</w:t>
      </w:r>
      <w:r w:rsidR="00046519" w:rsidRPr="007B323B">
        <w:rPr>
          <w:rFonts w:cs="Times New Roman"/>
          <w:i/>
          <w:szCs w:val="24"/>
          <w:vertAlign w:val="subscript"/>
        </w:rPr>
        <w:t>e</w:t>
      </w:r>
      <w:r w:rsidR="00046519" w:rsidRPr="007B323B">
        <w:rPr>
          <w:rFonts w:cs="Times New Roman"/>
          <w:i/>
          <w:iCs/>
          <w:szCs w:val="24"/>
          <w:vertAlign w:val="subscript"/>
        </w:rPr>
        <w:t>ff</w:t>
      </w:r>
      <w:proofErr w:type="spellEnd"/>
      <w:r w:rsidR="00046519" w:rsidRPr="007B323B">
        <w:rPr>
          <w:rFonts w:cs="Times New Roman"/>
          <w:i/>
          <w:szCs w:val="24"/>
        </w:rPr>
        <w:t xml:space="preserve"> </w:t>
      </w:r>
      <w:r w:rsidR="00FE1A55" w:rsidRPr="00FE7240">
        <w:rPr>
          <w:rFonts w:cs="Times New Roman"/>
          <w:szCs w:val="24"/>
        </w:rPr>
        <w:t>reduction</w:t>
      </w:r>
      <w:r w:rsidR="00822385">
        <w:rPr>
          <w:rFonts w:cs="Times New Roman"/>
          <w:szCs w:val="24"/>
        </w:rPr>
        <w:t>s</w:t>
      </w:r>
      <w:r w:rsidR="00FE1A55" w:rsidRPr="00FE7240">
        <w:rPr>
          <w:rFonts w:cs="Times New Roman"/>
          <w:szCs w:val="24"/>
        </w:rPr>
        <w:t xml:space="preserve"> </w:t>
      </w:r>
      <w:r w:rsidR="007512DB">
        <w:rPr>
          <w:rFonts w:cs="Times New Roman"/>
          <w:szCs w:val="24"/>
        </w:rPr>
        <w:t xml:space="preserve">of </w:t>
      </w:r>
      <w:r w:rsidR="00CB6247">
        <w:rPr>
          <w:rFonts w:cs="Times New Roman"/>
          <w:szCs w:val="24"/>
        </w:rPr>
        <w:t>40.4</w:t>
      </w:r>
      <w:r w:rsidR="007512DB">
        <w:rPr>
          <w:rFonts w:cs="Times New Roman"/>
          <w:szCs w:val="24"/>
        </w:rPr>
        <w:t xml:space="preserve">% </w:t>
      </w:r>
      <w:r w:rsidR="00822385">
        <w:rPr>
          <w:rFonts w:cs="Times New Roman"/>
          <w:szCs w:val="24"/>
        </w:rPr>
        <w:t xml:space="preserve">and </w:t>
      </w:r>
      <w:r w:rsidR="00CB6247">
        <w:rPr>
          <w:rFonts w:cs="Times New Roman"/>
          <w:szCs w:val="24"/>
        </w:rPr>
        <w:t>31.0</w:t>
      </w:r>
      <w:r w:rsidR="00822385">
        <w:rPr>
          <w:rFonts w:cs="Times New Roman"/>
          <w:szCs w:val="24"/>
        </w:rPr>
        <w:t xml:space="preserve">% </w:t>
      </w:r>
      <w:r w:rsidR="00FE1A55" w:rsidRPr="00FE7240">
        <w:rPr>
          <w:rFonts w:cs="Times New Roman"/>
          <w:szCs w:val="24"/>
        </w:rPr>
        <w:t>using a fixed tube potential</w:t>
      </w:r>
      <w:r w:rsidR="00046519">
        <w:rPr>
          <w:rFonts w:cs="Times New Roman"/>
          <w:szCs w:val="24"/>
        </w:rPr>
        <w:t>,</w:t>
      </w:r>
      <w:r w:rsidR="00822385">
        <w:rPr>
          <w:rFonts w:cs="Times New Roman"/>
          <w:szCs w:val="24"/>
        </w:rPr>
        <w:t xml:space="preserve"> and AEC </w:t>
      </w:r>
      <w:r w:rsidR="00FE1A55" w:rsidRPr="00FE7240">
        <w:rPr>
          <w:rFonts w:cs="Times New Roman"/>
          <w:szCs w:val="24"/>
        </w:rPr>
        <w:t>while maintaining diagnostic image quality</w:t>
      </w:r>
      <w:r w:rsidR="00046519" w:rsidRPr="00046519">
        <w:rPr>
          <w:rFonts w:cs="Times New Roman"/>
          <w:szCs w:val="24"/>
        </w:rPr>
        <w:t xml:space="preserve"> </w:t>
      </w:r>
      <w:r w:rsidR="00046519" w:rsidRPr="00FE7240">
        <w:rPr>
          <w:rFonts w:cs="Times New Roman"/>
          <w:szCs w:val="24"/>
        </w:rPr>
        <w:t>w</w:t>
      </w:r>
      <w:r w:rsidR="00046519">
        <w:rPr>
          <w:rFonts w:cs="Times New Roman"/>
          <w:szCs w:val="24"/>
        </w:rPr>
        <w:t xml:space="preserve">ere respectively </w:t>
      </w:r>
      <w:r w:rsidR="00046519" w:rsidRPr="00FE7240">
        <w:rPr>
          <w:rFonts w:cs="Times New Roman"/>
          <w:szCs w:val="24"/>
        </w:rPr>
        <w:t>achieved</w:t>
      </w:r>
      <w:r w:rsidR="00DA53C1">
        <w:rPr>
          <w:rFonts w:cs="Times New Roman"/>
          <w:szCs w:val="24"/>
        </w:rPr>
        <w:t xml:space="preserve">. The protocols associated with these dose reductions </w:t>
      </w:r>
      <w:r w:rsidR="00306CF5">
        <w:rPr>
          <w:rFonts w:cs="Times New Roman"/>
          <w:szCs w:val="24"/>
        </w:rPr>
        <w:t>are,</w:t>
      </w:r>
      <w:r w:rsidR="00DA53C1">
        <w:rPr>
          <w:rFonts w:cs="Times New Roman"/>
          <w:szCs w:val="24"/>
        </w:rPr>
        <w:t xml:space="preserve"> </w:t>
      </w:r>
      <w:r w:rsidR="00306CF5">
        <w:rPr>
          <w:rFonts w:cs="Times New Roman"/>
          <w:szCs w:val="24"/>
        </w:rPr>
        <w:t>therefore, recommended</w:t>
      </w:r>
      <w:r w:rsidR="00DA53C1">
        <w:rPr>
          <w:rFonts w:cs="Times New Roman"/>
          <w:szCs w:val="24"/>
        </w:rPr>
        <w:t xml:space="preserve"> as optimization measures for </w:t>
      </w:r>
      <w:r w:rsidR="00540ADF">
        <w:rPr>
          <w:rFonts w:cs="Times New Roman"/>
          <w:szCs w:val="24"/>
        </w:rPr>
        <w:t xml:space="preserve">head CT on the </w:t>
      </w:r>
      <w:proofErr w:type="spellStart"/>
      <w:r w:rsidR="00DA53C1">
        <w:rPr>
          <w:rFonts w:cs="Times New Roman"/>
          <w:szCs w:val="24"/>
        </w:rPr>
        <w:t>AquilionONE</w:t>
      </w:r>
      <w:proofErr w:type="spellEnd"/>
      <w:r w:rsidR="00DA53C1">
        <w:rPr>
          <w:rFonts w:cs="Times New Roman"/>
          <w:szCs w:val="24"/>
        </w:rPr>
        <w:t xml:space="preserve"> </w:t>
      </w:r>
      <w:r w:rsidR="00540ADF">
        <w:rPr>
          <w:rFonts w:cs="Times New Roman"/>
          <w:szCs w:val="24"/>
        </w:rPr>
        <w:t>scanner in</w:t>
      </w:r>
      <w:r w:rsidR="00DA53C1">
        <w:rPr>
          <w:rFonts w:cs="Times New Roman"/>
          <w:szCs w:val="24"/>
        </w:rPr>
        <w:t xml:space="preserve"> Ghana.</w:t>
      </w:r>
    </w:p>
    <w:p w14:paraId="750127FD" w14:textId="5CED09BE" w:rsidR="007512DB" w:rsidRDefault="00DA53C1" w:rsidP="00DA53C1">
      <w:pPr>
        <w:spacing w:line="480" w:lineRule="auto"/>
        <w:rPr>
          <w:rFonts w:cs="Times New Roman"/>
          <w:szCs w:val="24"/>
        </w:rPr>
      </w:pPr>
      <w:r w:rsidRPr="00DA53C1">
        <w:rPr>
          <w:rFonts w:cs="Times New Roman"/>
          <w:b/>
          <w:bCs/>
          <w:szCs w:val="24"/>
        </w:rPr>
        <w:t>K</w:t>
      </w:r>
      <w:r w:rsidR="002A5CA4" w:rsidRPr="005E419B">
        <w:rPr>
          <w:rFonts w:cs="Times New Roman"/>
          <w:b/>
          <w:szCs w:val="24"/>
        </w:rPr>
        <w:t>eywords:</w:t>
      </w:r>
      <w:r w:rsidR="002A5CA4">
        <w:rPr>
          <w:rFonts w:cs="Times New Roman"/>
          <w:szCs w:val="24"/>
        </w:rPr>
        <w:t xml:space="preserve"> </w:t>
      </w:r>
      <w:r w:rsidR="00025E04">
        <w:rPr>
          <w:rFonts w:cs="Times New Roman"/>
          <w:szCs w:val="24"/>
        </w:rPr>
        <w:t>P</w:t>
      </w:r>
      <w:r w:rsidR="007512DB" w:rsidRPr="00FE7240">
        <w:rPr>
          <w:rFonts w:cs="Times New Roman"/>
          <w:szCs w:val="24"/>
        </w:rPr>
        <w:t xml:space="preserve">atients, computed tomography, dose optimization, image quality. </w:t>
      </w:r>
    </w:p>
    <w:p w14:paraId="38A5C238" w14:textId="77777777" w:rsidR="00004405" w:rsidRPr="00FE7240" w:rsidRDefault="00004405" w:rsidP="00550D21">
      <w:pPr>
        <w:spacing w:line="240" w:lineRule="auto"/>
        <w:rPr>
          <w:rFonts w:cs="Times New Roman"/>
          <w:szCs w:val="24"/>
        </w:rPr>
      </w:pPr>
    </w:p>
    <w:p w14:paraId="2E2FCFD2" w14:textId="5520466A" w:rsidR="00B93F97" w:rsidRPr="005648F5" w:rsidRDefault="0070390D" w:rsidP="005648F5">
      <w:pPr>
        <w:pStyle w:val="ListParagraph"/>
        <w:numPr>
          <w:ilvl w:val="0"/>
          <w:numId w:val="9"/>
        </w:numPr>
        <w:spacing w:line="480" w:lineRule="auto"/>
        <w:ind w:hanging="720"/>
        <w:rPr>
          <w:szCs w:val="24"/>
        </w:rPr>
      </w:pPr>
      <w:bookmarkStart w:id="2" w:name="_Toc72953930"/>
      <w:r w:rsidRPr="005648F5">
        <w:rPr>
          <w:rFonts w:cs="Times New Roman"/>
          <w:b/>
          <w:bCs/>
          <w:szCs w:val="24"/>
        </w:rPr>
        <w:t>Introduction</w:t>
      </w:r>
      <w:bookmarkEnd w:id="2"/>
    </w:p>
    <w:p w14:paraId="320639B7" w14:textId="2F6E1F40" w:rsidR="00CA5E33" w:rsidRPr="00FE7240" w:rsidRDefault="00B2541D" w:rsidP="00F77182">
      <w:pPr>
        <w:spacing w:line="480" w:lineRule="auto"/>
        <w:ind w:firstLine="720"/>
        <w:rPr>
          <w:rFonts w:cs="Times New Roman"/>
          <w:szCs w:val="24"/>
        </w:rPr>
      </w:pPr>
      <w:r w:rsidRPr="00FE7240">
        <w:rPr>
          <w:rFonts w:cs="Times New Roman"/>
          <w:szCs w:val="24"/>
        </w:rPr>
        <w:t>Computed t</w:t>
      </w:r>
      <w:r w:rsidR="00A24E8A" w:rsidRPr="00FE7240">
        <w:rPr>
          <w:rFonts w:cs="Times New Roman"/>
          <w:szCs w:val="24"/>
        </w:rPr>
        <w:t>omography (CT)</w:t>
      </w:r>
      <w:r w:rsidR="00940966" w:rsidRPr="00FE7240">
        <w:rPr>
          <w:rFonts w:cs="Times New Roman"/>
          <w:szCs w:val="24"/>
        </w:rPr>
        <w:t xml:space="preserve"> is a</w:t>
      </w:r>
      <w:r w:rsidR="00A24E8A" w:rsidRPr="00FE7240">
        <w:rPr>
          <w:rFonts w:cs="Times New Roman"/>
          <w:szCs w:val="24"/>
        </w:rPr>
        <w:t xml:space="preserve"> </w:t>
      </w:r>
      <w:r w:rsidR="00495901" w:rsidRPr="00FE7240">
        <w:rPr>
          <w:rFonts w:cs="Times New Roman"/>
          <w:szCs w:val="24"/>
        </w:rPr>
        <w:t xml:space="preserve">non-invasive </w:t>
      </w:r>
      <w:r w:rsidR="00A24E8A" w:rsidRPr="00FE7240">
        <w:rPr>
          <w:rFonts w:cs="Times New Roman"/>
          <w:szCs w:val="24"/>
        </w:rPr>
        <w:t xml:space="preserve">medical imaging </w:t>
      </w:r>
      <w:r w:rsidR="002D313A" w:rsidRPr="00FE7240">
        <w:rPr>
          <w:rFonts w:cs="Times New Roman"/>
          <w:szCs w:val="24"/>
        </w:rPr>
        <w:t>modality</w:t>
      </w:r>
      <w:r w:rsidR="00A24E8A" w:rsidRPr="00FE7240">
        <w:rPr>
          <w:rFonts w:cs="Times New Roman"/>
          <w:szCs w:val="24"/>
        </w:rPr>
        <w:t xml:space="preserve"> </w:t>
      </w:r>
      <w:r w:rsidR="00495901" w:rsidRPr="00FE7240">
        <w:rPr>
          <w:rFonts w:cs="Times New Roman"/>
          <w:szCs w:val="24"/>
        </w:rPr>
        <w:t>that</w:t>
      </w:r>
      <w:r w:rsidR="00A24E8A" w:rsidRPr="00FE7240">
        <w:rPr>
          <w:rFonts w:cs="Times New Roman"/>
          <w:szCs w:val="24"/>
        </w:rPr>
        <w:t xml:space="preserve"> </w:t>
      </w:r>
      <w:r w:rsidR="002D313A" w:rsidRPr="00FE7240">
        <w:rPr>
          <w:rFonts w:cs="Times New Roman"/>
          <w:szCs w:val="24"/>
        </w:rPr>
        <w:t>utilizes</w:t>
      </w:r>
      <w:r w:rsidR="00A24E8A" w:rsidRPr="00FE7240">
        <w:rPr>
          <w:rFonts w:cs="Times New Roman"/>
          <w:szCs w:val="24"/>
        </w:rPr>
        <w:t xml:space="preserve"> ionizing radiation to produce</w:t>
      </w:r>
      <w:r w:rsidR="002D313A" w:rsidRPr="00FE7240">
        <w:rPr>
          <w:rFonts w:cs="Times New Roman"/>
          <w:szCs w:val="24"/>
        </w:rPr>
        <w:t xml:space="preserve"> cross-sectional</w:t>
      </w:r>
      <w:r w:rsidR="00495901" w:rsidRPr="00FE7240">
        <w:rPr>
          <w:rFonts w:cs="Times New Roman"/>
          <w:szCs w:val="24"/>
        </w:rPr>
        <w:t xml:space="preserve"> and detailed</w:t>
      </w:r>
      <w:r w:rsidR="00A24E8A" w:rsidRPr="00FE7240">
        <w:rPr>
          <w:rFonts w:cs="Times New Roman"/>
          <w:szCs w:val="24"/>
        </w:rPr>
        <w:t xml:space="preserve"> images of parts of the body</w:t>
      </w:r>
      <w:r w:rsidR="00E2482F" w:rsidRPr="00FE7240">
        <w:rPr>
          <w:rFonts w:cs="Times New Roman"/>
          <w:szCs w:val="24"/>
        </w:rPr>
        <w:t xml:space="preserve">, as defined by the </w:t>
      </w:r>
      <w:r w:rsidR="00E2482F" w:rsidRPr="00FE7240">
        <w:t>World Health Organization</w:t>
      </w:r>
      <w:r w:rsidR="003B5EBD">
        <w:t xml:space="preserve"> </w:t>
      </w:r>
      <w:r w:rsidR="003B5EBD" w:rsidRPr="003B5EBD">
        <w:rPr>
          <w:rFonts w:eastAsia="Calibri" w:cs="Times New Roman"/>
          <w:szCs w:val="24"/>
        </w:rPr>
        <w:t>(2021)</w:t>
      </w:r>
      <w:r w:rsidR="00046519">
        <w:rPr>
          <w:rFonts w:eastAsia="Calibri" w:cs="Times New Roman"/>
          <w:szCs w:val="24"/>
        </w:rPr>
        <w:t xml:space="preserve">. </w:t>
      </w:r>
      <w:r w:rsidR="005826CA" w:rsidRPr="005826CA">
        <w:rPr>
          <w:rFonts w:eastAsia="Calibri" w:cs="Times New Roman"/>
          <w:szCs w:val="24"/>
        </w:rPr>
        <w:t>Advances in CT imaging technology and its extensive use in clinical practice have resulted in increased CT examinations and reduced the need for emergency surgery from 13% to 5%, eliminating many exploratory surgical procedures (Power et al., 2016). In Ghana, Botwe et al. (2020) estimated that 204,760 patients undergo CT examinations yearly. High radiation doses delivered to patients undergoing CT examinations are a major global concern due to the associated biological effects and inherent risks compared to other radiological examinations (</w:t>
      </w:r>
      <w:proofErr w:type="spellStart"/>
      <w:r w:rsidR="005826CA" w:rsidRPr="005826CA">
        <w:rPr>
          <w:rFonts w:eastAsia="Calibri" w:cs="Times New Roman"/>
          <w:szCs w:val="24"/>
        </w:rPr>
        <w:t>Anim-Sampong</w:t>
      </w:r>
      <w:proofErr w:type="spellEnd"/>
      <w:r w:rsidR="005826CA" w:rsidRPr="005826CA">
        <w:rPr>
          <w:rFonts w:eastAsia="Calibri" w:cs="Times New Roman"/>
          <w:szCs w:val="24"/>
        </w:rPr>
        <w:t xml:space="preserve"> et al., 2016; Sackey, 2015). Although CT procedures deliver organ doses in the range of 10 mGy–100 mGy which are generally below levels required to induce deterministic effects, according to the linear non-threshold theory, patient risk of stochastic effects is correlated with radiation dose at any level (</w:t>
      </w:r>
      <w:proofErr w:type="spellStart"/>
      <w:r w:rsidR="005826CA" w:rsidRPr="005826CA">
        <w:rPr>
          <w:rFonts w:eastAsia="Calibri" w:cs="Times New Roman"/>
          <w:szCs w:val="24"/>
        </w:rPr>
        <w:t>Alm</w:t>
      </w:r>
      <w:proofErr w:type="spellEnd"/>
      <w:r w:rsidR="005826CA" w:rsidRPr="005826CA">
        <w:rPr>
          <w:rFonts w:eastAsia="Calibri" w:cs="Times New Roman"/>
          <w:szCs w:val="24"/>
        </w:rPr>
        <w:t>-Carlsson et al., 2007; Shrimpton et al., 2016). It is thus, essential to reduce patient dose while maintaining diagnostic image quality, and consequently minimize the associated health effects.</w:t>
      </w:r>
      <w:r w:rsidR="005826CA">
        <w:rPr>
          <w:rFonts w:eastAsia="Calibri" w:cs="Times New Roman"/>
          <w:szCs w:val="24"/>
        </w:rPr>
        <w:t xml:space="preserve"> </w:t>
      </w:r>
    </w:p>
    <w:p w14:paraId="453C7653" w14:textId="77777777" w:rsidR="005826CA" w:rsidRPr="005826CA" w:rsidRDefault="005826CA" w:rsidP="005826CA">
      <w:pPr>
        <w:spacing w:line="480" w:lineRule="auto"/>
        <w:ind w:firstLine="720"/>
        <w:rPr>
          <w:rFonts w:cs="Times New Roman"/>
          <w:color w:val="000000"/>
          <w:szCs w:val="24"/>
        </w:rPr>
      </w:pPr>
      <w:r w:rsidRPr="005826CA">
        <w:rPr>
          <w:rFonts w:cs="Times New Roman"/>
          <w:color w:val="000000"/>
          <w:szCs w:val="24"/>
        </w:rPr>
        <w:t>Several CT dose-reduction approaches including the alteration of exposure factors (lowering tube current and peak tube voltage), use of automated exposure control (AEC), monitoring, and integration of different iterative reconstruction software have been provided by various manufacturers. These approaches, however, have different effects on the image quality needed for a specific diagnosis or task (Demb et al., 2017). Hence, appropriate dose optimization measures are required to ensure that patients presenting for a particular CT imaging including head scans receive optimized radiation doses to reduce the inherent risk but maintain diagnostic image quality (Smith-Bindman et al., 2019).</w:t>
      </w:r>
    </w:p>
    <w:p w14:paraId="2D3A5F48" w14:textId="201B4ADF" w:rsidR="00064E6C" w:rsidRPr="00FE7240" w:rsidRDefault="005826CA" w:rsidP="005826CA">
      <w:pPr>
        <w:spacing w:line="480" w:lineRule="auto"/>
        <w:ind w:firstLine="720"/>
        <w:rPr>
          <w:rFonts w:cs="Times New Roman"/>
          <w:szCs w:val="24"/>
        </w:rPr>
      </w:pPr>
      <w:r w:rsidRPr="005826CA">
        <w:rPr>
          <w:rFonts w:cs="Times New Roman"/>
          <w:color w:val="000000"/>
          <w:szCs w:val="24"/>
        </w:rPr>
        <w:t xml:space="preserve">According to </w:t>
      </w:r>
      <w:proofErr w:type="spellStart"/>
      <w:r w:rsidRPr="005826CA">
        <w:rPr>
          <w:rFonts w:cs="Times New Roman"/>
          <w:color w:val="000000"/>
          <w:szCs w:val="24"/>
        </w:rPr>
        <w:t>Bauhs</w:t>
      </w:r>
      <w:proofErr w:type="spellEnd"/>
      <w:r w:rsidRPr="005826CA">
        <w:rPr>
          <w:rFonts w:cs="Times New Roman"/>
          <w:color w:val="000000"/>
          <w:szCs w:val="24"/>
        </w:rPr>
        <w:t xml:space="preserve"> et al. (2008), the CT dose index (CTDI) is the integral of the single scan radiation dose profile along the z-axis, normalized to the thickness of the imaged section and expressed differently for </w:t>
      </w:r>
      <w:proofErr w:type="gramStart"/>
      <w:r w:rsidRPr="005826CA">
        <w:rPr>
          <w:rFonts w:cs="Times New Roman"/>
          <w:color w:val="000000"/>
          <w:szCs w:val="24"/>
        </w:rPr>
        <w:t>single-slice</w:t>
      </w:r>
      <w:proofErr w:type="gramEnd"/>
      <w:r w:rsidRPr="005826CA">
        <w:rPr>
          <w:rFonts w:cs="Times New Roman"/>
          <w:color w:val="000000"/>
          <w:szCs w:val="24"/>
        </w:rPr>
        <w:t xml:space="preserve"> computed tomography (SSCT) and multi-slice computed tomography (MSCT) </w:t>
      </w:r>
      <w:r w:rsidR="00064E6C" w:rsidRPr="00FE7240">
        <w:rPr>
          <w:rFonts w:cs="Times New Roman"/>
          <w:szCs w:val="24"/>
        </w:rPr>
        <w:t>as:</w:t>
      </w:r>
    </w:p>
    <w:p w14:paraId="33660BB9" w14:textId="7932A4FE" w:rsidR="00064E6C" w:rsidRPr="0022156A" w:rsidRDefault="005826CA" w:rsidP="005826CA">
      <w:pPr>
        <w:spacing w:line="480" w:lineRule="auto"/>
        <w:ind w:left="720" w:firstLine="720"/>
        <w:jc w:val="center"/>
        <w:rPr>
          <w:rFonts w:cs="Times New Roman"/>
          <w:iCs/>
          <w:szCs w:val="24"/>
        </w:rPr>
      </w:pPr>
      <m:oMath>
        <m:r>
          <w:rPr>
            <w:rFonts w:ascii="Cambria Math" w:eastAsia="Calibri" w:cs="Times New Roman"/>
            <w:szCs w:val="24"/>
          </w:rPr>
          <m:t>CTD</m:t>
        </m:r>
        <m:sSub>
          <m:sSubPr>
            <m:ctrlPr>
              <w:rPr>
                <w:rFonts w:ascii="Cambria Math" w:eastAsia="Calibri" w:hAnsi="Cambria Math" w:cs="Times New Roman"/>
                <w:i/>
                <w:szCs w:val="24"/>
              </w:rPr>
            </m:ctrlPr>
          </m:sSubPr>
          <m:e>
            <m:r>
              <w:rPr>
                <w:rFonts w:ascii="Cambria Math" w:eastAsia="Calibri" w:cs="Times New Roman"/>
                <w:szCs w:val="24"/>
              </w:rPr>
              <m:t>I</m:t>
            </m:r>
          </m:e>
          <m:sub>
            <m:r>
              <w:rPr>
                <w:rFonts w:ascii="Cambria Math" w:eastAsia="Calibri" w:cs="Times New Roman"/>
                <w:szCs w:val="24"/>
              </w:rPr>
              <m:t>SSCT</m:t>
            </m:r>
          </m:sub>
        </m:sSub>
        <m:r>
          <w:rPr>
            <w:rFonts w:ascii="Cambria Math" w:eastAsia="Calibri" w:cs="Times New Roman"/>
            <w:szCs w:val="24"/>
          </w:rPr>
          <m:t>=</m:t>
        </m:r>
        <m:f>
          <m:fPr>
            <m:ctrlPr>
              <w:rPr>
                <w:rFonts w:ascii="Cambria Math" w:eastAsia="Calibri" w:hAnsi="Cambria Math" w:cs="Times New Roman"/>
                <w:i/>
                <w:szCs w:val="24"/>
              </w:rPr>
            </m:ctrlPr>
          </m:fPr>
          <m:num>
            <m:r>
              <w:rPr>
                <w:rFonts w:ascii="Cambria Math" w:eastAsia="Calibri" w:cs="Times New Roman"/>
                <w:szCs w:val="24"/>
              </w:rPr>
              <m:t>1</m:t>
            </m:r>
          </m:num>
          <m:den>
            <m:r>
              <w:rPr>
                <w:rFonts w:ascii="Cambria Math" w:eastAsia="Calibri" w:cs="Times New Roman"/>
                <w:szCs w:val="24"/>
              </w:rPr>
              <m:t>T</m:t>
            </m:r>
          </m:den>
        </m:f>
        <m:nary>
          <m:naryPr>
            <m:ctrlPr>
              <w:rPr>
                <w:rFonts w:ascii="Cambria Math" w:eastAsia="Calibri" w:hAnsi="Cambria Math" w:cs="Times New Roman"/>
                <w:i/>
                <w:szCs w:val="24"/>
              </w:rPr>
            </m:ctrlPr>
          </m:naryPr>
          <m:sub>
            <m:r>
              <w:rPr>
                <w:rFonts w:ascii="Cambria Math" w:eastAsia="Calibri" w:cs="Times New Roman"/>
                <w:szCs w:val="24"/>
              </w:rPr>
              <m:t>-∞</m:t>
            </m:r>
          </m:sub>
          <m:sup>
            <m:r>
              <w:rPr>
                <w:rFonts w:ascii="Cambria Math" w:eastAsia="Calibri" w:cs="Times New Roman"/>
                <w:szCs w:val="24"/>
              </w:rPr>
              <m:t>+</m:t>
            </m:r>
            <m:r>
              <w:rPr>
                <w:rFonts w:ascii="Cambria Math" w:eastAsia="Calibri" w:cs="Times New Roman"/>
                <w:szCs w:val="24"/>
              </w:rPr>
              <m:t>∞</m:t>
            </m:r>
          </m:sup>
          <m:e>
            <m:r>
              <w:rPr>
                <w:rFonts w:ascii="Cambria Math" w:eastAsia="Calibri" w:cs="Times New Roman"/>
                <w:szCs w:val="24"/>
              </w:rPr>
              <m:t>D(z)dz</m:t>
            </m:r>
          </m:e>
        </m:nary>
      </m:oMath>
      <w:r w:rsidR="002C5F7D">
        <w:rPr>
          <w:rFonts w:eastAsia="Calibri" w:cs="Times New Roman"/>
          <w:szCs w:val="24"/>
        </w:rPr>
        <w:tab/>
      </w:r>
      <w:r w:rsidR="00863564">
        <w:rPr>
          <w:rFonts w:eastAsia="Calibri" w:cs="Times New Roman"/>
          <w:szCs w:val="24"/>
        </w:rPr>
        <w:tab/>
      </w:r>
      <w:r w:rsidR="002C5F7D">
        <w:rPr>
          <w:rFonts w:eastAsia="Calibri" w:cs="Times New Roman"/>
          <w:szCs w:val="24"/>
        </w:rPr>
        <w:tab/>
        <w:t xml:space="preserve">  </w:t>
      </w:r>
      <w:r w:rsidR="0022156A" w:rsidRPr="0022156A">
        <w:rPr>
          <w:rFonts w:eastAsia="Calibri" w:cs="Times New Roman"/>
          <w:szCs w:val="24"/>
        </w:rPr>
        <w:t>(1)</w:t>
      </w:r>
    </w:p>
    <w:p w14:paraId="6CDC8561" w14:textId="1D0851AB" w:rsidR="00064E6C" w:rsidRPr="00FE7240" w:rsidRDefault="005826CA" w:rsidP="005826CA">
      <w:pPr>
        <w:spacing w:line="480" w:lineRule="auto"/>
        <w:ind w:left="720" w:firstLine="720"/>
        <w:jc w:val="center"/>
        <w:rPr>
          <w:rFonts w:cs="Times New Roman"/>
          <w:iCs/>
          <w:szCs w:val="24"/>
        </w:rPr>
      </w:pPr>
      <m:oMath>
        <m:r>
          <w:rPr>
            <w:rFonts w:ascii="Cambria Math" w:eastAsia="Calibri" w:cs="Times New Roman"/>
            <w:szCs w:val="24"/>
          </w:rPr>
          <m:t>CTD</m:t>
        </m:r>
        <m:sSub>
          <m:sSubPr>
            <m:ctrlPr>
              <w:rPr>
                <w:rFonts w:ascii="Cambria Math" w:eastAsia="Calibri" w:hAnsi="Cambria Math" w:cs="Times New Roman"/>
                <w:i/>
                <w:szCs w:val="24"/>
              </w:rPr>
            </m:ctrlPr>
          </m:sSubPr>
          <m:e>
            <m:r>
              <w:rPr>
                <w:rFonts w:ascii="Cambria Math" w:eastAsia="Calibri" w:cs="Times New Roman"/>
                <w:szCs w:val="24"/>
              </w:rPr>
              <m:t>I</m:t>
            </m:r>
          </m:e>
          <m:sub>
            <m:r>
              <w:rPr>
                <w:rFonts w:ascii="Cambria Math" w:eastAsia="Calibri" w:cs="Times New Roman"/>
                <w:szCs w:val="24"/>
              </w:rPr>
              <m:t>MSCT</m:t>
            </m:r>
          </m:sub>
        </m:sSub>
        <m:r>
          <w:rPr>
            <w:rFonts w:ascii="Cambria Math" w:eastAsia="Calibri" w:cs="Times New Roman"/>
            <w:szCs w:val="24"/>
          </w:rPr>
          <m:t>=</m:t>
        </m:r>
        <m:f>
          <m:fPr>
            <m:ctrlPr>
              <w:rPr>
                <w:rFonts w:ascii="Cambria Math" w:eastAsia="Calibri" w:hAnsi="Cambria Math" w:cs="Times New Roman"/>
                <w:i/>
                <w:szCs w:val="24"/>
              </w:rPr>
            </m:ctrlPr>
          </m:fPr>
          <m:num>
            <m:r>
              <w:rPr>
                <w:rFonts w:ascii="Cambria Math" w:eastAsia="Calibri" w:cs="Times New Roman"/>
                <w:szCs w:val="24"/>
              </w:rPr>
              <m:t>1</m:t>
            </m:r>
          </m:num>
          <m:den>
            <m:r>
              <w:rPr>
                <w:rFonts w:ascii="Cambria Math" w:eastAsia="Calibri" w:cs="Times New Roman"/>
                <w:szCs w:val="24"/>
              </w:rPr>
              <m:t>NT</m:t>
            </m:r>
          </m:den>
        </m:f>
        <m:nary>
          <m:naryPr>
            <m:ctrlPr>
              <w:rPr>
                <w:rFonts w:ascii="Cambria Math" w:eastAsia="Calibri" w:hAnsi="Cambria Math" w:cs="Times New Roman"/>
                <w:i/>
                <w:szCs w:val="24"/>
              </w:rPr>
            </m:ctrlPr>
          </m:naryPr>
          <m:sub>
            <m:r>
              <w:rPr>
                <w:rFonts w:ascii="Cambria Math" w:eastAsia="Calibri" w:cs="Times New Roman"/>
                <w:szCs w:val="24"/>
              </w:rPr>
              <m:t>-</m:t>
            </m:r>
            <m:r>
              <w:rPr>
                <w:rFonts w:ascii="Cambria Math" w:eastAsia="Calibri" w:cs="Times New Roman"/>
                <w:szCs w:val="24"/>
              </w:rPr>
              <m:t>L/2</m:t>
            </m:r>
          </m:sub>
          <m:sup>
            <m:r>
              <w:rPr>
                <w:rFonts w:ascii="Cambria Math" w:eastAsia="Calibri" w:cs="Times New Roman"/>
                <w:szCs w:val="24"/>
              </w:rPr>
              <m:t>+L/2</m:t>
            </m:r>
          </m:sup>
          <m:e>
            <m:r>
              <w:rPr>
                <w:rFonts w:ascii="Cambria Math" w:eastAsia="Calibri" w:cs="Times New Roman"/>
                <w:szCs w:val="24"/>
              </w:rPr>
              <m:t>D(z)dz</m:t>
            </m:r>
          </m:e>
        </m:nary>
      </m:oMath>
      <w:r w:rsidR="0022156A" w:rsidRPr="0022156A">
        <w:rPr>
          <w:rFonts w:eastAsia="Calibri" w:cs="Times New Roman"/>
          <w:szCs w:val="24"/>
        </w:rPr>
        <w:tab/>
      </w:r>
      <w:r w:rsidR="0022156A" w:rsidRPr="0022156A">
        <w:rPr>
          <w:rFonts w:eastAsia="Calibri" w:cs="Times New Roman"/>
          <w:szCs w:val="24"/>
        </w:rPr>
        <w:tab/>
      </w:r>
      <w:r w:rsidR="00863564">
        <w:rPr>
          <w:rFonts w:eastAsia="Calibri" w:cs="Times New Roman"/>
          <w:szCs w:val="24"/>
        </w:rPr>
        <w:tab/>
      </w:r>
      <w:r w:rsidR="002C5F7D">
        <w:rPr>
          <w:rFonts w:eastAsia="Calibri" w:cs="Times New Roman"/>
          <w:szCs w:val="24"/>
        </w:rPr>
        <w:t xml:space="preserve"> </w:t>
      </w:r>
      <w:r w:rsidR="0022156A" w:rsidRPr="0022156A">
        <w:rPr>
          <w:rFonts w:eastAsia="Calibri" w:cs="Times New Roman"/>
          <w:szCs w:val="24"/>
        </w:rPr>
        <w:t>(2)</w:t>
      </w:r>
    </w:p>
    <w:p w14:paraId="0D4E2CDA" w14:textId="5E5486D2" w:rsidR="00064E6C" w:rsidRDefault="00064E6C" w:rsidP="00064E6C">
      <w:pPr>
        <w:spacing w:line="480" w:lineRule="auto"/>
        <w:rPr>
          <w:rFonts w:cs="Times New Roman"/>
          <w:szCs w:val="24"/>
        </w:rPr>
      </w:pPr>
      <w:r w:rsidRPr="00FE7240">
        <w:rPr>
          <w:rFonts w:cs="Times New Roman"/>
          <w:szCs w:val="24"/>
        </w:rPr>
        <w:t xml:space="preserve">where </w:t>
      </w:r>
      <w:r w:rsidRPr="00FE7240">
        <w:rPr>
          <w:rFonts w:cs="Times New Roman"/>
          <w:i/>
          <w:szCs w:val="24"/>
        </w:rPr>
        <w:t>T</w:t>
      </w:r>
      <w:r w:rsidRPr="00FE7240">
        <w:rPr>
          <w:rFonts w:cs="Times New Roman"/>
          <w:szCs w:val="24"/>
        </w:rPr>
        <w:t xml:space="preserve"> is the detector width or minimal beam collimation thickness, </w:t>
      </w:r>
      <w:r w:rsidRPr="00FE7240">
        <w:rPr>
          <w:rFonts w:cs="Times New Roman"/>
          <w:i/>
          <w:szCs w:val="24"/>
        </w:rPr>
        <w:t xml:space="preserve">D </w:t>
      </w:r>
      <w:r w:rsidRPr="00FE7240">
        <w:rPr>
          <w:rFonts w:cs="Times New Roman"/>
          <w:szCs w:val="24"/>
        </w:rPr>
        <w:t xml:space="preserve">is the dose profile, and </w:t>
      </w:r>
      <w:r w:rsidRPr="00FE7240">
        <w:rPr>
          <w:rFonts w:cs="Times New Roman"/>
          <w:i/>
          <w:szCs w:val="24"/>
        </w:rPr>
        <w:t>N</w:t>
      </w:r>
      <w:r>
        <w:rPr>
          <w:rFonts w:cs="Times New Roman"/>
          <w:szCs w:val="24"/>
        </w:rPr>
        <w:t xml:space="preserve"> is the number of detectors. </w:t>
      </w:r>
      <w:r w:rsidR="0022156A">
        <w:rPr>
          <w:rFonts w:cs="Times New Roman"/>
          <w:szCs w:val="24"/>
        </w:rPr>
        <w:t>The volume-</w:t>
      </w:r>
      <w:r w:rsidRPr="00FE7240">
        <w:rPr>
          <w:rFonts w:cs="Times New Roman"/>
          <w:szCs w:val="24"/>
        </w:rPr>
        <w:t>weighted CTDI (CTDI</w:t>
      </w:r>
      <w:r w:rsidRPr="00FE7240">
        <w:rPr>
          <w:rFonts w:cs="Times New Roman"/>
          <w:szCs w:val="24"/>
          <w:vertAlign w:val="subscript"/>
        </w:rPr>
        <w:t>vol</w:t>
      </w:r>
      <w:r w:rsidRPr="00FE7240">
        <w:rPr>
          <w:rFonts w:cs="Times New Roman"/>
          <w:szCs w:val="24"/>
        </w:rPr>
        <w:t xml:space="preserve">) is </w:t>
      </w:r>
      <w:r w:rsidR="005E419B" w:rsidRPr="00FE7240">
        <w:rPr>
          <w:rFonts w:cs="Times New Roman"/>
          <w:szCs w:val="24"/>
        </w:rPr>
        <w:t xml:space="preserve">the pitch-corrected </w:t>
      </w:r>
      <w:r w:rsidR="005E419B">
        <w:rPr>
          <w:rFonts w:cs="Times New Roman"/>
          <w:szCs w:val="24"/>
        </w:rPr>
        <w:t>weighted CTDI</w:t>
      </w:r>
      <w:r w:rsidR="005E419B" w:rsidRPr="00FE7240">
        <w:rPr>
          <w:rFonts w:cs="Times New Roman"/>
          <w:szCs w:val="24"/>
        </w:rPr>
        <w:t xml:space="preserve"> </w:t>
      </w:r>
      <w:r w:rsidR="005E419B">
        <w:rPr>
          <w:rFonts w:cs="Times New Roman"/>
          <w:szCs w:val="24"/>
        </w:rPr>
        <w:t>(</w:t>
      </w:r>
      <w:proofErr w:type="spellStart"/>
      <w:proofErr w:type="gramStart"/>
      <w:r w:rsidR="005E419B" w:rsidRPr="00FE7240">
        <w:rPr>
          <w:rFonts w:cs="Times New Roman"/>
          <w:szCs w:val="24"/>
        </w:rPr>
        <w:t>CTDI</w:t>
      </w:r>
      <w:r w:rsidR="005E419B" w:rsidRPr="00FE7240">
        <w:rPr>
          <w:rFonts w:cs="Times New Roman"/>
          <w:szCs w:val="24"/>
          <w:vertAlign w:val="subscript"/>
        </w:rPr>
        <w:t>w</w:t>
      </w:r>
      <w:proofErr w:type="spellEnd"/>
      <w:r w:rsidR="005E419B" w:rsidRPr="00FE7240">
        <w:rPr>
          <w:rFonts w:cs="Times New Roman"/>
          <w:szCs w:val="24"/>
          <w:vertAlign w:val="subscript"/>
        </w:rPr>
        <w:t xml:space="preserve"> </w:t>
      </w:r>
      <w:r w:rsidR="005E419B">
        <w:rPr>
          <w:rFonts w:cs="Times New Roman"/>
          <w:szCs w:val="24"/>
        </w:rPr>
        <w:t>)</w:t>
      </w:r>
      <w:proofErr w:type="gramEnd"/>
      <w:r w:rsidR="005E419B">
        <w:rPr>
          <w:rFonts w:cs="Times New Roman"/>
          <w:szCs w:val="24"/>
        </w:rPr>
        <w:t xml:space="preserve"> and </w:t>
      </w:r>
      <w:r w:rsidR="00AE6E90">
        <w:rPr>
          <w:rFonts w:cs="Times New Roman"/>
          <w:szCs w:val="24"/>
        </w:rPr>
        <w:t xml:space="preserve">is </w:t>
      </w:r>
      <w:r w:rsidR="005E419B">
        <w:rPr>
          <w:rFonts w:cs="Times New Roman"/>
          <w:szCs w:val="24"/>
        </w:rPr>
        <w:t>e</w:t>
      </w:r>
      <w:r w:rsidRPr="00FE7240">
        <w:rPr>
          <w:rFonts w:cs="Times New Roman"/>
          <w:szCs w:val="24"/>
        </w:rPr>
        <w:t>xpressed as</w:t>
      </w:r>
    </w:p>
    <w:p w14:paraId="0B1B6371" w14:textId="489B7156" w:rsidR="00064E6C" w:rsidRPr="00FE7240" w:rsidRDefault="005826CA" w:rsidP="005826CA">
      <w:pPr>
        <w:spacing w:line="480" w:lineRule="auto"/>
        <w:ind w:firstLine="720"/>
        <w:jc w:val="center"/>
        <w:rPr>
          <w:rFonts w:cs="Times New Roman"/>
          <w:szCs w:val="24"/>
        </w:rPr>
      </w:pPr>
      <m:oMath>
        <m:r>
          <w:rPr>
            <w:rFonts w:ascii="Cambria Math" w:eastAsia="Calibri" w:hAnsi="Calibri" w:cs="Times New Roman"/>
            <w:sz w:val="22"/>
          </w:rPr>
          <m:t>CTD</m:t>
        </m:r>
        <m:sSub>
          <m:sSubPr>
            <m:ctrlPr>
              <w:rPr>
                <w:rFonts w:ascii="Cambria Math" w:eastAsia="Calibri" w:hAnsi="Calibri" w:cs="Times New Roman"/>
                <w:i/>
                <w:sz w:val="22"/>
              </w:rPr>
            </m:ctrlPr>
          </m:sSubPr>
          <m:e>
            <m:r>
              <w:rPr>
                <w:rFonts w:ascii="Cambria Math" w:eastAsia="Calibri" w:hAnsi="Calibri" w:cs="Times New Roman"/>
                <w:sz w:val="22"/>
              </w:rPr>
              <m:t>I</m:t>
            </m:r>
          </m:e>
          <m:sub>
            <m:r>
              <w:rPr>
                <w:rFonts w:ascii="Cambria Math" w:eastAsia="Calibri" w:hAnsi="Calibri" w:cs="Times New Roman"/>
                <w:sz w:val="22"/>
              </w:rPr>
              <m:t>vol</m:t>
            </m:r>
          </m:sub>
        </m:sSub>
        <m:r>
          <w:rPr>
            <w:rFonts w:ascii="Cambria Math" w:eastAsia="Calibri" w:hAnsi="Calibri" w:cs="Times New Roman"/>
            <w:sz w:val="22"/>
          </w:rPr>
          <m:t>=</m:t>
        </m:r>
        <m:f>
          <m:fPr>
            <m:ctrlPr>
              <w:rPr>
                <w:rFonts w:ascii="Cambria Math" w:eastAsia="Calibri" w:hAnsi="Calibri" w:cs="Times New Roman"/>
                <w:i/>
                <w:sz w:val="22"/>
              </w:rPr>
            </m:ctrlPr>
          </m:fPr>
          <m:num>
            <m:r>
              <w:rPr>
                <w:rFonts w:ascii="Cambria Math" w:eastAsia="Calibri" w:hAnsi="Calibri" w:cs="Times New Roman"/>
                <w:sz w:val="22"/>
              </w:rPr>
              <m:t>CTD</m:t>
            </m:r>
            <m:sSub>
              <m:sSubPr>
                <m:ctrlPr>
                  <w:rPr>
                    <w:rFonts w:ascii="Cambria Math" w:eastAsia="Calibri" w:hAnsi="Calibri" w:cs="Times New Roman"/>
                    <w:i/>
                    <w:sz w:val="22"/>
                  </w:rPr>
                </m:ctrlPr>
              </m:sSubPr>
              <m:e>
                <m:r>
                  <w:rPr>
                    <w:rFonts w:ascii="Cambria Math" w:eastAsia="Calibri" w:hAnsi="Calibri" w:cs="Times New Roman"/>
                    <w:sz w:val="22"/>
                  </w:rPr>
                  <m:t>I</m:t>
                </m:r>
              </m:e>
              <m:sub>
                <m:r>
                  <w:rPr>
                    <w:rFonts w:ascii="Cambria Math" w:eastAsia="Calibri" w:hAnsi="Calibri" w:cs="Times New Roman"/>
                    <w:sz w:val="22"/>
                  </w:rPr>
                  <m:t>w</m:t>
                </m:r>
              </m:sub>
            </m:sSub>
          </m:num>
          <m:den>
            <m:r>
              <w:rPr>
                <w:rFonts w:ascii="Cambria Math" w:eastAsia="Calibri" w:hAnsi="Calibri" w:cs="Times New Roman"/>
                <w:sz w:val="22"/>
              </w:rPr>
              <m:t>p</m:t>
            </m:r>
          </m:den>
        </m:f>
        <m:r>
          <w:rPr>
            <w:rFonts w:ascii="Cambria Math" w:eastAsia="Calibri" w:hAnsi="Calibri" w:cs="Times New Roman"/>
            <w:sz w:val="22"/>
          </w:rPr>
          <m:t>=</m:t>
        </m:r>
        <m:f>
          <m:fPr>
            <m:ctrlPr>
              <w:rPr>
                <w:rFonts w:ascii="Cambria Math" w:eastAsia="Calibri" w:hAnsi="Calibri" w:cs="Times New Roman"/>
                <w:i/>
                <w:sz w:val="22"/>
              </w:rPr>
            </m:ctrlPr>
          </m:fPr>
          <m:num>
            <m:r>
              <w:rPr>
                <w:rFonts w:ascii="Cambria Math" w:eastAsia="Calibri" w:hAnsi="Calibri" w:cs="Times New Roman"/>
                <w:sz w:val="22"/>
              </w:rPr>
              <m:t>1</m:t>
            </m:r>
          </m:num>
          <m:den>
            <m:r>
              <w:rPr>
                <w:rFonts w:ascii="Cambria Math" w:eastAsia="Calibri" w:hAnsi="Calibri" w:cs="Times New Roman"/>
                <w:sz w:val="22"/>
              </w:rPr>
              <m:t>p</m:t>
            </m:r>
          </m:den>
        </m:f>
        <m:d>
          <m:dPr>
            <m:begChr m:val="["/>
            <m:endChr m:val="]"/>
            <m:ctrlPr>
              <w:rPr>
                <w:rFonts w:ascii="Cambria Math" w:eastAsia="Calibri" w:hAnsi="Calibri" w:cs="Times New Roman"/>
                <w:i/>
                <w:sz w:val="22"/>
              </w:rPr>
            </m:ctrlPr>
          </m:dPr>
          <m:e>
            <m:f>
              <m:fPr>
                <m:ctrlPr>
                  <w:rPr>
                    <w:rFonts w:ascii="Cambria Math" w:eastAsia="Calibri" w:hAnsi="Calibri" w:cs="Times New Roman"/>
                    <w:i/>
                    <w:sz w:val="22"/>
                  </w:rPr>
                </m:ctrlPr>
              </m:fPr>
              <m:num>
                <m:r>
                  <w:rPr>
                    <w:rFonts w:ascii="Cambria Math" w:eastAsia="Calibri" w:hAnsi="Calibri" w:cs="Times New Roman"/>
                    <w:sz w:val="22"/>
                  </w:rPr>
                  <m:t>1</m:t>
                </m:r>
              </m:num>
              <m:den>
                <m:r>
                  <w:rPr>
                    <w:rFonts w:ascii="Cambria Math" w:eastAsia="Calibri" w:hAnsi="Calibri" w:cs="Times New Roman"/>
                    <w:sz w:val="22"/>
                  </w:rPr>
                  <m:t>3</m:t>
                </m:r>
              </m:den>
            </m:f>
            <m:r>
              <w:rPr>
                <w:rFonts w:ascii="Cambria Math" w:eastAsia="Calibri" w:hAnsi="Calibri" w:cs="Times New Roman"/>
                <w:sz w:val="22"/>
              </w:rPr>
              <m:t>CTD</m:t>
            </m:r>
            <m:sSub>
              <m:sSubPr>
                <m:ctrlPr>
                  <w:rPr>
                    <w:rFonts w:ascii="Cambria Math" w:eastAsia="Calibri" w:hAnsi="Calibri" w:cs="Times New Roman"/>
                    <w:i/>
                    <w:sz w:val="22"/>
                  </w:rPr>
                </m:ctrlPr>
              </m:sSubPr>
              <m:e>
                <m:r>
                  <w:rPr>
                    <w:rFonts w:ascii="Cambria Math" w:eastAsia="Calibri" w:hAnsi="Calibri" w:cs="Times New Roman"/>
                    <w:sz w:val="22"/>
                  </w:rPr>
                  <m:t>I</m:t>
                </m:r>
              </m:e>
              <m:sub>
                <m:r>
                  <w:rPr>
                    <w:rFonts w:ascii="Cambria Math" w:eastAsia="Calibri" w:hAnsi="Calibri" w:cs="Times New Roman"/>
                    <w:sz w:val="22"/>
                  </w:rPr>
                  <m:t>100,centre</m:t>
                </m:r>
              </m:sub>
            </m:sSub>
            <m:r>
              <w:rPr>
                <w:rFonts w:ascii="Cambria Math" w:eastAsia="Calibri" w:hAnsi="Calibri" w:cs="Times New Roman"/>
                <w:sz w:val="22"/>
              </w:rPr>
              <m:t>+</m:t>
            </m:r>
            <m:f>
              <m:fPr>
                <m:ctrlPr>
                  <w:rPr>
                    <w:rFonts w:ascii="Cambria Math" w:eastAsia="Calibri" w:hAnsi="Calibri" w:cs="Times New Roman"/>
                    <w:i/>
                    <w:sz w:val="22"/>
                  </w:rPr>
                </m:ctrlPr>
              </m:fPr>
              <m:num>
                <m:r>
                  <w:rPr>
                    <w:rFonts w:ascii="Cambria Math" w:eastAsia="Calibri" w:hAnsi="Calibri" w:cs="Times New Roman"/>
                    <w:sz w:val="22"/>
                  </w:rPr>
                  <m:t>2</m:t>
                </m:r>
              </m:num>
              <m:den>
                <m:r>
                  <w:rPr>
                    <w:rFonts w:ascii="Cambria Math" w:eastAsia="Calibri" w:hAnsi="Calibri" w:cs="Times New Roman"/>
                    <w:sz w:val="22"/>
                  </w:rPr>
                  <m:t>3</m:t>
                </m:r>
              </m:den>
            </m:f>
            <m:r>
              <w:rPr>
                <w:rFonts w:ascii="Cambria Math" w:eastAsia="Calibri" w:hAnsi="Calibri" w:cs="Times New Roman"/>
                <w:sz w:val="22"/>
              </w:rPr>
              <m:t>CTD</m:t>
            </m:r>
            <m:sSub>
              <m:sSubPr>
                <m:ctrlPr>
                  <w:rPr>
                    <w:rFonts w:ascii="Cambria Math" w:eastAsia="Calibri" w:hAnsi="Calibri" w:cs="Times New Roman"/>
                    <w:i/>
                    <w:sz w:val="22"/>
                  </w:rPr>
                </m:ctrlPr>
              </m:sSubPr>
              <m:e>
                <m:r>
                  <w:rPr>
                    <w:rFonts w:ascii="Cambria Math" w:eastAsia="Calibri" w:hAnsi="Calibri" w:cs="Times New Roman"/>
                    <w:sz w:val="22"/>
                  </w:rPr>
                  <m:t>I</m:t>
                </m:r>
              </m:e>
              <m:sub>
                <m:r>
                  <w:rPr>
                    <w:rFonts w:ascii="Cambria Math" w:eastAsia="Calibri" w:hAnsi="Calibri" w:cs="Times New Roman"/>
                    <w:sz w:val="22"/>
                  </w:rPr>
                  <m:t>100,perip</m:t>
                </m:r>
                <m:r>
                  <w:rPr>
                    <w:rFonts w:ascii="Cambria Math" w:eastAsia="Calibri" w:hAnsi="Cambria Math" w:cs="Cambria Math"/>
                    <w:sz w:val="22"/>
                  </w:rPr>
                  <m:t>h</m:t>
                </m:r>
                <m:r>
                  <w:rPr>
                    <w:rFonts w:ascii="Cambria Math" w:eastAsia="Calibri" w:hAnsi="Calibri" w:cs="Times New Roman"/>
                    <w:sz w:val="22"/>
                  </w:rPr>
                  <m:t>ery</m:t>
                </m:r>
              </m:sub>
            </m:sSub>
            <m:ctrlPr>
              <w:rPr>
                <w:rFonts w:ascii="Cambria Math" w:eastAsia="Calibri" w:hAnsi="Cambria Math" w:cs="Times New Roman"/>
                <w:i/>
                <w:sz w:val="22"/>
              </w:rPr>
            </m:ctrlPr>
          </m:e>
        </m:d>
      </m:oMath>
      <w:r w:rsidR="0022156A">
        <w:rPr>
          <w:rFonts w:ascii="Calibri" w:eastAsia="Calibri" w:hAnsi="Calibri" w:cs="Times New Roman"/>
          <w:sz w:val="22"/>
        </w:rPr>
        <w:tab/>
      </w:r>
      <w:r w:rsidR="0022156A">
        <w:rPr>
          <w:rFonts w:ascii="Calibri" w:eastAsia="Calibri" w:hAnsi="Calibri" w:cs="Times New Roman"/>
          <w:sz w:val="22"/>
        </w:rPr>
        <w:tab/>
      </w:r>
      <w:r w:rsidR="0022156A" w:rsidRPr="0022156A">
        <w:rPr>
          <w:rFonts w:eastAsia="Calibri" w:cs="Times New Roman"/>
          <w:szCs w:val="24"/>
        </w:rPr>
        <w:t>(3)</w:t>
      </w:r>
    </w:p>
    <w:p w14:paraId="28C21F21" w14:textId="5E808824" w:rsidR="00064E6C" w:rsidRPr="0022156A" w:rsidRDefault="00064E6C" w:rsidP="0022156A">
      <w:pPr>
        <w:spacing w:line="480" w:lineRule="auto"/>
        <w:rPr>
          <w:rFonts w:eastAsia="Times New Roman" w:cs="Times New Roman"/>
          <w:szCs w:val="24"/>
        </w:rPr>
      </w:pPr>
      <w:r w:rsidRPr="00FE7240">
        <w:rPr>
          <w:rFonts w:cs="Times New Roman"/>
          <w:szCs w:val="24"/>
        </w:rPr>
        <w:t xml:space="preserve">where </w:t>
      </w:r>
      <w:r w:rsidRPr="00FE7240">
        <w:rPr>
          <w:rFonts w:cs="Times New Roman"/>
          <w:i/>
          <w:szCs w:val="24"/>
        </w:rPr>
        <w:t>p</w:t>
      </w:r>
      <w:r w:rsidRPr="00FE7240">
        <w:rPr>
          <w:rFonts w:cs="Times New Roman"/>
          <w:szCs w:val="24"/>
        </w:rPr>
        <w:t xml:space="preserve"> is the scan pitch</w:t>
      </w:r>
      <w:r w:rsidR="00AF6D7E">
        <w:rPr>
          <w:rFonts w:eastAsia="Times New Roman" w:cs="Times New Roman"/>
          <w:szCs w:val="24"/>
        </w:rPr>
        <w:t xml:space="preserve">. </w:t>
      </w:r>
      <w:r w:rsidRPr="00FE7240">
        <w:rPr>
          <w:rFonts w:eastAsia="Times New Roman" w:cs="Times New Roman"/>
          <w:szCs w:val="24"/>
        </w:rPr>
        <w:fldChar w:fldCharType="begin" w:fldLock="1"/>
      </w:r>
      <w:r w:rsidRPr="00FE7240">
        <w:rPr>
          <w:rFonts w:eastAsia="Times New Roman" w:cs="Times New Roman"/>
          <w:szCs w:val="24"/>
        </w:rPr>
        <w:instrText>ADDIN CSL_CITATION {"citationItems":[{"id":"ITEM-1","itemData":{"DOI":"10.1007/978-3-540-68575-3_4","abstract":"The radiation exposure to patients undergoing CT examinations is determined by two factors: equipment-related factors, i.e. the design of the scanner with respect to dose efficiency, and application-related factors, i.e. the way in which the radiologist or the radiographer makes use of the scanner. In this chapter, the features and parameters influencing patient dose are outlined. First, however, a brief introduction on the dose descriptors applicable to CT is given.","author":[{"dropping-particle":"","family":"Nagel","given":"Hans Dieter","non-dropping-particle":"","parse-names":false,"suffix":""}],"id":"ITEM-1","issued":{"date-parts":[["2007"]]},"page":"51-79","title":"CT Parameters that Influence the Radiation Dose","type":"chapter"},"uris":["http://www.mendeley.com/documents/?uuid=f6bcf2b9-b508-3e34-98ac-aae58cc1b253"]}],"mendeley":{"formattedCitation":"(Nagel, 2007)","plainTextFormattedCitation":"(Nagel, 2007)","previouslyFormattedCitation":"(Nagel, 2007)"},"properties":{"noteIndex":0},"schema":"https://github.com/citation-style-language/schema/raw/master/csl-citation.json"}</w:instrText>
      </w:r>
      <w:r w:rsidRPr="00FE7240">
        <w:rPr>
          <w:rFonts w:eastAsia="Times New Roman" w:cs="Times New Roman"/>
          <w:szCs w:val="24"/>
        </w:rPr>
        <w:fldChar w:fldCharType="end"/>
      </w:r>
      <w:r w:rsidR="00AF6D7E">
        <w:rPr>
          <w:rFonts w:eastAsia="Times New Roman" w:cs="Times New Roman"/>
          <w:szCs w:val="24"/>
        </w:rPr>
        <w:t>A</w:t>
      </w:r>
      <w:r w:rsidR="0022156A" w:rsidRPr="00FE7240">
        <w:rPr>
          <w:rFonts w:cs="Times New Roman"/>
          <w:szCs w:val="24"/>
        </w:rPr>
        <w:t xml:space="preserve">ccording to </w:t>
      </w:r>
      <w:r w:rsidR="0022156A" w:rsidRPr="00FE7240">
        <w:rPr>
          <w:rFonts w:cs="Times New Roman"/>
          <w:szCs w:val="24"/>
        </w:rPr>
        <w:fldChar w:fldCharType="begin" w:fldLock="1"/>
      </w:r>
      <w:r w:rsidR="0022156A" w:rsidRPr="00FE7240">
        <w:rPr>
          <w:rFonts w:cs="Times New Roman"/>
          <w:szCs w:val="24"/>
        </w:rPr>
        <w:instrText>ADDIN CSL_CITATION {"citationItems":[{"id":"ITEM-1","itemData":{"abstract":"Editor: McCollough and colleagues, in their recent editorial in the May 2011 issue of Radiology (1), have dismissed volume computed tomography (CT) dose index (CTDI vol) and dose-length product (DLP) as useful measures of patient radiation dose, arguing that they do not measure the dose the patient absorbs. However, these indexes quantify the radiation dose to which a patient is exposed and thus dictate the dose absorbed by the patient. Although absorbed doses vary by patient size, they are primarily determined by the doses that come out of the machine and the region imaged. These types of readily available and controlla-ble measures are critically needed to understand and improve the safety of imaging. Although these measures may vary by as much as twofold across patient size for the same type of examination to get images of similar quality, we found 10-to 100-fold differences in DLP for CT scans obtained for the same clinical indication among thousands of examinations we have reviewed, refl ecting far more variation than could possibly occur owing to patient size. In fact, after accounting for patient weight and body mass index, a profound-and unacceptable-variation in these measures remained. Most of the variation in dose is due to variation in the adoption of multiphase protocols, larger scanning regions, or higher dose settings without awareness of the resulting dose burden these choices create. Thus, without even considering patient weight, we could greatly improve how we are conducting CT simply by assessing CTDI vol and DLP. The authors also dismiss the use of effective dose (1), which can be calculated from DLP by using age-and sex-specifi c conversion factors, or more complicated methods that take into account patient size, arguing that it is too imprecise. Effective dose is a useful measure for identifying patients who receive unnecessarily high doses, tracking doses over time, and assessing facility performance and is easy to understand because it puts doses from scans of different body regions on an equitable scale. Furthermore, it is a useful measure for epidemiologic studies, where standard statistical methods exist for analyzing imprecise variables and can account for effect modifi cation according to patient size, sex, and region imaged. No measurement we use in medicine or research is perfect. The important question is whether a particular measurement is useful given its limitations. In this case, the answer is a resounding yes. CTDI v…","author":[{"dropping-particle":"","family":"Smith-Bindman","given":"Rebecca","non-dropping-particle":"","parse-names":false,"suffix":""},{"dropping-particle":"","family":"Miglioretti","given":"Diana L","non-dropping-particle":"","parse-names":false,"suffix":""},{"dropping-particle":"","family":"Mccollough","given":"Cynthia H","non-dropping-particle":"","parse-names":false,"suffix":""},{"dropping-particle":"","family":"Leng","given":"Shuai","non-dropping-particle":"","parse-names":false,"suffix":""},{"dropping-particle":"","family":"Yu","given":"Lifeng","non-dropping-particle":"","parse-names":false,"suffix":""},{"dropping-particle":"","family":"Cody","given":"Dianna D","non-dropping-particle":"","parse-names":false,"suffix":""},{"dropping-particle":"","family":"Boone","given":"John M","non-dropping-particle":"","parse-names":false,"suffix":""},{"dropping-particle":"","family":"Mcnitt-Gray","given":"Michael F","non-dropping-particle":"","parse-names":false,"suffix":""}],"container-title":"radiology.rsna.org Radiology","id":"ITEM-1","issue":"3","issued":{"date-parts":[["2011"]]},"number-of-pages":"311-316","title":"CTDI vol , DLP, and Effective Dose Are Excellent Measures for Use in CT Quality Improvement Response","type":"report","volume":"261"},"uris":["http://www.mendeley.com/documents/?uuid=49c7ffd9-f867-3cab-ba39-9c40ed7dede0"]}],"mendeley":{"formattedCitation":"(Smith-Bindman et al., 2011)","manualFormatting":"Smith-Bindman et al. (2011)","plainTextFormattedCitation":"(Smith-Bindman et al., 2011)","previouslyFormattedCitation":"(Smith-Bindman et al., 2011)"},"properties":{"noteIndex":0},"schema":"https://github.com/citation-style-language/schema/raw/master/csl-citation.json"}</w:instrText>
      </w:r>
      <w:r w:rsidR="0022156A" w:rsidRPr="00FE7240">
        <w:rPr>
          <w:rFonts w:cs="Times New Roman"/>
          <w:szCs w:val="24"/>
        </w:rPr>
        <w:fldChar w:fldCharType="separate"/>
      </w:r>
      <w:r w:rsidR="0022156A" w:rsidRPr="00FE7240">
        <w:rPr>
          <w:rFonts w:cs="Times New Roman"/>
          <w:noProof/>
          <w:szCs w:val="24"/>
        </w:rPr>
        <w:t>Smith-Bindman et al</w:t>
      </w:r>
      <w:r w:rsidR="0022156A">
        <w:rPr>
          <w:rFonts w:cs="Times New Roman"/>
          <w:noProof/>
          <w:szCs w:val="24"/>
        </w:rPr>
        <w:t>.</w:t>
      </w:r>
      <w:r w:rsidR="00FD4B4B">
        <w:rPr>
          <w:rFonts w:cs="Times New Roman"/>
          <w:noProof/>
          <w:szCs w:val="24"/>
        </w:rPr>
        <w:t>,</w:t>
      </w:r>
      <w:r w:rsidR="0022156A">
        <w:rPr>
          <w:rFonts w:cs="Times New Roman"/>
          <w:noProof/>
          <w:szCs w:val="24"/>
        </w:rPr>
        <w:t xml:space="preserve"> (2011)</w:t>
      </w:r>
      <w:r w:rsidR="0022156A" w:rsidRPr="00FE7240">
        <w:rPr>
          <w:rFonts w:cs="Times New Roman"/>
          <w:szCs w:val="24"/>
        </w:rPr>
        <w:fldChar w:fldCharType="end"/>
      </w:r>
      <w:r w:rsidR="0022156A" w:rsidRPr="00FE7240">
        <w:rPr>
          <w:rFonts w:cs="Times New Roman"/>
          <w:szCs w:val="24"/>
        </w:rPr>
        <w:t>, the CTDI</w:t>
      </w:r>
      <w:r w:rsidR="0022156A" w:rsidRPr="00FE7240">
        <w:rPr>
          <w:rFonts w:cs="Times New Roman"/>
          <w:szCs w:val="24"/>
          <w:vertAlign w:val="subscript"/>
        </w:rPr>
        <w:t>vol</w:t>
      </w:r>
      <w:r w:rsidR="0022156A" w:rsidRPr="00FE7240">
        <w:rPr>
          <w:rFonts w:cs="Times New Roman"/>
          <w:szCs w:val="24"/>
        </w:rPr>
        <w:t xml:space="preserve"> and dose length product (DLP) are important CT dose descriptors for estimating the average absorbed dose for a series of irradiated tissue sections</w:t>
      </w:r>
      <w:r w:rsidR="00934CC7">
        <w:rPr>
          <w:rFonts w:eastAsia="Calibri" w:cs="Times New Roman"/>
          <w:szCs w:val="24"/>
        </w:rPr>
        <w:t xml:space="preserve">. </w:t>
      </w:r>
      <w:r w:rsidRPr="00FE7240">
        <w:rPr>
          <w:rFonts w:cs="Times New Roman"/>
          <w:szCs w:val="24"/>
        </w:rPr>
        <w:t xml:space="preserve">The DLP reflects the potential biologic effect as it represents the total energy produced by a given protocol in a complete scan acquisition and varies directly </w:t>
      </w:r>
      <w:r w:rsidR="0006138A">
        <w:rPr>
          <w:rFonts w:cs="Times New Roman"/>
          <w:szCs w:val="24"/>
        </w:rPr>
        <w:t>with</w:t>
      </w:r>
      <w:r w:rsidRPr="00FE7240">
        <w:rPr>
          <w:rFonts w:cs="Times New Roman"/>
          <w:szCs w:val="24"/>
        </w:rPr>
        <w:t xml:space="preserve"> the total scanned radiation dose </w:t>
      </w:r>
      <w:r w:rsidR="00AF6D7E">
        <w:rPr>
          <w:rFonts w:cs="Times New Roman"/>
          <w:szCs w:val="24"/>
        </w:rPr>
        <w:t>(</w:t>
      </w:r>
      <w:proofErr w:type="spellStart"/>
      <w:r w:rsidR="00AF6D7E" w:rsidRPr="00AF6D7E">
        <w:rPr>
          <w:rFonts w:eastAsia="Calibri" w:cs="Times New Roman"/>
          <w:szCs w:val="24"/>
        </w:rPr>
        <w:t>Kisembo</w:t>
      </w:r>
      <w:proofErr w:type="spellEnd"/>
      <w:r w:rsidR="00AF6D7E">
        <w:rPr>
          <w:rFonts w:eastAsia="Calibri" w:cs="Times New Roman"/>
          <w:szCs w:val="24"/>
        </w:rPr>
        <w:t xml:space="preserve"> et al., 2015, Strauss, 2014). </w:t>
      </w:r>
      <w:r w:rsidRPr="00FE7240">
        <w:rPr>
          <w:rFonts w:cs="Times New Roman"/>
          <w:szCs w:val="24"/>
        </w:rPr>
        <w:t>It is c</w:t>
      </w:r>
      <w:r w:rsidR="00AF6D7E">
        <w:rPr>
          <w:rFonts w:cs="Times New Roman"/>
          <w:szCs w:val="24"/>
        </w:rPr>
        <w:t xml:space="preserve">alculated </w:t>
      </w:r>
      <w:r w:rsidRPr="00FE7240">
        <w:rPr>
          <w:rFonts w:cs="Times New Roman"/>
          <w:szCs w:val="24"/>
        </w:rPr>
        <w:t>as the product of the intensity (CTDI</w:t>
      </w:r>
      <w:r w:rsidRPr="00FE7240">
        <w:rPr>
          <w:rFonts w:cs="Times New Roman"/>
          <w:szCs w:val="24"/>
          <w:vertAlign w:val="subscript"/>
        </w:rPr>
        <w:t>vol</w:t>
      </w:r>
      <w:r w:rsidRPr="00FE7240">
        <w:rPr>
          <w:rFonts w:cs="Times New Roman"/>
          <w:szCs w:val="24"/>
        </w:rPr>
        <w:t xml:space="preserve">) and the length of the scanned tissue </w:t>
      </w:r>
      <w:r w:rsidR="00AF6D7E">
        <w:rPr>
          <w:rFonts w:cs="Times New Roman"/>
          <w:szCs w:val="24"/>
        </w:rPr>
        <w:t xml:space="preserve">(Nagel, 2007) via </w:t>
      </w:r>
      <w:proofErr w:type="spellStart"/>
      <w:r w:rsidR="00AF6D7E">
        <w:rPr>
          <w:rFonts w:cs="Times New Roman"/>
          <w:szCs w:val="24"/>
        </w:rPr>
        <w:t>Eqn</w:t>
      </w:r>
      <w:proofErr w:type="spellEnd"/>
      <w:r w:rsidR="00AF6D7E">
        <w:rPr>
          <w:rFonts w:cs="Times New Roman"/>
          <w:szCs w:val="24"/>
        </w:rPr>
        <w:t xml:space="preserve"> (4) as </w:t>
      </w:r>
      <w:r w:rsidRPr="00FE7240">
        <w:rPr>
          <w:rFonts w:cs="Times New Roman"/>
          <w:szCs w:val="24"/>
        </w:rPr>
        <w:t xml:space="preserve"> </w:t>
      </w:r>
    </w:p>
    <w:p w14:paraId="3A3108AF" w14:textId="46B97AD2" w:rsidR="00064E6C" w:rsidRPr="00FE7240" w:rsidRDefault="005826CA" w:rsidP="005826CA">
      <w:pPr>
        <w:spacing w:line="480" w:lineRule="auto"/>
        <w:ind w:left="1440" w:firstLine="720"/>
        <w:jc w:val="center"/>
        <w:rPr>
          <w:rFonts w:cs="Times New Roman"/>
          <w:szCs w:val="24"/>
        </w:rPr>
      </w:pPr>
      <m:oMath>
        <m:r>
          <w:rPr>
            <w:rFonts w:ascii="Cambria Math" w:eastAsia="Calibri" w:hAnsi="Calibri" w:cs="Times New Roman"/>
            <w:sz w:val="22"/>
          </w:rPr>
          <m:t>DLP=CTD</m:t>
        </m:r>
        <m:sSub>
          <m:sSubPr>
            <m:ctrlPr>
              <w:rPr>
                <w:rFonts w:ascii="Cambria Math" w:eastAsia="Calibri" w:hAnsi="Calibri" w:cs="Times New Roman"/>
                <w:i/>
                <w:sz w:val="22"/>
              </w:rPr>
            </m:ctrlPr>
          </m:sSubPr>
          <m:e>
            <m:r>
              <w:rPr>
                <w:rFonts w:ascii="Cambria Math" w:eastAsia="Calibri" w:hAnsi="Calibri" w:cs="Times New Roman"/>
                <w:sz w:val="22"/>
              </w:rPr>
              <m:t>I</m:t>
            </m:r>
          </m:e>
          <m:sub>
            <m:r>
              <w:rPr>
                <w:rFonts w:ascii="Cambria Math" w:eastAsia="Calibri" w:hAnsi="Calibri" w:cs="Times New Roman"/>
                <w:sz w:val="22"/>
              </w:rPr>
              <m:t>vol</m:t>
            </m:r>
          </m:sub>
        </m:sSub>
        <m:r>
          <w:rPr>
            <w:rFonts w:ascii="Cambria Math" w:eastAsia="Calibri" w:hAnsi="Calibri" w:cs="Times New Roman"/>
            <w:sz w:val="22"/>
          </w:rPr>
          <m:t>xL=</m:t>
        </m:r>
        <m:f>
          <m:fPr>
            <m:ctrlPr>
              <w:rPr>
                <w:rFonts w:ascii="Cambria Math" w:eastAsia="Calibri" w:hAnsi="Calibri" w:cs="Times New Roman"/>
                <w:i/>
                <w:sz w:val="22"/>
              </w:rPr>
            </m:ctrlPr>
          </m:fPr>
          <m:num>
            <m:r>
              <w:rPr>
                <w:rFonts w:ascii="Cambria Math" w:eastAsia="Calibri" w:hAnsi="Calibri" w:cs="Times New Roman"/>
                <w:sz w:val="22"/>
              </w:rPr>
              <m:t>L</m:t>
            </m:r>
          </m:num>
          <m:den>
            <m:r>
              <w:rPr>
                <w:rFonts w:ascii="Cambria Math" w:eastAsia="Calibri" w:hAnsi="Calibri" w:cs="Times New Roman"/>
                <w:sz w:val="22"/>
              </w:rPr>
              <m:t>p</m:t>
            </m:r>
          </m:den>
        </m:f>
        <m:r>
          <w:rPr>
            <w:rFonts w:ascii="Cambria Math" w:eastAsia="Calibri" w:hAnsi="Calibri" w:cs="Times New Roman"/>
            <w:sz w:val="22"/>
          </w:rPr>
          <m:t>CTD</m:t>
        </m:r>
        <m:sSub>
          <m:sSubPr>
            <m:ctrlPr>
              <w:rPr>
                <w:rFonts w:ascii="Cambria Math" w:eastAsia="Calibri" w:hAnsi="Calibri" w:cs="Times New Roman"/>
                <w:i/>
                <w:sz w:val="22"/>
              </w:rPr>
            </m:ctrlPr>
          </m:sSubPr>
          <m:e>
            <m:r>
              <w:rPr>
                <w:rFonts w:ascii="Cambria Math" w:eastAsia="Calibri" w:hAnsi="Calibri" w:cs="Times New Roman"/>
                <w:sz w:val="22"/>
              </w:rPr>
              <m:t>I</m:t>
            </m:r>
          </m:e>
          <m:sub>
            <m:r>
              <w:rPr>
                <w:rFonts w:ascii="Cambria Math" w:eastAsia="Calibri" w:hAnsi="Calibri" w:cs="Times New Roman"/>
                <w:sz w:val="22"/>
              </w:rPr>
              <m:t>w</m:t>
            </m:r>
          </m:sub>
        </m:sSub>
      </m:oMath>
      <w:r w:rsidR="00522C57">
        <w:rPr>
          <w:rFonts w:ascii="Calibri" w:eastAsia="Calibri" w:hAnsi="Calibri" w:cs="Times New Roman"/>
          <w:sz w:val="22"/>
        </w:rPr>
        <w:tab/>
      </w:r>
      <w:r w:rsidR="00C86906">
        <w:rPr>
          <w:rFonts w:ascii="Calibri" w:eastAsia="Calibri" w:hAnsi="Calibri" w:cs="Times New Roman"/>
          <w:sz w:val="22"/>
        </w:rPr>
        <w:tab/>
      </w:r>
      <w:r w:rsidR="00522C57">
        <w:rPr>
          <w:rFonts w:ascii="Calibri" w:eastAsia="Calibri" w:hAnsi="Calibri" w:cs="Times New Roman"/>
          <w:sz w:val="22"/>
        </w:rPr>
        <w:tab/>
      </w:r>
      <w:r w:rsidR="00522C57" w:rsidRPr="00C86906">
        <w:rPr>
          <w:rFonts w:eastAsia="Calibri" w:cs="Times New Roman"/>
          <w:szCs w:val="24"/>
        </w:rPr>
        <w:t>(4)</w:t>
      </w:r>
      <w:r w:rsidR="00064E6C" w:rsidRPr="00C86906">
        <w:rPr>
          <w:rFonts w:eastAsia="Calibri" w:cs="Times New Roman"/>
          <w:position w:val="-28"/>
          <w:szCs w:val="24"/>
        </w:rPr>
        <w:tab/>
      </w:r>
      <w:r w:rsidR="00064E6C" w:rsidRPr="00FE7240">
        <w:rPr>
          <w:rFonts w:ascii="Calibri" w:eastAsia="Calibri" w:hAnsi="Calibri" w:cs="Times New Roman"/>
          <w:position w:val="-28"/>
          <w:sz w:val="22"/>
        </w:rPr>
        <w:tab/>
      </w:r>
    </w:p>
    <w:p w14:paraId="22AD84AA" w14:textId="0248966C" w:rsidR="00D93D59" w:rsidRPr="00FE7240" w:rsidRDefault="00064E6C" w:rsidP="00D93D59">
      <w:pPr>
        <w:spacing w:line="480" w:lineRule="auto"/>
        <w:rPr>
          <w:rFonts w:cs="Times New Roman"/>
          <w:szCs w:val="24"/>
        </w:rPr>
      </w:pPr>
      <w:r w:rsidRPr="00FE7240">
        <w:rPr>
          <w:rFonts w:cs="Times New Roman"/>
          <w:szCs w:val="24"/>
        </w:rPr>
        <w:t>where</w:t>
      </w:r>
      <w:r w:rsidR="00D93D59" w:rsidRPr="00D93D59">
        <w:rPr>
          <w:rFonts w:cs="Times New Roman"/>
          <w:i/>
          <w:szCs w:val="24"/>
        </w:rPr>
        <w:t xml:space="preserve"> </w:t>
      </w:r>
      <w:r w:rsidRPr="00FE7240">
        <w:rPr>
          <w:rFonts w:cs="Times New Roman"/>
          <w:i/>
          <w:szCs w:val="24"/>
        </w:rPr>
        <w:t>L</w:t>
      </w:r>
      <w:r w:rsidRPr="00FE7240">
        <w:rPr>
          <w:rFonts w:cs="Times New Roman"/>
          <w:szCs w:val="24"/>
        </w:rPr>
        <w:t xml:space="preserve"> is the scan length</w:t>
      </w:r>
      <w:r w:rsidR="00FF2405" w:rsidRPr="00FE7240">
        <w:rPr>
          <w:rFonts w:cs="Times New Roman"/>
          <w:szCs w:val="24"/>
        </w:rPr>
        <w:t xml:space="preserve"> </w:t>
      </w:r>
      <w:r w:rsidR="00D93D59" w:rsidRPr="00FE7240">
        <w:rPr>
          <w:rFonts w:cs="Times New Roman"/>
          <w:szCs w:val="24"/>
        </w:rPr>
        <w:t>for the examination</w:t>
      </w:r>
      <w:r w:rsidR="00D93D59">
        <w:rPr>
          <w:rFonts w:cs="Times New Roman"/>
          <w:szCs w:val="24"/>
        </w:rPr>
        <w:t>s</w:t>
      </w:r>
      <w:r w:rsidR="00D93D59" w:rsidRPr="00FE7240">
        <w:rPr>
          <w:rFonts w:cs="Times New Roman"/>
          <w:szCs w:val="24"/>
        </w:rPr>
        <w:t xml:space="preserve"> determined via </w:t>
      </w:r>
    </w:p>
    <w:p w14:paraId="76DF2399" w14:textId="192F999F" w:rsidR="00D93D59" w:rsidRPr="00FE7240" w:rsidRDefault="00D93D59" w:rsidP="005826CA">
      <w:pPr>
        <w:spacing w:line="480" w:lineRule="auto"/>
        <w:rPr>
          <w:rFonts w:cs="Times New Roman"/>
          <w:szCs w:val="24"/>
        </w:rPr>
      </w:pPr>
      <w:r w:rsidRPr="00FE7240">
        <w:rPr>
          <w:rFonts w:cs="Times New Roman"/>
          <w:szCs w:val="24"/>
        </w:rPr>
        <w:tab/>
      </w:r>
      <w:r w:rsidRPr="00FE7240">
        <w:rPr>
          <w:rFonts w:cs="Times New Roman"/>
          <w:szCs w:val="24"/>
        </w:rPr>
        <w:tab/>
      </w:r>
      <w:r w:rsidRPr="00FE7240">
        <w:rPr>
          <w:rFonts w:cs="Times New Roman"/>
          <w:szCs w:val="24"/>
        </w:rPr>
        <w:tab/>
      </w:r>
      <w:r w:rsidRPr="00FE7240">
        <w:rPr>
          <w:rFonts w:cs="Times New Roman"/>
          <w:szCs w:val="24"/>
        </w:rPr>
        <w:tab/>
      </w:r>
      <w:r w:rsidRPr="00FE7240">
        <w:rPr>
          <w:rFonts w:cs="Times New Roman"/>
          <w:szCs w:val="24"/>
        </w:rPr>
        <w:tab/>
      </w:r>
      <m:oMath>
        <m:r>
          <w:rPr>
            <w:rFonts w:ascii="Cambria Math" w:cs="Times New Roman"/>
            <w:szCs w:val="24"/>
          </w:rPr>
          <m:t>L=</m:t>
        </m:r>
        <m:f>
          <m:fPr>
            <m:ctrlPr>
              <w:rPr>
                <w:rFonts w:ascii="Cambria Math" w:hAnsi="Cambria Math" w:cs="Times New Roman"/>
                <w:i/>
                <w:szCs w:val="24"/>
              </w:rPr>
            </m:ctrlPr>
          </m:fPr>
          <m:num>
            <m:r>
              <w:rPr>
                <w:rFonts w:ascii="Cambria Math" w:cs="Times New Roman"/>
                <w:szCs w:val="24"/>
              </w:rPr>
              <m:t>DLP</m:t>
            </m:r>
          </m:num>
          <m:den>
            <m:r>
              <w:rPr>
                <w:rFonts w:ascii="Cambria Math" w:cs="Times New Roman"/>
                <w:szCs w:val="24"/>
              </w:rPr>
              <m:t>CTD</m:t>
            </m:r>
            <m:sSub>
              <m:sSubPr>
                <m:ctrlPr>
                  <w:rPr>
                    <w:rFonts w:ascii="Cambria Math" w:hAnsi="Cambria Math" w:cs="Times New Roman"/>
                    <w:i/>
                    <w:szCs w:val="24"/>
                  </w:rPr>
                </m:ctrlPr>
              </m:sSubPr>
              <m:e>
                <m:r>
                  <w:rPr>
                    <w:rFonts w:ascii="Cambria Math" w:cs="Times New Roman"/>
                    <w:szCs w:val="24"/>
                  </w:rPr>
                  <m:t>I</m:t>
                </m:r>
              </m:e>
              <m:sub>
                <m:r>
                  <w:rPr>
                    <w:rFonts w:ascii="Cambria Math" w:cs="Times New Roman"/>
                    <w:szCs w:val="24"/>
                  </w:rPr>
                  <m:t>vol</m:t>
                </m:r>
              </m:sub>
            </m:sSub>
          </m:den>
        </m:f>
      </m:oMath>
      <w:r w:rsidRPr="00FE7240">
        <w:rPr>
          <w:rFonts w:cs="Times New Roman"/>
          <w:szCs w:val="24"/>
        </w:rPr>
        <w:tab/>
      </w:r>
      <w:r w:rsidRPr="00FE7240">
        <w:rPr>
          <w:rFonts w:cs="Times New Roman"/>
          <w:szCs w:val="24"/>
        </w:rPr>
        <w:tab/>
      </w:r>
      <w:r w:rsidR="00C86906">
        <w:rPr>
          <w:rFonts w:cs="Times New Roman"/>
          <w:szCs w:val="24"/>
        </w:rPr>
        <w:tab/>
      </w:r>
      <w:r w:rsidRPr="00FE7240">
        <w:rPr>
          <w:rFonts w:cs="Times New Roman"/>
          <w:szCs w:val="24"/>
        </w:rPr>
        <w:tab/>
      </w:r>
      <w:r>
        <w:rPr>
          <w:rFonts w:cs="Times New Roman"/>
          <w:szCs w:val="24"/>
        </w:rPr>
        <w:t>(5)</w:t>
      </w:r>
      <w:r w:rsidRPr="00FE7240">
        <w:rPr>
          <w:rFonts w:cs="Times New Roman"/>
          <w:szCs w:val="24"/>
        </w:rPr>
        <w:tab/>
      </w:r>
    </w:p>
    <w:p w14:paraId="082F6968" w14:textId="15907383" w:rsidR="001E4CE9" w:rsidRDefault="00AC030E" w:rsidP="00FD4B4B">
      <w:pPr>
        <w:spacing w:line="480" w:lineRule="auto"/>
        <w:ind w:firstLine="720"/>
        <w:rPr>
          <w:rFonts w:cs="Times New Roman"/>
          <w:szCs w:val="24"/>
        </w:rPr>
      </w:pPr>
      <w:r>
        <w:rPr>
          <w:rFonts w:cs="Times New Roman"/>
          <w:szCs w:val="24"/>
        </w:rPr>
        <w:t xml:space="preserve">The </w:t>
      </w:r>
      <w:r w:rsidRPr="00FE7240">
        <w:rPr>
          <w:rFonts w:cs="Times New Roman"/>
          <w:szCs w:val="24"/>
        </w:rPr>
        <w:t>effective dose (</w:t>
      </w:r>
      <w:proofErr w:type="spellStart"/>
      <w:r w:rsidRPr="00FE7240">
        <w:rPr>
          <w:rFonts w:cs="Times New Roman"/>
          <w:i/>
          <w:szCs w:val="24"/>
        </w:rPr>
        <w:t>D</w:t>
      </w:r>
      <w:r w:rsidRPr="00FE7240">
        <w:rPr>
          <w:rFonts w:cs="Times New Roman"/>
          <w:i/>
          <w:szCs w:val="24"/>
          <w:vertAlign w:val="subscript"/>
        </w:rPr>
        <w:t>eff</w:t>
      </w:r>
      <w:proofErr w:type="spellEnd"/>
      <w:r w:rsidRPr="00FE7240">
        <w:rPr>
          <w:rFonts w:cs="Times New Roman"/>
          <w:szCs w:val="24"/>
        </w:rPr>
        <w:t xml:space="preserve">) </w:t>
      </w:r>
      <w:r>
        <w:rPr>
          <w:rFonts w:cs="Times New Roman"/>
          <w:szCs w:val="24"/>
        </w:rPr>
        <w:t xml:space="preserve">is an inference of an individual’s </w:t>
      </w:r>
      <w:r w:rsidRPr="00AC030E">
        <w:rPr>
          <w:rFonts w:cs="Times New Roman"/>
          <w:szCs w:val="24"/>
        </w:rPr>
        <w:t xml:space="preserve">whole-body dose </w:t>
      </w:r>
      <w:r>
        <w:rPr>
          <w:rFonts w:cs="Times New Roman"/>
          <w:szCs w:val="24"/>
        </w:rPr>
        <w:t xml:space="preserve">resulting from </w:t>
      </w:r>
      <w:r w:rsidR="003607CC">
        <w:rPr>
          <w:rFonts w:cs="Times New Roman"/>
          <w:szCs w:val="24"/>
        </w:rPr>
        <w:t>radiation exposures</w:t>
      </w:r>
      <w:r w:rsidR="001C1565">
        <w:rPr>
          <w:rFonts w:cs="Times New Roman"/>
          <w:szCs w:val="24"/>
        </w:rPr>
        <w:t xml:space="preserve"> and </w:t>
      </w:r>
      <w:r w:rsidRPr="00AC030E">
        <w:rPr>
          <w:rFonts w:cs="Times New Roman"/>
          <w:szCs w:val="24"/>
        </w:rPr>
        <w:t xml:space="preserve">relates </w:t>
      </w:r>
      <w:r w:rsidR="003607CC">
        <w:rPr>
          <w:rFonts w:cs="Times New Roman"/>
          <w:szCs w:val="24"/>
        </w:rPr>
        <w:t xml:space="preserve">to </w:t>
      </w:r>
      <w:r w:rsidRPr="00AC030E">
        <w:rPr>
          <w:rFonts w:cs="Times New Roman"/>
          <w:szCs w:val="24"/>
        </w:rPr>
        <w:t xml:space="preserve">the risk resulting from </w:t>
      </w:r>
      <w:r w:rsidR="001C1565">
        <w:rPr>
          <w:rFonts w:cs="Times New Roman"/>
          <w:szCs w:val="24"/>
        </w:rPr>
        <w:t xml:space="preserve">the exposure </w:t>
      </w:r>
      <w:r w:rsidRPr="00AC030E">
        <w:rPr>
          <w:rFonts w:cs="Times New Roman"/>
          <w:szCs w:val="24"/>
        </w:rPr>
        <w:t xml:space="preserve">to </w:t>
      </w:r>
      <w:r w:rsidR="001C1565">
        <w:rPr>
          <w:rFonts w:cs="Times New Roman"/>
          <w:szCs w:val="24"/>
        </w:rPr>
        <w:t xml:space="preserve">the </w:t>
      </w:r>
      <w:r w:rsidRPr="00AC030E">
        <w:rPr>
          <w:rFonts w:cs="Times New Roman"/>
          <w:szCs w:val="24"/>
        </w:rPr>
        <w:t xml:space="preserve">individual </w:t>
      </w:r>
      <w:r w:rsidR="003552AA">
        <w:rPr>
          <w:rFonts w:cs="Times New Roman"/>
          <w:szCs w:val="24"/>
        </w:rPr>
        <w:t>orga</w:t>
      </w:r>
      <w:r w:rsidR="001C1565">
        <w:rPr>
          <w:rFonts w:cs="Times New Roman"/>
          <w:szCs w:val="24"/>
        </w:rPr>
        <w:t xml:space="preserve">n and tissue </w:t>
      </w:r>
      <w:r w:rsidRPr="00AC030E">
        <w:rPr>
          <w:rFonts w:cs="Times New Roman"/>
          <w:szCs w:val="24"/>
        </w:rPr>
        <w:t xml:space="preserve">contributions of </w:t>
      </w:r>
      <w:r w:rsidR="001C1565">
        <w:rPr>
          <w:rFonts w:cs="Times New Roman"/>
          <w:szCs w:val="24"/>
        </w:rPr>
        <w:t xml:space="preserve">the </w:t>
      </w:r>
      <w:r w:rsidRPr="00AC030E">
        <w:rPr>
          <w:rFonts w:cs="Times New Roman"/>
          <w:szCs w:val="24"/>
        </w:rPr>
        <w:t>absorbed doses</w:t>
      </w:r>
      <w:r w:rsidR="001C1565">
        <w:rPr>
          <w:rFonts w:cs="Times New Roman"/>
          <w:szCs w:val="24"/>
        </w:rPr>
        <w:t xml:space="preserve">. </w:t>
      </w:r>
      <w:r w:rsidR="003552AA">
        <w:rPr>
          <w:rFonts w:cs="Times New Roman"/>
          <w:szCs w:val="24"/>
        </w:rPr>
        <w:t xml:space="preserve">It </w:t>
      </w:r>
      <w:r w:rsidRPr="00AC030E">
        <w:rPr>
          <w:rFonts w:cs="Times New Roman"/>
          <w:szCs w:val="24"/>
        </w:rPr>
        <w:t xml:space="preserve">is </w:t>
      </w:r>
      <w:r w:rsidR="003552AA">
        <w:rPr>
          <w:rFonts w:cs="Times New Roman"/>
          <w:szCs w:val="24"/>
        </w:rPr>
        <w:t xml:space="preserve">determined to </w:t>
      </w:r>
      <w:r w:rsidRPr="00AC030E">
        <w:rPr>
          <w:rFonts w:cs="Times New Roman"/>
          <w:szCs w:val="24"/>
        </w:rPr>
        <w:t>assess incidence rates for biological responses such as the stochastic effects.</w:t>
      </w:r>
      <w:r w:rsidR="003552AA">
        <w:rPr>
          <w:rFonts w:cs="Times New Roman"/>
          <w:szCs w:val="24"/>
        </w:rPr>
        <w:t xml:space="preserve"> </w:t>
      </w:r>
      <w:r w:rsidR="001E4CE9">
        <w:rPr>
          <w:rFonts w:cs="Times New Roman"/>
          <w:szCs w:val="24"/>
        </w:rPr>
        <w:t xml:space="preserve">According to </w:t>
      </w:r>
      <w:proofErr w:type="spellStart"/>
      <w:r w:rsidR="00FD4B4B">
        <w:rPr>
          <w:rFonts w:eastAsia="Calibri" w:cs="Times New Roman"/>
          <w:szCs w:val="24"/>
        </w:rPr>
        <w:t>Semelka</w:t>
      </w:r>
      <w:proofErr w:type="spellEnd"/>
      <w:r w:rsidR="00FD4B4B">
        <w:rPr>
          <w:rFonts w:eastAsia="Calibri" w:cs="Times New Roman"/>
          <w:szCs w:val="24"/>
        </w:rPr>
        <w:t xml:space="preserve"> et al., (2</w:t>
      </w:r>
      <w:r w:rsidR="001E4CE9">
        <w:rPr>
          <w:rFonts w:eastAsia="Calibri" w:cs="Times New Roman"/>
          <w:szCs w:val="24"/>
        </w:rPr>
        <w:t>0</w:t>
      </w:r>
      <w:r w:rsidR="00FD4B4B">
        <w:rPr>
          <w:rFonts w:eastAsia="Calibri" w:cs="Times New Roman"/>
          <w:szCs w:val="24"/>
        </w:rPr>
        <w:t xml:space="preserve">07), </w:t>
      </w:r>
      <w:proofErr w:type="spellStart"/>
      <w:r w:rsidR="001E4CE9" w:rsidRPr="007B323B">
        <w:rPr>
          <w:rFonts w:cs="Times New Roman"/>
          <w:i/>
          <w:szCs w:val="24"/>
        </w:rPr>
        <w:t>D</w:t>
      </w:r>
      <w:r w:rsidR="001E4CE9" w:rsidRPr="007B323B">
        <w:rPr>
          <w:rFonts w:cs="Times New Roman"/>
          <w:i/>
          <w:szCs w:val="24"/>
          <w:vertAlign w:val="subscript"/>
        </w:rPr>
        <w:t>e</w:t>
      </w:r>
      <w:r w:rsidR="001E4CE9" w:rsidRPr="007B323B">
        <w:rPr>
          <w:rFonts w:cs="Times New Roman"/>
          <w:i/>
          <w:iCs/>
          <w:szCs w:val="24"/>
          <w:vertAlign w:val="subscript"/>
        </w:rPr>
        <w:t>ff</w:t>
      </w:r>
      <w:proofErr w:type="spellEnd"/>
      <w:r w:rsidR="001E4CE9">
        <w:rPr>
          <w:rFonts w:cs="Times New Roman"/>
          <w:szCs w:val="24"/>
        </w:rPr>
        <w:t xml:space="preserve"> </w:t>
      </w:r>
      <w:r w:rsidR="00FD4B4B">
        <w:rPr>
          <w:rFonts w:cs="Times New Roman"/>
          <w:szCs w:val="24"/>
        </w:rPr>
        <w:t xml:space="preserve">is </w:t>
      </w:r>
      <w:r w:rsidR="003552AA">
        <w:rPr>
          <w:rFonts w:cs="Times New Roman"/>
          <w:szCs w:val="24"/>
        </w:rPr>
        <w:t xml:space="preserve">the </w:t>
      </w:r>
      <w:r w:rsidR="00064E6C" w:rsidRPr="00FE7240">
        <w:rPr>
          <w:rFonts w:cs="Times New Roman"/>
          <w:szCs w:val="24"/>
        </w:rPr>
        <w:t xml:space="preserve">product of an organ's </w:t>
      </w:r>
      <w:r w:rsidR="003552AA">
        <w:rPr>
          <w:rFonts w:cs="Times New Roman"/>
          <w:szCs w:val="24"/>
        </w:rPr>
        <w:t xml:space="preserve">equivalent </w:t>
      </w:r>
      <w:r w:rsidR="00064E6C" w:rsidRPr="00FE7240">
        <w:rPr>
          <w:rFonts w:cs="Times New Roman"/>
          <w:szCs w:val="24"/>
        </w:rPr>
        <w:t xml:space="preserve">dose </w:t>
      </w:r>
      <w:r w:rsidR="003607CC">
        <w:rPr>
          <w:rFonts w:cs="Times New Roman"/>
          <w:szCs w:val="24"/>
        </w:rPr>
        <w:t>(</w:t>
      </w:r>
      <w:r w:rsidR="003607CC" w:rsidRPr="00FD4B4B">
        <w:rPr>
          <w:rFonts w:cs="Times New Roman"/>
          <w:i/>
          <w:szCs w:val="24"/>
        </w:rPr>
        <w:t>H</w:t>
      </w:r>
      <w:r w:rsidR="003607CC" w:rsidRPr="00FD4B4B">
        <w:rPr>
          <w:rFonts w:cs="Times New Roman"/>
          <w:i/>
          <w:szCs w:val="24"/>
          <w:vertAlign w:val="subscript"/>
        </w:rPr>
        <w:t>T</w:t>
      </w:r>
      <w:r w:rsidR="003607CC">
        <w:rPr>
          <w:rFonts w:cs="Times New Roman"/>
          <w:szCs w:val="24"/>
        </w:rPr>
        <w:t xml:space="preserve">) </w:t>
      </w:r>
      <w:r w:rsidR="00064E6C" w:rsidRPr="00FE7240">
        <w:rPr>
          <w:rFonts w:cs="Times New Roman"/>
          <w:szCs w:val="24"/>
        </w:rPr>
        <w:t>and radiosensitivity which offers a whole-body dose with the same risk as a partial dose provided by a localized radiologic procedure</w:t>
      </w:r>
      <w:r w:rsidR="001E4CE9">
        <w:rPr>
          <w:rFonts w:cs="Times New Roman"/>
          <w:szCs w:val="24"/>
        </w:rPr>
        <w:t xml:space="preserve">. It </w:t>
      </w:r>
      <w:r w:rsidR="00064E6C" w:rsidRPr="00FE7240">
        <w:rPr>
          <w:rFonts w:cs="Times New Roman"/>
          <w:szCs w:val="24"/>
        </w:rPr>
        <w:t xml:space="preserve">is </w:t>
      </w:r>
      <w:r w:rsidR="003607CC">
        <w:rPr>
          <w:rFonts w:cs="Times New Roman"/>
          <w:szCs w:val="24"/>
        </w:rPr>
        <w:t xml:space="preserve">dependent on </w:t>
      </w:r>
      <w:r w:rsidR="001E4CE9" w:rsidRPr="00FE7240">
        <w:rPr>
          <w:rFonts w:cs="Times New Roman"/>
          <w:szCs w:val="24"/>
        </w:rPr>
        <w:t>patient size, imaging parameters and scanner technology</w:t>
      </w:r>
      <w:r w:rsidR="0066417C">
        <w:rPr>
          <w:rFonts w:cs="Times New Roman"/>
          <w:szCs w:val="24"/>
        </w:rPr>
        <w:t>,</w:t>
      </w:r>
      <w:r w:rsidR="003607CC">
        <w:rPr>
          <w:rFonts w:cs="Times New Roman"/>
          <w:szCs w:val="24"/>
        </w:rPr>
        <w:t xml:space="preserve"> </w:t>
      </w:r>
      <w:r w:rsidR="001E4CE9">
        <w:rPr>
          <w:rFonts w:cs="Times New Roman"/>
          <w:szCs w:val="24"/>
        </w:rPr>
        <w:t xml:space="preserve">and </w:t>
      </w:r>
      <w:r w:rsidR="00AE6E90">
        <w:rPr>
          <w:rFonts w:cs="Times New Roman"/>
          <w:szCs w:val="24"/>
        </w:rPr>
        <w:t xml:space="preserve">is </w:t>
      </w:r>
      <w:r w:rsidR="00064E6C" w:rsidRPr="00FE7240">
        <w:rPr>
          <w:rFonts w:cs="Times New Roman"/>
          <w:szCs w:val="24"/>
        </w:rPr>
        <w:t xml:space="preserve">often clinically </w:t>
      </w:r>
      <w:r w:rsidR="001E4CE9">
        <w:rPr>
          <w:rFonts w:cs="Times New Roman"/>
          <w:szCs w:val="24"/>
        </w:rPr>
        <w:t>estimated from measured DLPs, as re</w:t>
      </w:r>
      <w:r w:rsidR="00064E6C" w:rsidRPr="00FE7240">
        <w:rPr>
          <w:rFonts w:cs="Times New Roman"/>
          <w:szCs w:val="24"/>
        </w:rPr>
        <w:t>ported in the literature</w:t>
      </w:r>
      <w:r w:rsidR="001E4CE9" w:rsidRPr="001E4CE9">
        <w:rPr>
          <w:rFonts w:eastAsia="Calibri" w:cs="Times New Roman"/>
          <w:szCs w:val="24"/>
        </w:rPr>
        <w:t xml:space="preserve"> </w:t>
      </w:r>
      <w:r w:rsidR="001E4CE9">
        <w:rPr>
          <w:rFonts w:eastAsia="Calibri" w:cs="Times New Roman"/>
          <w:szCs w:val="24"/>
        </w:rPr>
        <w:t>(</w:t>
      </w:r>
      <w:proofErr w:type="spellStart"/>
      <w:r w:rsidR="001E4CE9" w:rsidRPr="001E4CE9">
        <w:rPr>
          <w:rFonts w:eastAsia="Calibri" w:cs="Times New Roman"/>
          <w:szCs w:val="24"/>
        </w:rPr>
        <w:t>Sodickson</w:t>
      </w:r>
      <w:proofErr w:type="spellEnd"/>
      <w:r w:rsidR="001E4CE9">
        <w:rPr>
          <w:rFonts w:eastAsia="Calibri" w:cs="Times New Roman"/>
          <w:szCs w:val="24"/>
        </w:rPr>
        <w:t xml:space="preserve"> </w:t>
      </w:r>
      <w:r w:rsidR="00AE6E90">
        <w:rPr>
          <w:rFonts w:eastAsia="Calibri" w:cs="Times New Roman"/>
          <w:szCs w:val="24"/>
        </w:rPr>
        <w:t>et</w:t>
      </w:r>
      <w:r w:rsidR="001E4CE9">
        <w:rPr>
          <w:rFonts w:eastAsia="Calibri" w:cs="Times New Roman"/>
          <w:szCs w:val="24"/>
        </w:rPr>
        <w:t xml:space="preserve"> al.</w:t>
      </w:r>
      <w:r w:rsidR="001E4CE9">
        <w:rPr>
          <w:rFonts w:cs="Times New Roman"/>
          <w:szCs w:val="24"/>
        </w:rPr>
        <w:t xml:space="preserve">, 2009). </w:t>
      </w:r>
    </w:p>
    <w:p w14:paraId="1FE9CA4B" w14:textId="5B68A4B7" w:rsidR="00064E6C" w:rsidRPr="00FE7240" w:rsidRDefault="00064E6C" w:rsidP="00FD4B4B">
      <w:pPr>
        <w:spacing w:line="480" w:lineRule="auto"/>
        <w:ind w:firstLine="720"/>
        <w:rPr>
          <w:rFonts w:cs="Times New Roman"/>
          <w:szCs w:val="24"/>
        </w:rPr>
      </w:pPr>
      <w:r w:rsidRPr="00FE7240">
        <w:rPr>
          <w:rFonts w:eastAsia="Times New Roman" w:cs="Times New Roman"/>
          <w:szCs w:val="24"/>
        </w:rPr>
        <w:t xml:space="preserve">Quantitatively, </w:t>
      </w:r>
      <w:proofErr w:type="spellStart"/>
      <w:r w:rsidRPr="007B323B">
        <w:rPr>
          <w:rFonts w:cs="Times New Roman"/>
          <w:i/>
          <w:szCs w:val="24"/>
        </w:rPr>
        <w:t>D</w:t>
      </w:r>
      <w:r w:rsidRPr="007B323B">
        <w:rPr>
          <w:rFonts w:cs="Times New Roman"/>
          <w:i/>
          <w:szCs w:val="24"/>
          <w:vertAlign w:val="subscript"/>
        </w:rPr>
        <w:t>e</w:t>
      </w:r>
      <w:r w:rsidRPr="007B323B">
        <w:rPr>
          <w:rFonts w:cs="Times New Roman"/>
          <w:i/>
          <w:iCs/>
          <w:szCs w:val="24"/>
          <w:vertAlign w:val="subscript"/>
        </w:rPr>
        <w:t>ff</w:t>
      </w:r>
      <w:proofErr w:type="spellEnd"/>
      <w:r w:rsidRPr="007B323B">
        <w:rPr>
          <w:rFonts w:cs="Times New Roman"/>
          <w:i/>
          <w:szCs w:val="24"/>
        </w:rPr>
        <w:t xml:space="preserve"> </w:t>
      </w:r>
      <w:r w:rsidR="001E4CE9">
        <w:rPr>
          <w:rFonts w:cs="Times New Roman"/>
          <w:szCs w:val="24"/>
        </w:rPr>
        <w:t xml:space="preserve">for </w:t>
      </w:r>
      <w:r w:rsidRPr="00FE7240">
        <w:rPr>
          <w:rFonts w:cs="Times New Roman"/>
          <w:szCs w:val="24"/>
        </w:rPr>
        <w:t xml:space="preserve">a patient </w:t>
      </w:r>
      <w:r>
        <w:rPr>
          <w:rFonts w:cs="Times New Roman"/>
          <w:szCs w:val="24"/>
        </w:rPr>
        <w:t xml:space="preserve">can be </w:t>
      </w:r>
      <w:r w:rsidRPr="00FE7240">
        <w:rPr>
          <w:rFonts w:cs="Times New Roman"/>
          <w:szCs w:val="24"/>
        </w:rPr>
        <w:t xml:space="preserve">calculated from the product of DLP and a conversion factor coefficient </w:t>
      </w:r>
      <w:r>
        <w:rPr>
          <w:rFonts w:cs="Times New Roman"/>
          <w:szCs w:val="24"/>
        </w:rPr>
        <w:t>(</w:t>
      </w:r>
      <w:r w:rsidRPr="00064E6C">
        <w:rPr>
          <w:rFonts w:cs="Times New Roman"/>
          <w:i/>
          <w:szCs w:val="24"/>
        </w:rPr>
        <w:t>k</w:t>
      </w:r>
      <w:r>
        <w:rPr>
          <w:rFonts w:cs="Times New Roman"/>
          <w:szCs w:val="24"/>
        </w:rPr>
        <w:t xml:space="preserve">) </w:t>
      </w:r>
      <w:r w:rsidRPr="00FE7240">
        <w:rPr>
          <w:rFonts w:cs="Times New Roman"/>
          <w:szCs w:val="24"/>
        </w:rPr>
        <w:t xml:space="preserve">for the specific body region </w:t>
      </w:r>
      <w:r w:rsidR="001E4CE9">
        <w:rPr>
          <w:rFonts w:cs="Times New Roman"/>
          <w:szCs w:val="24"/>
        </w:rPr>
        <w:t>(Bra</w:t>
      </w:r>
      <w:r w:rsidR="0006138A">
        <w:rPr>
          <w:rFonts w:cs="Times New Roman"/>
          <w:szCs w:val="24"/>
        </w:rPr>
        <w:t>dy et al., 2015;</w:t>
      </w:r>
      <w:r w:rsidR="001E4CE9">
        <w:rPr>
          <w:rFonts w:cs="Times New Roman"/>
          <w:szCs w:val="24"/>
        </w:rPr>
        <w:t xml:space="preserve"> </w:t>
      </w:r>
      <w:proofErr w:type="spellStart"/>
      <w:r w:rsidR="001E4CE9">
        <w:rPr>
          <w:rFonts w:cs="Times New Roman"/>
          <w:szCs w:val="24"/>
        </w:rPr>
        <w:t>Postorini</w:t>
      </w:r>
      <w:proofErr w:type="spellEnd"/>
      <w:r w:rsidR="001E4CE9">
        <w:rPr>
          <w:rFonts w:cs="Times New Roman"/>
          <w:szCs w:val="24"/>
        </w:rPr>
        <w:t xml:space="preserve"> et al., 2021) </w:t>
      </w:r>
      <w:r>
        <w:rPr>
          <w:rFonts w:eastAsia="Times New Roman" w:cs="Times New Roman"/>
          <w:szCs w:val="24"/>
        </w:rPr>
        <w:t xml:space="preserve">as </w:t>
      </w:r>
      <w:r w:rsidRPr="00FE7240">
        <w:rPr>
          <w:rFonts w:eastAsia="Times New Roman" w:cs="Times New Roman"/>
          <w:szCs w:val="24"/>
        </w:rPr>
        <w:t xml:space="preserve"> </w:t>
      </w:r>
    </w:p>
    <w:p w14:paraId="70C921C6" w14:textId="7DF7DB3B" w:rsidR="003607CC" w:rsidRDefault="00000000" w:rsidP="005826CA">
      <w:pPr>
        <w:spacing w:line="480" w:lineRule="auto"/>
        <w:ind w:left="2880" w:firstLine="720"/>
        <w:jc w:val="center"/>
        <w:rPr>
          <w:rFonts w:eastAsia="Times New Roman" w:cs="Times New Roman"/>
          <w:iCs/>
          <w:szCs w:val="24"/>
        </w:rPr>
      </w:pPr>
      <m:oMath>
        <m:sSub>
          <m:sSubPr>
            <m:ctrlPr>
              <w:rPr>
                <w:rFonts w:ascii="Cambria Math" w:eastAsia="Calibri" w:hAnsi="Calibri" w:cs="Times New Roman"/>
                <w:i/>
                <w:sz w:val="22"/>
              </w:rPr>
            </m:ctrlPr>
          </m:sSubPr>
          <m:e>
            <m:r>
              <w:rPr>
                <w:rFonts w:ascii="Cambria Math" w:eastAsia="Calibri" w:hAnsi="Calibri" w:cs="Times New Roman"/>
                <w:sz w:val="22"/>
              </w:rPr>
              <m:t>D</m:t>
            </m:r>
          </m:e>
          <m:sub>
            <m:r>
              <w:rPr>
                <w:rFonts w:ascii="Cambria Math" w:eastAsia="Calibri" w:hAnsi="Calibri" w:cs="Times New Roman"/>
                <w:sz w:val="22"/>
              </w:rPr>
              <m:t>eff</m:t>
            </m:r>
          </m:sub>
        </m:sSub>
        <m:r>
          <w:rPr>
            <w:rFonts w:ascii="Cambria Math" w:eastAsia="Calibri" w:hAnsi="Calibri" w:cs="Times New Roman"/>
            <w:sz w:val="22"/>
          </w:rPr>
          <m:t>=</m:t>
        </m:r>
        <m:nary>
          <m:naryPr>
            <m:chr m:val="∑"/>
            <m:subHide m:val="1"/>
            <m:supHide m:val="1"/>
            <m:ctrlPr>
              <w:rPr>
                <w:rFonts w:ascii="Cambria Math" w:eastAsia="Calibri" w:hAnsi="Calibri" w:cs="Times New Roman"/>
                <w:i/>
                <w:sz w:val="22"/>
              </w:rPr>
            </m:ctrlPr>
          </m:naryPr>
          <m:sub/>
          <m:sup/>
          <m:e>
            <m:sSub>
              <m:sSubPr>
                <m:ctrlPr>
                  <w:rPr>
                    <w:rFonts w:ascii="Cambria Math" w:eastAsia="Calibri" w:hAnsi="Calibri" w:cs="Times New Roman"/>
                    <w:i/>
                    <w:sz w:val="22"/>
                  </w:rPr>
                </m:ctrlPr>
              </m:sSubPr>
              <m:e>
                <m:r>
                  <w:rPr>
                    <w:rFonts w:ascii="Cambria Math" w:eastAsia="Calibri" w:hAnsi="Calibri" w:cs="Times New Roman"/>
                    <w:sz w:val="22"/>
                  </w:rPr>
                  <m:t>W</m:t>
                </m:r>
              </m:e>
              <m:sub>
                <m:r>
                  <w:rPr>
                    <w:rFonts w:ascii="Cambria Math" w:eastAsia="Calibri" w:hAnsi="Calibri" w:cs="Times New Roman"/>
                    <w:sz w:val="22"/>
                  </w:rPr>
                  <m:t>t</m:t>
                </m:r>
              </m:sub>
            </m:sSub>
            <m:sSub>
              <m:sSubPr>
                <m:ctrlPr>
                  <w:rPr>
                    <w:rFonts w:ascii="Cambria Math" w:eastAsia="Calibri" w:hAnsi="Calibri" w:cs="Times New Roman"/>
                    <w:i/>
                    <w:sz w:val="22"/>
                  </w:rPr>
                </m:ctrlPr>
              </m:sSubPr>
              <m:e>
                <m:r>
                  <w:rPr>
                    <w:rFonts w:ascii="Cambria Math" w:eastAsia="Calibri" w:hAnsi="Calibri" w:cs="Times New Roman"/>
                    <w:sz w:val="22"/>
                  </w:rPr>
                  <m:t>H</m:t>
                </m:r>
              </m:e>
              <m:sub>
                <m:r>
                  <w:rPr>
                    <w:rFonts w:ascii="Cambria Math" w:eastAsia="Calibri" w:hAnsi="Calibri" w:cs="Times New Roman"/>
                    <w:sz w:val="22"/>
                  </w:rPr>
                  <m:t>t</m:t>
                </m:r>
              </m:sub>
            </m:sSub>
            <m:ctrlPr>
              <w:rPr>
                <w:rFonts w:ascii="Cambria Math" w:eastAsia="Calibri" w:hAnsi="Cambria Math" w:cs="Times New Roman"/>
                <w:i/>
                <w:sz w:val="22"/>
              </w:rPr>
            </m:ctrlPr>
          </m:e>
        </m:nary>
      </m:oMath>
      <w:r w:rsidR="00064E6C" w:rsidRPr="00FE7240">
        <w:rPr>
          <w:rFonts w:eastAsia="Times New Roman" w:cs="Times New Roman"/>
          <w:iCs/>
          <w:szCs w:val="24"/>
        </w:rPr>
        <w:t xml:space="preserve"> </w:t>
      </w:r>
      <w:r w:rsidR="00522C57">
        <w:rPr>
          <w:rFonts w:eastAsia="Times New Roman" w:cs="Times New Roman"/>
          <w:iCs/>
          <w:szCs w:val="24"/>
        </w:rPr>
        <w:tab/>
      </w:r>
      <w:r w:rsidR="00522C57">
        <w:rPr>
          <w:rFonts w:eastAsia="Times New Roman" w:cs="Times New Roman"/>
          <w:iCs/>
          <w:szCs w:val="24"/>
        </w:rPr>
        <w:tab/>
      </w:r>
      <w:r w:rsidR="00522C57">
        <w:rPr>
          <w:rFonts w:eastAsia="Times New Roman" w:cs="Times New Roman"/>
          <w:iCs/>
          <w:szCs w:val="24"/>
        </w:rPr>
        <w:tab/>
      </w:r>
      <w:r w:rsidR="00D93D59">
        <w:rPr>
          <w:rFonts w:eastAsia="Times New Roman" w:cs="Times New Roman"/>
          <w:iCs/>
          <w:szCs w:val="24"/>
        </w:rPr>
        <w:t>(6</w:t>
      </w:r>
      <w:r w:rsidR="00522C57">
        <w:rPr>
          <w:rFonts w:eastAsia="Times New Roman" w:cs="Times New Roman"/>
          <w:iCs/>
          <w:szCs w:val="24"/>
        </w:rPr>
        <w:t>)</w:t>
      </w:r>
      <w:r w:rsidR="00522C57">
        <w:rPr>
          <w:rFonts w:eastAsia="Times New Roman" w:cs="Times New Roman"/>
          <w:iCs/>
          <w:szCs w:val="24"/>
        </w:rPr>
        <w:tab/>
      </w:r>
    </w:p>
    <w:p w14:paraId="6702751D" w14:textId="212A5671" w:rsidR="00064E6C" w:rsidRPr="00FE7240" w:rsidRDefault="003607CC" w:rsidP="003607CC">
      <w:pPr>
        <w:spacing w:line="480" w:lineRule="auto"/>
        <w:rPr>
          <w:rFonts w:eastAsia="Times New Roman" w:cs="Times New Roman"/>
          <w:iCs/>
          <w:szCs w:val="24"/>
        </w:rPr>
      </w:pPr>
      <w:r>
        <w:rPr>
          <w:rFonts w:eastAsia="Times New Roman" w:cs="Times New Roman"/>
          <w:iCs/>
          <w:szCs w:val="24"/>
        </w:rPr>
        <w:t xml:space="preserve">and </w:t>
      </w:r>
      <w:r w:rsidR="00064E6C" w:rsidRPr="00FE7240">
        <w:rPr>
          <w:rFonts w:eastAsia="Times New Roman" w:cs="Times New Roman"/>
          <w:iCs/>
          <w:szCs w:val="24"/>
        </w:rPr>
        <w:tab/>
      </w:r>
    </w:p>
    <w:p w14:paraId="6453B984" w14:textId="7B877DCD" w:rsidR="00064E6C" w:rsidRPr="00FE7240" w:rsidRDefault="00000000" w:rsidP="005826CA">
      <w:pPr>
        <w:spacing w:line="480" w:lineRule="auto"/>
        <w:ind w:left="1440" w:firstLine="720"/>
        <w:jc w:val="center"/>
        <w:rPr>
          <w:rFonts w:eastAsia="Times New Roman" w:cs="Times New Roman"/>
          <w:iCs/>
          <w:szCs w:val="24"/>
        </w:rPr>
      </w:pPr>
      <m:oMath>
        <m:sSub>
          <m:sSubPr>
            <m:ctrlPr>
              <w:rPr>
                <w:rFonts w:ascii="Cambria Math" w:eastAsia="Calibri" w:hAnsi="Calibri" w:cs="Times New Roman"/>
                <w:i/>
                <w:sz w:val="22"/>
              </w:rPr>
            </m:ctrlPr>
          </m:sSubPr>
          <m:e>
            <m:r>
              <w:rPr>
                <w:rFonts w:ascii="Cambria Math" w:eastAsia="Calibri" w:hAnsi="Calibri" w:cs="Times New Roman"/>
                <w:sz w:val="22"/>
              </w:rPr>
              <m:t>D</m:t>
            </m:r>
          </m:e>
          <m:sub>
            <m:r>
              <w:rPr>
                <w:rFonts w:ascii="Cambria Math" w:eastAsia="Calibri" w:hAnsi="Calibri" w:cs="Times New Roman"/>
                <w:sz w:val="22"/>
              </w:rPr>
              <m:t>eff</m:t>
            </m:r>
          </m:sub>
        </m:sSub>
        <m:r>
          <w:rPr>
            <w:rFonts w:ascii="Cambria Math" w:eastAsia="Calibri" w:hAnsi="Calibri" w:cs="Times New Roman"/>
            <w:sz w:val="22"/>
          </w:rPr>
          <m:t>=kDLP=k</m:t>
        </m:r>
        <m:d>
          <m:dPr>
            <m:begChr m:val="["/>
            <m:endChr m:val="]"/>
            <m:ctrlPr>
              <w:rPr>
                <w:rFonts w:ascii="Cambria Math" w:eastAsia="Calibri" w:hAnsi="Calibri" w:cs="Times New Roman"/>
                <w:i/>
                <w:sz w:val="22"/>
              </w:rPr>
            </m:ctrlPr>
          </m:dPr>
          <m:e>
            <m:r>
              <w:rPr>
                <w:rFonts w:ascii="Cambria Math" w:eastAsia="Calibri" w:hAnsi="Calibri" w:cs="Times New Roman"/>
                <w:sz w:val="22"/>
              </w:rPr>
              <m:t>CTD</m:t>
            </m:r>
            <m:sSub>
              <m:sSubPr>
                <m:ctrlPr>
                  <w:rPr>
                    <w:rFonts w:ascii="Cambria Math" w:eastAsia="Calibri" w:hAnsi="Calibri" w:cs="Times New Roman"/>
                    <w:i/>
                    <w:sz w:val="22"/>
                  </w:rPr>
                </m:ctrlPr>
              </m:sSubPr>
              <m:e>
                <m:r>
                  <w:rPr>
                    <w:rFonts w:ascii="Cambria Math" w:eastAsia="Calibri" w:hAnsi="Calibri" w:cs="Times New Roman"/>
                    <w:sz w:val="22"/>
                  </w:rPr>
                  <m:t>I</m:t>
                </m:r>
              </m:e>
              <m:sub>
                <m:r>
                  <w:rPr>
                    <w:rFonts w:ascii="Cambria Math" w:eastAsia="Calibri" w:hAnsi="Calibri" w:cs="Times New Roman"/>
                    <w:sz w:val="22"/>
                  </w:rPr>
                  <m:t>vol)</m:t>
                </m:r>
              </m:sub>
            </m:sSub>
            <m:ctrlPr>
              <w:rPr>
                <w:rFonts w:ascii="Cambria Math" w:eastAsia="Calibri" w:hAnsi="Cambria Math" w:cs="Times New Roman"/>
                <w:i/>
                <w:sz w:val="22"/>
              </w:rPr>
            </m:ctrlPr>
          </m:e>
        </m:d>
        <m:r>
          <w:rPr>
            <w:rFonts w:ascii="Cambria Math" w:eastAsia="Calibri" w:hAnsi="Calibri" w:cs="Times New Roman"/>
            <w:sz w:val="22"/>
          </w:rPr>
          <m:t>=</m:t>
        </m:r>
        <m:f>
          <m:fPr>
            <m:ctrlPr>
              <w:rPr>
                <w:rFonts w:ascii="Cambria Math" w:eastAsia="Calibri" w:hAnsi="Calibri" w:cs="Times New Roman"/>
                <w:i/>
                <w:sz w:val="22"/>
              </w:rPr>
            </m:ctrlPr>
          </m:fPr>
          <m:num>
            <m:r>
              <w:rPr>
                <w:rFonts w:ascii="Cambria Math" w:eastAsia="Calibri" w:hAnsi="Calibri" w:cs="Times New Roman"/>
                <w:sz w:val="22"/>
              </w:rPr>
              <m:t>kL</m:t>
            </m:r>
          </m:num>
          <m:den>
            <m:r>
              <w:rPr>
                <w:rFonts w:ascii="Cambria Math" w:eastAsia="Calibri" w:hAnsi="Calibri" w:cs="Times New Roman"/>
                <w:sz w:val="22"/>
              </w:rPr>
              <m:t>p</m:t>
            </m:r>
          </m:den>
        </m:f>
        <m:r>
          <w:rPr>
            <w:rFonts w:ascii="Cambria Math" w:eastAsia="Calibri" w:hAnsi="Calibri" w:cs="Times New Roman"/>
            <w:sz w:val="22"/>
          </w:rPr>
          <m:t>CTD</m:t>
        </m:r>
        <m:sSub>
          <m:sSubPr>
            <m:ctrlPr>
              <w:rPr>
                <w:rFonts w:ascii="Cambria Math" w:eastAsia="Calibri" w:hAnsi="Calibri" w:cs="Times New Roman"/>
                <w:i/>
                <w:sz w:val="22"/>
              </w:rPr>
            </m:ctrlPr>
          </m:sSubPr>
          <m:e>
            <m:r>
              <w:rPr>
                <w:rFonts w:ascii="Cambria Math" w:eastAsia="Calibri" w:hAnsi="Calibri" w:cs="Times New Roman"/>
                <w:sz w:val="22"/>
              </w:rPr>
              <m:t>I</m:t>
            </m:r>
          </m:e>
          <m:sub>
            <m:r>
              <w:rPr>
                <w:rFonts w:ascii="Cambria Math" w:eastAsia="Calibri" w:hAnsi="Calibri" w:cs="Times New Roman"/>
                <w:sz w:val="22"/>
              </w:rPr>
              <m:t>w</m:t>
            </m:r>
          </m:sub>
        </m:sSub>
      </m:oMath>
      <w:r w:rsidR="00064E6C" w:rsidRPr="00FE7240">
        <w:rPr>
          <w:rFonts w:eastAsia="Times New Roman" w:cs="Times New Roman"/>
          <w:iCs/>
          <w:szCs w:val="24"/>
        </w:rPr>
        <w:t xml:space="preserve"> </w:t>
      </w:r>
      <w:r w:rsidR="00064E6C" w:rsidRPr="00FE7240">
        <w:rPr>
          <w:rFonts w:eastAsia="Times New Roman" w:cs="Times New Roman"/>
          <w:iCs/>
          <w:szCs w:val="24"/>
        </w:rPr>
        <w:tab/>
      </w:r>
      <w:r w:rsidR="00522C57">
        <w:rPr>
          <w:rFonts w:eastAsia="Times New Roman" w:cs="Times New Roman"/>
          <w:iCs/>
          <w:szCs w:val="24"/>
        </w:rPr>
        <w:tab/>
      </w:r>
      <w:r w:rsidR="00D93D59">
        <w:rPr>
          <w:rFonts w:eastAsia="Times New Roman" w:cs="Times New Roman"/>
          <w:iCs/>
          <w:szCs w:val="24"/>
        </w:rPr>
        <w:t>(7</w:t>
      </w:r>
      <w:r w:rsidR="00522C57">
        <w:rPr>
          <w:rFonts w:eastAsia="Times New Roman" w:cs="Times New Roman"/>
          <w:iCs/>
          <w:szCs w:val="24"/>
        </w:rPr>
        <w:t>)</w:t>
      </w:r>
      <w:r w:rsidR="00064E6C" w:rsidRPr="00FE7240">
        <w:rPr>
          <w:rFonts w:eastAsia="Times New Roman" w:cs="Times New Roman"/>
          <w:iCs/>
          <w:szCs w:val="24"/>
        </w:rPr>
        <w:tab/>
      </w:r>
    </w:p>
    <w:p w14:paraId="47C40FDF" w14:textId="25FBBF1C" w:rsidR="00E93850" w:rsidRDefault="003607CC" w:rsidP="00E93850">
      <w:pPr>
        <w:spacing w:line="480" w:lineRule="auto"/>
        <w:rPr>
          <w:rFonts w:cs="Times New Roman"/>
          <w:szCs w:val="24"/>
        </w:rPr>
      </w:pPr>
      <w:r>
        <w:rPr>
          <w:rFonts w:eastAsia="Times New Roman" w:cs="Times New Roman"/>
          <w:szCs w:val="24"/>
        </w:rPr>
        <w:t>w</w:t>
      </w:r>
      <w:r w:rsidR="00064E6C" w:rsidRPr="00FE7240">
        <w:rPr>
          <w:rFonts w:eastAsia="Times New Roman" w:cs="Times New Roman"/>
          <w:szCs w:val="24"/>
        </w:rPr>
        <w:t>here</w:t>
      </w:r>
      <w:r>
        <w:rPr>
          <w:rFonts w:eastAsia="Times New Roman" w:cs="Times New Roman"/>
          <w:szCs w:val="24"/>
        </w:rPr>
        <w:t xml:space="preserve"> </w:t>
      </w:r>
      <w:proofErr w:type="spellStart"/>
      <w:proofErr w:type="gramStart"/>
      <w:r w:rsidR="00064E6C" w:rsidRPr="00FE7240">
        <w:rPr>
          <w:rFonts w:eastAsia="Times New Roman" w:cs="Times New Roman"/>
          <w:i/>
          <w:szCs w:val="24"/>
        </w:rPr>
        <w:t>W</w:t>
      </w:r>
      <w:r w:rsidR="00064E6C" w:rsidRPr="00FE7240">
        <w:rPr>
          <w:rFonts w:eastAsia="Times New Roman" w:cs="Times New Roman"/>
          <w:i/>
          <w:szCs w:val="24"/>
          <w:vertAlign w:val="subscript"/>
        </w:rPr>
        <w:t>t</w:t>
      </w:r>
      <w:proofErr w:type="spellEnd"/>
      <w:r w:rsidR="00064E6C" w:rsidRPr="00FE7240">
        <w:rPr>
          <w:rFonts w:eastAsia="Times New Roman" w:cs="Times New Roman"/>
          <w:szCs w:val="24"/>
          <w:vertAlign w:val="subscript"/>
        </w:rPr>
        <w:t xml:space="preserve">  </w:t>
      </w:r>
      <w:proofErr w:type="spellStart"/>
      <w:r w:rsidR="00064E6C" w:rsidRPr="00FE7240">
        <w:rPr>
          <w:rFonts w:eastAsia="Times New Roman" w:cs="Times New Roman"/>
          <w:szCs w:val="24"/>
        </w:rPr>
        <w:t>istissue</w:t>
      </w:r>
      <w:proofErr w:type="spellEnd"/>
      <w:proofErr w:type="gramEnd"/>
      <w:r w:rsidR="00064E6C" w:rsidRPr="00FE7240">
        <w:rPr>
          <w:rFonts w:eastAsia="Times New Roman" w:cs="Times New Roman"/>
          <w:szCs w:val="24"/>
        </w:rPr>
        <w:t>-specified weighting factor for tissue or organ</w:t>
      </w:r>
      <w:r w:rsidR="001E4CE9">
        <w:rPr>
          <w:rFonts w:eastAsia="Times New Roman" w:cs="Times New Roman"/>
          <w:szCs w:val="24"/>
        </w:rPr>
        <w:t xml:space="preserve"> (</w:t>
      </w:r>
      <w:r w:rsidR="00064E6C" w:rsidRPr="00FE7240">
        <w:rPr>
          <w:rFonts w:eastAsia="Times New Roman" w:cs="Times New Roman"/>
          <w:i/>
          <w:szCs w:val="24"/>
        </w:rPr>
        <w:t>t</w:t>
      </w:r>
      <w:r w:rsidR="001E4CE9">
        <w:rPr>
          <w:rFonts w:eastAsia="Times New Roman" w:cs="Times New Roman"/>
          <w:szCs w:val="24"/>
        </w:rPr>
        <w:t>)</w:t>
      </w:r>
      <w:r w:rsidR="00064E6C" w:rsidRPr="00FE7240">
        <w:rPr>
          <w:rFonts w:eastAsia="Times New Roman" w:cs="Times New Roman"/>
          <w:szCs w:val="24"/>
        </w:rPr>
        <w:t xml:space="preserve"> under examination</w:t>
      </w:r>
      <w:r>
        <w:rPr>
          <w:rFonts w:eastAsia="Times New Roman" w:cs="Times New Roman"/>
          <w:szCs w:val="24"/>
        </w:rPr>
        <w:t xml:space="preserve">, and </w:t>
      </w:r>
      <w:r w:rsidR="00064E6C" w:rsidRPr="00FE7240">
        <w:rPr>
          <w:rFonts w:cs="Times New Roman"/>
          <w:i/>
          <w:szCs w:val="24"/>
        </w:rPr>
        <w:t>k</w:t>
      </w:r>
      <w:r w:rsidR="00064E6C" w:rsidRPr="00FE7240">
        <w:rPr>
          <w:rFonts w:cs="Times New Roman"/>
          <w:szCs w:val="24"/>
        </w:rPr>
        <w:t>= 0.0023 for head CT scan according to the European guidelines on quality criteria for CT</w:t>
      </w:r>
      <w:r w:rsidR="00064E6C" w:rsidRPr="00FE7240">
        <w:rPr>
          <w:rFonts w:cs="Times New Roman"/>
          <w:color w:val="FF0000"/>
          <w:szCs w:val="24"/>
        </w:rPr>
        <w:t xml:space="preserve"> </w:t>
      </w:r>
      <w:r w:rsidR="00522C57">
        <w:rPr>
          <w:rFonts w:eastAsia="Calibri" w:cs="Times New Roman"/>
          <w:szCs w:val="24"/>
        </w:rPr>
        <w:t>(</w:t>
      </w:r>
      <w:proofErr w:type="spellStart"/>
      <w:r w:rsidR="00522C57">
        <w:rPr>
          <w:rFonts w:eastAsia="Calibri" w:cs="Times New Roman"/>
          <w:szCs w:val="24"/>
        </w:rPr>
        <w:t>B</w:t>
      </w:r>
      <w:r w:rsidR="00522C57" w:rsidRPr="00522C57">
        <w:rPr>
          <w:rFonts w:eastAsia="Calibri" w:cs="Times New Roman"/>
          <w:szCs w:val="24"/>
        </w:rPr>
        <w:t>ongartz</w:t>
      </w:r>
      <w:proofErr w:type="spellEnd"/>
      <w:r w:rsidR="00522C57">
        <w:rPr>
          <w:rFonts w:eastAsia="Calibri" w:cs="Times New Roman"/>
          <w:szCs w:val="24"/>
        </w:rPr>
        <w:t xml:space="preserve"> et al.</w:t>
      </w:r>
      <w:r w:rsidR="00522C57" w:rsidRPr="00522C57">
        <w:rPr>
          <w:rFonts w:eastAsia="Calibri" w:cs="Times New Roman"/>
          <w:szCs w:val="24"/>
        </w:rPr>
        <w:t xml:space="preserve">, </w:t>
      </w:r>
      <w:r w:rsidR="00522C57">
        <w:rPr>
          <w:rFonts w:eastAsia="Calibri" w:cs="Times New Roman"/>
          <w:szCs w:val="24"/>
        </w:rPr>
        <w:t>2000)</w:t>
      </w:r>
      <w:r w:rsidR="00064E6C" w:rsidRPr="00FE7240">
        <w:rPr>
          <w:rFonts w:cs="Times New Roman"/>
          <w:szCs w:val="24"/>
        </w:rPr>
        <w:t xml:space="preserve">. </w:t>
      </w:r>
      <w:r w:rsidR="00E93850">
        <w:rPr>
          <w:rFonts w:cs="Times New Roman"/>
          <w:szCs w:val="24"/>
        </w:rPr>
        <w:t xml:space="preserve">The signal-to-noise ratio (SNR) is a </w:t>
      </w:r>
      <w:r w:rsidR="00FF49F7">
        <w:rPr>
          <w:rFonts w:cs="Times New Roman"/>
          <w:szCs w:val="24"/>
        </w:rPr>
        <w:t>measure</w:t>
      </w:r>
      <w:r w:rsidR="00E93850">
        <w:rPr>
          <w:rFonts w:cs="Times New Roman"/>
          <w:szCs w:val="24"/>
        </w:rPr>
        <w:t xml:space="preserve"> of image quality and is</w:t>
      </w:r>
      <w:r w:rsidR="00FF49F7">
        <w:rPr>
          <w:rFonts w:cs="Times New Roman"/>
          <w:szCs w:val="24"/>
        </w:rPr>
        <w:t xml:space="preserve"> </w:t>
      </w:r>
      <w:r>
        <w:rPr>
          <w:rFonts w:cs="Times New Roman"/>
          <w:szCs w:val="24"/>
        </w:rPr>
        <w:t>define</w:t>
      </w:r>
      <w:r w:rsidR="00E93850">
        <w:rPr>
          <w:rFonts w:cs="Times New Roman"/>
          <w:szCs w:val="24"/>
        </w:rPr>
        <w:t>d</w:t>
      </w:r>
      <w:r w:rsidR="00FF49F7">
        <w:rPr>
          <w:rFonts w:cs="Times New Roman"/>
          <w:szCs w:val="24"/>
        </w:rPr>
        <w:t xml:space="preserve"> </w:t>
      </w:r>
      <w:r w:rsidR="00E93850">
        <w:rPr>
          <w:rFonts w:cs="Times New Roman"/>
          <w:szCs w:val="24"/>
        </w:rPr>
        <w:t xml:space="preserve">as </w:t>
      </w:r>
      <w:r w:rsidR="00FF49F7">
        <w:rPr>
          <w:rFonts w:cs="Times New Roman"/>
          <w:szCs w:val="24"/>
        </w:rPr>
        <w:t xml:space="preserve">the </w:t>
      </w:r>
      <w:r w:rsidR="00FF49F7" w:rsidRPr="00FE7240">
        <w:rPr>
          <w:rFonts w:cs="Times New Roman"/>
          <w:szCs w:val="24"/>
        </w:rPr>
        <w:t xml:space="preserve">ratio </w:t>
      </w:r>
      <w:r w:rsidR="00FF49F7">
        <w:rPr>
          <w:rFonts w:cs="Times New Roman"/>
          <w:szCs w:val="24"/>
        </w:rPr>
        <w:t xml:space="preserve">of </w:t>
      </w:r>
      <w:r w:rsidR="00FF49F7" w:rsidRPr="00FE7240">
        <w:rPr>
          <w:rFonts w:cs="Times New Roman"/>
          <w:szCs w:val="24"/>
        </w:rPr>
        <w:t xml:space="preserve">the mean </w:t>
      </w:r>
      <w:r w:rsidR="00E93850">
        <w:rPr>
          <w:rFonts w:cs="Times New Roman"/>
          <w:szCs w:val="24"/>
        </w:rPr>
        <w:t xml:space="preserve">to the </w:t>
      </w:r>
      <w:r w:rsidR="00FF49F7" w:rsidRPr="00FE7240">
        <w:rPr>
          <w:rFonts w:cs="Times New Roman"/>
          <w:szCs w:val="24"/>
        </w:rPr>
        <w:t>standard deviation</w:t>
      </w:r>
      <w:r w:rsidR="00FF49F7">
        <w:rPr>
          <w:rFonts w:cs="Times New Roman"/>
          <w:szCs w:val="24"/>
        </w:rPr>
        <w:t>s</w:t>
      </w:r>
      <w:r w:rsidR="00FF49F7" w:rsidRPr="00FE7240">
        <w:rPr>
          <w:rFonts w:cs="Times New Roman"/>
          <w:szCs w:val="24"/>
        </w:rPr>
        <w:t xml:space="preserve"> of the pixel value of </w:t>
      </w:r>
      <w:r w:rsidR="00FF49F7">
        <w:rPr>
          <w:rFonts w:cs="Times New Roman"/>
          <w:szCs w:val="24"/>
        </w:rPr>
        <w:t>region</w:t>
      </w:r>
      <w:r w:rsidR="00867CF4">
        <w:rPr>
          <w:rFonts w:cs="Times New Roman"/>
          <w:szCs w:val="24"/>
        </w:rPr>
        <w:t>s</w:t>
      </w:r>
      <w:r w:rsidR="00FF49F7">
        <w:rPr>
          <w:rFonts w:cs="Times New Roman"/>
          <w:szCs w:val="24"/>
        </w:rPr>
        <w:t xml:space="preserve"> of interest (ROIs) </w:t>
      </w:r>
      <w:r w:rsidR="00934CC7">
        <w:rPr>
          <w:rFonts w:cs="Times New Roman"/>
          <w:szCs w:val="24"/>
        </w:rPr>
        <w:t>(</w:t>
      </w:r>
      <w:r w:rsidR="00934CC7">
        <w:rPr>
          <w:rFonts w:eastAsia="Calibri" w:cs="Times New Roman"/>
          <w:szCs w:val="24"/>
        </w:rPr>
        <w:t>Chang et al., 2017)</w:t>
      </w:r>
      <w:r w:rsidR="00FF49F7" w:rsidRPr="00FE7240" w:rsidDel="00E67ED3">
        <w:rPr>
          <w:rFonts w:cs="Times New Roman"/>
          <w:szCs w:val="24"/>
        </w:rPr>
        <w:t xml:space="preserve"> </w:t>
      </w:r>
    </w:p>
    <w:p w14:paraId="25D29509" w14:textId="464DB631" w:rsidR="00873ABD" w:rsidRPr="00FE7240" w:rsidRDefault="00DF27E8" w:rsidP="00E93850">
      <w:pPr>
        <w:spacing w:line="480" w:lineRule="auto"/>
        <w:ind w:firstLine="720"/>
        <w:rPr>
          <w:rFonts w:cs="Times New Roman"/>
          <w:szCs w:val="24"/>
        </w:rPr>
      </w:pPr>
      <w:r w:rsidRPr="00DF27E8">
        <w:rPr>
          <w:rFonts w:cs="Times New Roman"/>
          <w:szCs w:val="24"/>
        </w:rPr>
        <w:t xml:space="preserve">One of the </w:t>
      </w:r>
      <w:r w:rsidR="00BA2FD3" w:rsidRPr="00DF27E8">
        <w:rPr>
          <w:rFonts w:cs="Times New Roman"/>
          <w:szCs w:val="24"/>
        </w:rPr>
        <w:t>central</w:t>
      </w:r>
      <w:r w:rsidRPr="00DF27E8">
        <w:rPr>
          <w:rFonts w:cs="Times New Roman"/>
          <w:szCs w:val="24"/>
        </w:rPr>
        <w:t xml:space="preserve"> </w:t>
      </w:r>
      <w:r w:rsidR="00BA2FD3" w:rsidRPr="00DF27E8">
        <w:rPr>
          <w:rFonts w:cs="Times New Roman"/>
          <w:szCs w:val="24"/>
        </w:rPr>
        <w:t>goals</w:t>
      </w:r>
      <w:r w:rsidRPr="00DF27E8">
        <w:rPr>
          <w:rFonts w:cs="Times New Roman"/>
          <w:szCs w:val="24"/>
        </w:rPr>
        <w:t xml:space="preserve"> of </w:t>
      </w:r>
      <w:r w:rsidR="00BA2FD3">
        <w:rPr>
          <w:rFonts w:cs="Times New Roman"/>
          <w:szCs w:val="24"/>
        </w:rPr>
        <w:t xml:space="preserve">medical </w:t>
      </w:r>
      <w:r w:rsidRPr="00DF27E8">
        <w:rPr>
          <w:rFonts w:cs="Times New Roman"/>
          <w:szCs w:val="24"/>
        </w:rPr>
        <w:t xml:space="preserve">radiation protection is </w:t>
      </w:r>
      <w:r w:rsidR="00BA2FD3">
        <w:rPr>
          <w:rFonts w:cs="Times New Roman"/>
          <w:szCs w:val="24"/>
        </w:rPr>
        <w:t xml:space="preserve">to minimize </w:t>
      </w:r>
      <w:r w:rsidRPr="00DF27E8">
        <w:rPr>
          <w:rFonts w:cs="Times New Roman"/>
          <w:szCs w:val="24"/>
        </w:rPr>
        <w:t xml:space="preserve">the risks of stochastic effects of radiation to </w:t>
      </w:r>
      <w:r w:rsidR="00BA2FD3">
        <w:rPr>
          <w:rFonts w:cs="Times New Roman"/>
          <w:szCs w:val="24"/>
        </w:rPr>
        <w:t xml:space="preserve">levels considered </w:t>
      </w:r>
      <w:r w:rsidRPr="00DF27E8">
        <w:rPr>
          <w:rFonts w:cs="Times New Roman"/>
          <w:szCs w:val="24"/>
        </w:rPr>
        <w:t>as low as reas</w:t>
      </w:r>
      <w:r w:rsidR="00BA2FD3">
        <w:rPr>
          <w:rFonts w:cs="Times New Roman"/>
          <w:szCs w:val="24"/>
        </w:rPr>
        <w:t>onably achievable (ALARA), while dose optimization ensures that minimum patient doses are administered to achieve the desired purpose and image quality</w:t>
      </w:r>
      <w:r w:rsidRPr="00DF27E8">
        <w:rPr>
          <w:rFonts w:cs="Times New Roman"/>
          <w:szCs w:val="24"/>
        </w:rPr>
        <w:t xml:space="preserve">. </w:t>
      </w:r>
      <w:r w:rsidR="00A6672E" w:rsidRPr="00FE7240">
        <w:rPr>
          <w:rFonts w:cs="Times New Roman"/>
          <w:szCs w:val="24"/>
        </w:rPr>
        <w:t>This stu</w:t>
      </w:r>
      <w:r w:rsidR="00E93850">
        <w:rPr>
          <w:rFonts w:cs="Times New Roman"/>
          <w:szCs w:val="24"/>
        </w:rPr>
        <w:t xml:space="preserve">dy, therefore, </w:t>
      </w:r>
      <w:r w:rsidR="00A6672E" w:rsidRPr="00FE7240">
        <w:rPr>
          <w:rFonts w:cs="Times New Roman"/>
          <w:szCs w:val="24"/>
        </w:rPr>
        <w:t xml:space="preserve">investigated a method of optimizing </w:t>
      </w:r>
      <w:r w:rsidR="00E93850">
        <w:rPr>
          <w:rFonts w:cs="Times New Roman"/>
          <w:szCs w:val="24"/>
        </w:rPr>
        <w:t xml:space="preserve">the </w:t>
      </w:r>
      <w:r w:rsidR="00A6672E" w:rsidRPr="00FE7240">
        <w:rPr>
          <w:rFonts w:cs="Times New Roman"/>
          <w:szCs w:val="24"/>
        </w:rPr>
        <w:t xml:space="preserve">dose received by adult patients undergoing CT head examinations while maintaining </w:t>
      </w:r>
      <w:r w:rsidR="00A6672E" w:rsidRPr="00FE7240">
        <w:rPr>
          <w:szCs w:val="24"/>
        </w:rPr>
        <w:t>the quality of the diagnostic image</w:t>
      </w:r>
      <w:r w:rsidR="00564EC8">
        <w:rPr>
          <w:rFonts w:cs="Times New Roman"/>
          <w:szCs w:val="24"/>
        </w:rPr>
        <w:t>. This is important t</w:t>
      </w:r>
      <w:r w:rsidR="00A6672E" w:rsidRPr="00FE7240">
        <w:rPr>
          <w:rFonts w:cs="Times New Roman"/>
          <w:szCs w:val="24"/>
        </w:rPr>
        <w:t xml:space="preserve">o </w:t>
      </w:r>
      <w:r w:rsidR="00EA2E3B" w:rsidRPr="00FE7240">
        <w:rPr>
          <w:rFonts w:cs="Times New Roman"/>
          <w:szCs w:val="24"/>
        </w:rPr>
        <w:t>minimiz</w:t>
      </w:r>
      <w:r w:rsidR="00564EC8">
        <w:rPr>
          <w:rFonts w:cs="Times New Roman"/>
          <w:szCs w:val="24"/>
        </w:rPr>
        <w:t>e</w:t>
      </w:r>
      <w:r w:rsidR="00EA2E3B" w:rsidRPr="00FE7240">
        <w:rPr>
          <w:rFonts w:cs="Times New Roman"/>
          <w:szCs w:val="24"/>
        </w:rPr>
        <w:t xml:space="preserve"> </w:t>
      </w:r>
      <w:r w:rsidR="00E93850">
        <w:rPr>
          <w:rFonts w:cs="Times New Roman"/>
          <w:szCs w:val="24"/>
        </w:rPr>
        <w:t xml:space="preserve">head </w:t>
      </w:r>
      <w:r w:rsidR="00EA2E3B" w:rsidRPr="00FE7240">
        <w:rPr>
          <w:rFonts w:cs="Times New Roman"/>
          <w:szCs w:val="24"/>
        </w:rPr>
        <w:t xml:space="preserve">CT doses and biological effects associated with high </w:t>
      </w:r>
      <w:r w:rsidR="00F42D21" w:rsidRPr="00FE7240">
        <w:rPr>
          <w:rFonts w:cs="Times New Roman"/>
          <w:szCs w:val="24"/>
        </w:rPr>
        <w:t xml:space="preserve">radiation </w:t>
      </w:r>
      <w:r w:rsidR="00EA2E3B" w:rsidRPr="00FE7240">
        <w:rPr>
          <w:rFonts w:cs="Times New Roman"/>
          <w:szCs w:val="24"/>
        </w:rPr>
        <w:t>exposure</w:t>
      </w:r>
      <w:r w:rsidR="00F42D21" w:rsidRPr="00FE7240">
        <w:rPr>
          <w:rFonts w:cs="Times New Roman"/>
          <w:szCs w:val="24"/>
        </w:rPr>
        <w:t>s</w:t>
      </w:r>
      <w:r w:rsidR="00EA2E3B" w:rsidRPr="00FE7240">
        <w:rPr>
          <w:rFonts w:cs="Times New Roman"/>
          <w:szCs w:val="24"/>
        </w:rPr>
        <w:t xml:space="preserve">, </w:t>
      </w:r>
      <w:r w:rsidR="00CF6A4D" w:rsidRPr="00FE7240">
        <w:rPr>
          <w:rFonts w:cs="Times New Roman"/>
          <w:szCs w:val="24"/>
        </w:rPr>
        <w:t xml:space="preserve">provide new protocols for adult </w:t>
      </w:r>
      <w:r w:rsidR="00E93850">
        <w:rPr>
          <w:rFonts w:cs="Times New Roman"/>
          <w:szCs w:val="24"/>
        </w:rPr>
        <w:t xml:space="preserve">head </w:t>
      </w:r>
      <w:r w:rsidR="00CF6A4D" w:rsidRPr="00FE7240">
        <w:rPr>
          <w:rFonts w:cs="Times New Roman"/>
          <w:szCs w:val="24"/>
        </w:rPr>
        <w:t>CT examinations</w:t>
      </w:r>
      <w:r w:rsidR="001F05B3" w:rsidRPr="00FE7240">
        <w:rPr>
          <w:rFonts w:cs="Times New Roman"/>
          <w:szCs w:val="24"/>
        </w:rPr>
        <w:t xml:space="preserve">, </w:t>
      </w:r>
      <w:r w:rsidR="00CF6A4D" w:rsidRPr="00FE7240">
        <w:rPr>
          <w:rFonts w:cs="Times New Roman"/>
          <w:szCs w:val="24"/>
        </w:rPr>
        <w:t>create awareness and educat</w:t>
      </w:r>
      <w:r w:rsidR="001F05B3" w:rsidRPr="00FE7240">
        <w:rPr>
          <w:rFonts w:cs="Times New Roman"/>
          <w:szCs w:val="24"/>
        </w:rPr>
        <w:t xml:space="preserve">ion of </w:t>
      </w:r>
      <w:r w:rsidR="00BA2FD3">
        <w:rPr>
          <w:rFonts w:cs="Times New Roman"/>
          <w:szCs w:val="24"/>
        </w:rPr>
        <w:t>radiographers i</w:t>
      </w:r>
      <w:r w:rsidR="00CF6A4D" w:rsidRPr="00FE7240">
        <w:rPr>
          <w:rFonts w:cs="Times New Roman"/>
          <w:szCs w:val="24"/>
        </w:rPr>
        <w:t xml:space="preserve">n optimizing head CT doses, </w:t>
      </w:r>
      <w:r w:rsidR="00EA2E3B" w:rsidRPr="00FE7240">
        <w:rPr>
          <w:rFonts w:cs="Times New Roman"/>
          <w:szCs w:val="24"/>
        </w:rPr>
        <w:t xml:space="preserve">and </w:t>
      </w:r>
      <w:r w:rsidR="00CF6A4D" w:rsidRPr="00FE7240">
        <w:rPr>
          <w:rFonts w:cs="Times New Roman"/>
          <w:szCs w:val="24"/>
        </w:rPr>
        <w:t xml:space="preserve">thereby </w:t>
      </w:r>
      <w:r w:rsidR="00EA2E3B" w:rsidRPr="00FE7240">
        <w:rPr>
          <w:rFonts w:cs="Times New Roman"/>
          <w:szCs w:val="24"/>
        </w:rPr>
        <w:t xml:space="preserve">enhance patient radiation protection </w:t>
      </w:r>
      <w:r w:rsidR="00AE6E90">
        <w:rPr>
          <w:rFonts w:cs="Times New Roman"/>
          <w:szCs w:val="24"/>
        </w:rPr>
        <w:t>per</w:t>
      </w:r>
      <w:r w:rsidR="00EA2E3B" w:rsidRPr="00FE7240">
        <w:rPr>
          <w:rFonts w:cs="Times New Roman"/>
          <w:szCs w:val="24"/>
        </w:rPr>
        <w:t xml:space="preserve"> </w:t>
      </w:r>
      <w:r w:rsidR="00BA2FD3">
        <w:rPr>
          <w:rFonts w:cs="Times New Roman"/>
          <w:szCs w:val="24"/>
        </w:rPr>
        <w:t xml:space="preserve">the </w:t>
      </w:r>
      <w:r w:rsidR="00EA2E3B" w:rsidRPr="00FE7240">
        <w:rPr>
          <w:rFonts w:cs="Times New Roman"/>
          <w:szCs w:val="24"/>
        </w:rPr>
        <w:t>ALARA principle.</w:t>
      </w:r>
    </w:p>
    <w:p w14:paraId="1B97764F" w14:textId="77777777" w:rsidR="00E7547E" w:rsidRDefault="00E7547E" w:rsidP="00E7547E">
      <w:pPr>
        <w:spacing w:line="240" w:lineRule="auto"/>
        <w:rPr>
          <w:rFonts w:cs="Times New Roman"/>
          <w:b/>
          <w:szCs w:val="24"/>
        </w:rPr>
      </w:pPr>
    </w:p>
    <w:p w14:paraId="6BCF68DF" w14:textId="77777777" w:rsidR="006A6142" w:rsidRPr="006A6142" w:rsidRDefault="00742E6D" w:rsidP="006A6142">
      <w:pPr>
        <w:spacing w:line="480" w:lineRule="auto"/>
        <w:rPr>
          <w:rFonts w:cs="Times New Roman"/>
        </w:rPr>
      </w:pPr>
      <w:r w:rsidRPr="006A6142">
        <w:rPr>
          <w:rFonts w:cs="Times New Roman"/>
          <w:b/>
          <w:szCs w:val="24"/>
        </w:rPr>
        <w:t xml:space="preserve">Materials and </w:t>
      </w:r>
      <w:r w:rsidR="0070390D" w:rsidRPr="006A6142">
        <w:rPr>
          <w:rFonts w:cs="Times New Roman"/>
          <w:b/>
          <w:szCs w:val="24"/>
        </w:rPr>
        <w:t>Method</w:t>
      </w:r>
      <w:r w:rsidRPr="006A6142">
        <w:rPr>
          <w:rFonts w:cs="Times New Roman"/>
          <w:b/>
          <w:szCs w:val="24"/>
        </w:rPr>
        <w:t>s</w:t>
      </w:r>
    </w:p>
    <w:p w14:paraId="1882ECCA" w14:textId="77777777" w:rsidR="006A6142" w:rsidRDefault="006A6142" w:rsidP="006A6142">
      <w:pPr>
        <w:pStyle w:val="ListParagraph"/>
        <w:spacing w:line="480" w:lineRule="auto"/>
        <w:ind w:left="0" w:firstLine="720"/>
        <w:rPr>
          <w:rFonts w:cs="Times New Roman"/>
        </w:rPr>
      </w:pPr>
      <w:r w:rsidRPr="006A6142">
        <w:rPr>
          <w:rFonts w:cs="Times New Roman"/>
        </w:rPr>
        <w:t xml:space="preserve">A retrospective and quasi-experimental design which allowed for alteration of the scan parameters for head CT examinations and non-probability purposive sampling were used in this study which was conducted at the CT unit of the radiology department of a hospital in Ghana. According to </w:t>
      </w:r>
      <w:proofErr w:type="spellStart"/>
      <w:r w:rsidRPr="006A6142">
        <w:rPr>
          <w:rFonts w:cs="Times New Roman"/>
        </w:rPr>
        <w:t>Anim-Sampong</w:t>
      </w:r>
      <w:proofErr w:type="spellEnd"/>
      <w:r w:rsidRPr="006A6142">
        <w:rPr>
          <w:rFonts w:cs="Times New Roman"/>
        </w:rPr>
        <w:t xml:space="preserve"> et al. (2016), adult patients are more commonly referred for CT examinations of the head and other parts of the body than pediatric patients. Therefore, this study consisted of 402 adult patients who presented for head CT examinations at the hospital from January 2020–January 2021.</w:t>
      </w:r>
    </w:p>
    <w:p w14:paraId="45697011" w14:textId="2672ADD1" w:rsidR="006A6142" w:rsidRDefault="006A6142" w:rsidP="006A6142">
      <w:pPr>
        <w:pStyle w:val="ListParagraph"/>
        <w:spacing w:line="480" w:lineRule="auto"/>
        <w:ind w:left="0" w:firstLine="720"/>
        <w:rPr>
          <w:rFonts w:cs="Times New Roman"/>
        </w:rPr>
      </w:pPr>
      <w:r w:rsidRPr="006A6142">
        <w:rPr>
          <w:rFonts w:cs="Times New Roman"/>
        </w:rPr>
        <w:t xml:space="preserve">Constant values of tube voltage, tube current, rotation time, and pitch were used for routine head CT examinations, while scan lengths depending on the coverage area planned on the </w:t>
      </w:r>
      <w:proofErr w:type="spellStart"/>
      <w:r w:rsidRPr="006A6142">
        <w:rPr>
          <w:rFonts w:cs="Times New Roman"/>
        </w:rPr>
        <w:t>scanogram</w:t>
      </w:r>
      <w:proofErr w:type="spellEnd"/>
      <w:r w:rsidRPr="006A6142">
        <w:rPr>
          <w:rFonts w:cs="Times New Roman"/>
        </w:rPr>
        <w:t xml:space="preserve"> and limited to head CT examination with a major focus on the brain varied. These and other head CT scan parametric (slice number, slice thickness, CTDIvol, and DLP) data, as well as patient demographics, were retrospectively retrieved from the Picture Archiving and Communication System (PACS) workstation of the hospital's 640 multi-slice Toshiba </w:t>
      </w:r>
      <w:proofErr w:type="spellStart"/>
      <w:r w:rsidRPr="006A6142">
        <w:rPr>
          <w:rFonts w:cs="Times New Roman"/>
        </w:rPr>
        <w:t>Aquilon</w:t>
      </w:r>
      <w:proofErr w:type="spellEnd"/>
      <w:r w:rsidRPr="006A6142">
        <w:rPr>
          <w:rFonts w:cs="Times New Roman"/>
        </w:rPr>
        <w:t xml:space="preserve"> ONE TSX-301A CT scanner (Table 1) and recorded on the self-designed data collection sheet. The technical specifications of the Toshiba </w:t>
      </w:r>
      <w:proofErr w:type="spellStart"/>
      <w:r w:rsidRPr="006A6142">
        <w:rPr>
          <w:rFonts w:cs="Times New Roman"/>
        </w:rPr>
        <w:t>Aquilon</w:t>
      </w:r>
      <w:proofErr w:type="spellEnd"/>
      <w:r w:rsidRPr="006A6142">
        <w:rPr>
          <w:rFonts w:cs="Times New Roman"/>
        </w:rPr>
        <w:t xml:space="preserve"> ONE TSX-301A CT scanner are presented in Table 2. Quality control (QC) tests to validate the efficiency of the CT scanner have been reported in the literature (Botwe et al., 2021).</w:t>
      </w:r>
    </w:p>
    <w:p w14:paraId="1E3740AA" w14:textId="77777777" w:rsidR="006A6142" w:rsidRDefault="006A6142" w:rsidP="006A6142">
      <w:pPr>
        <w:pStyle w:val="Heading3"/>
        <w:spacing w:line="480" w:lineRule="auto"/>
        <w:rPr>
          <w:rFonts w:cs="Times New Roman"/>
          <w:b/>
        </w:rPr>
      </w:pPr>
    </w:p>
    <w:p w14:paraId="48A156E7" w14:textId="78FD0860" w:rsidR="00791D32" w:rsidRPr="00FE7240" w:rsidRDefault="00791D32" w:rsidP="006A6142">
      <w:pPr>
        <w:pStyle w:val="Heading3"/>
        <w:spacing w:line="480" w:lineRule="auto"/>
        <w:rPr>
          <w:rFonts w:cs="Times New Roman"/>
          <w:b/>
        </w:rPr>
      </w:pPr>
      <w:r w:rsidRPr="00FE7240">
        <w:rPr>
          <w:rFonts w:cs="Times New Roman"/>
          <w:b/>
        </w:rPr>
        <w:t xml:space="preserve">Table </w:t>
      </w:r>
      <w:r>
        <w:rPr>
          <w:rFonts w:cs="Times New Roman"/>
          <w:b/>
        </w:rPr>
        <w:t>1</w:t>
      </w:r>
      <w:r w:rsidRPr="00FE7240">
        <w:rPr>
          <w:rFonts w:cs="Times New Roman"/>
          <w:b/>
        </w:rPr>
        <w:t xml:space="preserve">: </w:t>
      </w:r>
      <w:r>
        <w:rPr>
          <w:rFonts w:cs="Times New Roman"/>
          <w:b/>
        </w:rPr>
        <w:t xml:space="preserve">Patient </w:t>
      </w:r>
      <w:r w:rsidR="00025E04">
        <w:rPr>
          <w:rFonts w:cs="Times New Roman"/>
          <w:b/>
        </w:rPr>
        <w:t>characteristics</w:t>
      </w:r>
      <w:r>
        <w:rPr>
          <w:rFonts w:cs="Times New Roman"/>
          <w:b/>
        </w:rPr>
        <w:t xml:space="preserve">, </w:t>
      </w:r>
      <w:r w:rsidRPr="00791D32">
        <w:rPr>
          <w:rFonts w:cs="Times New Roman"/>
          <w:b/>
        </w:rPr>
        <w:t>exposure factor</w:t>
      </w:r>
      <w:r w:rsidR="00025E04">
        <w:rPr>
          <w:rFonts w:cs="Times New Roman"/>
          <w:b/>
        </w:rPr>
        <w:t xml:space="preserve">s, </w:t>
      </w:r>
      <w:r w:rsidRPr="00791D32">
        <w:rPr>
          <w:rFonts w:cs="Times New Roman"/>
          <w:b/>
        </w:rPr>
        <w:t>and scanning parameters</w:t>
      </w:r>
      <w:r w:rsidRPr="00FE7240">
        <w:rPr>
          <w:rFonts w:cs="Times New Roman"/>
          <w:b/>
        </w:rPr>
        <w:t xml:space="preserve"> </w:t>
      </w:r>
    </w:p>
    <w:tbl>
      <w:tblPr>
        <w:tblStyle w:val="ListTable6Colorful1"/>
        <w:tblW w:w="8905" w:type="dxa"/>
        <w:jc w:val="center"/>
        <w:tblLook w:val="04A0" w:firstRow="1" w:lastRow="0" w:firstColumn="1" w:lastColumn="0" w:noHBand="0" w:noVBand="1"/>
      </w:tblPr>
      <w:tblGrid>
        <w:gridCol w:w="1508"/>
        <w:gridCol w:w="1187"/>
        <w:gridCol w:w="1260"/>
        <w:gridCol w:w="1080"/>
        <w:gridCol w:w="919"/>
        <w:gridCol w:w="431"/>
        <w:gridCol w:w="1260"/>
        <w:gridCol w:w="1260"/>
      </w:tblGrid>
      <w:tr w:rsidR="00791D32" w:rsidRPr="00FE7240" w14:paraId="22C0E4AE" w14:textId="77777777" w:rsidTr="00134038">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508" w:type="dxa"/>
            <w:vMerge w:val="restart"/>
            <w:tcBorders>
              <w:top w:val="single" w:sz="4" w:space="0" w:color="000000" w:themeColor="text1"/>
              <w:bottom w:val="single" w:sz="4" w:space="0" w:color="auto"/>
            </w:tcBorders>
            <w:shd w:val="clear" w:color="auto" w:fill="auto"/>
          </w:tcPr>
          <w:p w14:paraId="708FB1A2" w14:textId="77777777" w:rsidR="00791D32" w:rsidRPr="00FE7240" w:rsidRDefault="00791D32" w:rsidP="00637E75">
            <w:pPr>
              <w:pStyle w:val="Heading3"/>
              <w:spacing w:before="0" w:line="276" w:lineRule="auto"/>
              <w:outlineLvl w:val="2"/>
              <w:rPr>
                <w:b w:val="0"/>
                <w:bCs w:val="0"/>
              </w:rPr>
            </w:pPr>
            <w:r w:rsidRPr="00FE7240">
              <w:rPr>
                <w:b w:val="0"/>
                <w:bCs w:val="0"/>
              </w:rPr>
              <w:t>Age (</w:t>
            </w:r>
            <w:proofErr w:type="spellStart"/>
            <w:r w:rsidRPr="00FE7240">
              <w:rPr>
                <w:b w:val="0"/>
                <w:bCs w:val="0"/>
              </w:rPr>
              <w:t>yrs</w:t>
            </w:r>
            <w:proofErr w:type="spellEnd"/>
            <w:r w:rsidRPr="00FE7240">
              <w:rPr>
                <w:b w:val="0"/>
                <w:bCs w:val="0"/>
              </w:rPr>
              <w:t>)</w:t>
            </w:r>
          </w:p>
        </w:tc>
        <w:tc>
          <w:tcPr>
            <w:tcW w:w="2447" w:type="dxa"/>
            <w:gridSpan w:val="2"/>
            <w:tcBorders>
              <w:bottom w:val="single" w:sz="4" w:space="0" w:color="auto"/>
            </w:tcBorders>
            <w:shd w:val="clear" w:color="auto" w:fill="auto"/>
          </w:tcPr>
          <w:p w14:paraId="539E8C43" w14:textId="77777777" w:rsidR="00791D32" w:rsidRPr="00FE7240" w:rsidRDefault="00791D32" w:rsidP="00637E75">
            <w:pPr>
              <w:pStyle w:val="Heading3"/>
              <w:spacing w:before="0" w:line="276" w:lineRule="auto"/>
              <w:jc w:val="center"/>
              <w:outlineLvl w:val="2"/>
              <w:cnfStyle w:val="100000000000" w:firstRow="1" w:lastRow="0" w:firstColumn="0" w:lastColumn="0" w:oddVBand="0" w:evenVBand="0" w:oddHBand="0" w:evenHBand="0" w:firstRowFirstColumn="0" w:firstRowLastColumn="0" w:lastRowFirstColumn="0" w:lastRowLastColumn="0"/>
              <w:rPr>
                <w:b w:val="0"/>
                <w:bCs w:val="0"/>
              </w:rPr>
            </w:pPr>
            <w:r w:rsidRPr="00FE7240">
              <w:rPr>
                <w:b w:val="0"/>
                <w:bCs w:val="0"/>
              </w:rPr>
              <w:t>Male</w:t>
            </w:r>
          </w:p>
        </w:tc>
        <w:tc>
          <w:tcPr>
            <w:tcW w:w="2430" w:type="dxa"/>
            <w:gridSpan w:val="3"/>
            <w:tcBorders>
              <w:bottom w:val="single" w:sz="4" w:space="0" w:color="auto"/>
            </w:tcBorders>
            <w:shd w:val="clear" w:color="auto" w:fill="auto"/>
          </w:tcPr>
          <w:p w14:paraId="0477BC49" w14:textId="77777777" w:rsidR="00791D32" w:rsidRPr="00FE7240" w:rsidRDefault="00791D32" w:rsidP="00637E75">
            <w:pPr>
              <w:pStyle w:val="Heading3"/>
              <w:spacing w:before="0" w:line="276" w:lineRule="auto"/>
              <w:jc w:val="center"/>
              <w:outlineLvl w:val="2"/>
              <w:cnfStyle w:val="100000000000" w:firstRow="1" w:lastRow="0" w:firstColumn="0" w:lastColumn="0" w:oddVBand="0" w:evenVBand="0" w:oddHBand="0" w:evenHBand="0" w:firstRowFirstColumn="0" w:firstRowLastColumn="0" w:lastRowFirstColumn="0" w:lastRowLastColumn="0"/>
              <w:rPr>
                <w:b w:val="0"/>
                <w:bCs w:val="0"/>
              </w:rPr>
            </w:pPr>
            <w:r w:rsidRPr="00FE7240">
              <w:rPr>
                <w:b w:val="0"/>
                <w:bCs w:val="0"/>
              </w:rPr>
              <w:t>Female</w:t>
            </w:r>
          </w:p>
        </w:tc>
        <w:tc>
          <w:tcPr>
            <w:tcW w:w="2520" w:type="dxa"/>
            <w:gridSpan w:val="2"/>
            <w:tcBorders>
              <w:bottom w:val="single" w:sz="4" w:space="0" w:color="auto"/>
            </w:tcBorders>
            <w:shd w:val="clear" w:color="auto" w:fill="auto"/>
          </w:tcPr>
          <w:p w14:paraId="007EFD1D" w14:textId="77777777" w:rsidR="00791D32" w:rsidRPr="00FE7240" w:rsidRDefault="00791D32" w:rsidP="00637E75">
            <w:pPr>
              <w:pStyle w:val="Heading3"/>
              <w:spacing w:before="0" w:line="276" w:lineRule="auto"/>
              <w:jc w:val="center"/>
              <w:outlineLvl w:val="2"/>
              <w:cnfStyle w:val="100000000000" w:firstRow="1" w:lastRow="0" w:firstColumn="0" w:lastColumn="0" w:oddVBand="0" w:evenVBand="0" w:oddHBand="0" w:evenHBand="0" w:firstRowFirstColumn="0" w:firstRowLastColumn="0" w:lastRowFirstColumn="0" w:lastRowLastColumn="0"/>
              <w:rPr>
                <w:b w:val="0"/>
                <w:bCs w:val="0"/>
              </w:rPr>
            </w:pPr>
            <w:r w:rsidRPr="00FE7240">
              <w:rPr>
                <w:b w:val="0"/>
                <w:bCs w:val="0"/>
              </w:rPr>
              <w:t>Total</w:t>
            </w:r>
          </w:p>
        </w:tc>
      </w:tr>
      <w:tr w:rsidR="00791D32" w:rsidRPr="00FE7240" w14:paraId="55330CB2" w14:textId="77777777" w:rsidTr="00637E75">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508" w:type="dxa"/>
            <w:vMerge/>
            <w:tcBorders>
              <w:top w:val="single" w:sz="4" w:space="0" w:color="000000" w:themeColor="text1"/>
              <w:bottom w:val="single" w:sz="4" w:space="0" w:color="auto"/>
            </w:tcBorders>
            <w:shd w:val="clear" w:color="auto" w:fill="auto"/>
          </w:tcPr>
          <w:p w14:paraId="5D11A1F4" w14:textId="77777777" w:rsidR="00791D32" w:rsidRPr="00FE7240" w:rsidRDefault="00791D32" w:rsidP="00637E75">
            <w:pPr>
              <w:pStyle w:val="Heading3"/>
              <w:spacing w:line="276" w:lineRule="auto"/>
              <w:outlineLvl w:val="2"/>
              <w:rPr>
                <w:b w:val="0"/>
                <w:bCs w:val="0"/>
              </w:rPr>
            </w:pPr>
          </w:p>
        </w:tc>
        <w:tc>
          <w:tcPr>
            <w:tcW w:w="1187" w:type="dxa"/>
            <w:tcBorders>
              <w:top w:val="single" w:sz="4" w:space="0" w:color="auto"/>
              <w:bottom w:val="single" w:sz="4" w:space="0" w:color="auto"/>
            </w:tcBorders>
            <w:shd w:val="clear" w:color="auto" w:fill="auto"/>
          </w:tcPr>
          <w:p w14:paraId="087F0292"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Number</w:t>
            </w:r>
          </w:p>
        </w:tc>
        <w:tc>
          <w:tcPr>
            <w:tcW w:w="1260" w:type="dxa"/>
            <w:tcBorders>
              <w:top w:val="single" w:sz="4" w:space="0" w:color="auto"/>
              <w:bottom w:val="single" w:sz="4" w:space="0" w:color="auto"/>
            </w:tcBorders>
            <w:shd w:val="clear" w:color="auto" w:fill="auto"/>
          </w:tcPr>
          <w:p w14:paraId="0B924CA5"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Percent, %</w:t>
            </w:r>
          </w:p>
        </w:tc>
        <w:tc>
          <w:tcPr>
            <w:tcW w:w="1080" w:type="dxa"/>
            <w:tcBorders>
              <w:top w:val="single" w:sz="4" w:space="0" w:color="auto"/>
              <w:bottom w:val="single" w:sz="4" w:space="0" w:color="auto"/>
            </w:tcBorders>
            <w:shd w:val="clear" w:color="auto" w:fill="auto"/>
          </w:tcPr>
          <w:p w14:paraId="069312DD"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Number</w:t>
            </w:r>
          </w:p>
        </w:tc>
        <w:tc>
          <w:tcPr>
            <w:tcW w:w="1350" w:type="dxa"/>
            <w:gridSpan w:val="2"/>
            <w:tcBorders>
              <w:top w:val="single" w:sz="4" w:space="0" w:color="auto"/>
              <w:bottom w:val="single" w:sz="4" w:space="0" w:color="auto"/>
            </w:tcBorders>
            <w:shd w:val="clear" w:color="auto" w:fill="auto"/>
          </w:tcPr>
          <w:p w14:paraId="53474F3F"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Percent, %</w:t>
            </w:r>
          </w:p>
        </w:tc>
        <w:tc>
          <w:tcPr>
            <w:tcW w:w="1260" w:type="dxa"/>
            <w:tcBorders>
              <w:top w:val="single" w:sz="4" w:space="0" w:color="auto"/>
              <w:bottom w:val="single" w:sz="4" w:space="0" w:color="auto"/>
            </w:tcBorders>
            <w:shd w:val="clear" w:color="auto" w:fill="auto"/>
          </w:tcPr>
          <w:p w14:paraId="71B80F1B"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Number</w:t>
            </w:r>
          </w:p>
        </w:tc>
        <w:tc>
          <w:tcPr>
            <w:tcW w:w="1260" w:type="dxa"/>
            <w:tcBorders>
              <w:top w:val="single" w:sz="4" w:space="0" w:color="auto"/>
              <w:bottom w:val="single" w:sz="4" w:space="0" w:color="auto"/>
            </w:tcBorders>
            <w:shd w:val="clear" w:color="auto" w:fill="auto"/>
          </w:tcPr>
          <w:p w14:paraId="3D287C3D"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Percent, %</w:t>
            </w:r>
          </w:p>
        </w:tc>
      </w:tr>
      <w:tr w:rsidR="00791D32" w:rsidRPr="00FE7240" w14:paraId="7AA45F25" w14:textId="77777777" w:rsidTr="00134038">
        <w:trPr>
          <w:trHeight w:val="341"/>
          <w:jc w:val="center"/>
        </w:trPr>
        <w:tc>
          <w:tcPr>
            <w:cnfStyle w:val="001000000000" w:firstRow="0" w:lastRow="0" w:firstColumn="1" w:lastColumn="0" w:oddVBand="0" w:evenVBand="0" w:oddHBand="0" w:evenHBand="0" w:firstRowFirstColumn="0" w:firstRowLastColumn="0" w:lastRowFirstColumn="0" w:lastRowLastColumn="0"/>
            <w:tcW w:w="1508" w:type="dxa"/>
            <w:tcBorders>
              <w:top w:val="single" w:sz="4" w:space="0" w:color="auto"/>
            </w:tcBorders>
            <w:shd w:val="clear" w:color="auto" w:fill="auto"/>
          </w:tcPr>
          <w:p w14:paraId="227AEF05" w14:textId="77777777" w:rsidR="00791D32" w:rsidRPr="00FE7240" w:rsidRDefault="00791D32" w:rsidP="00637E75">
            <w:pPr>
              <w:pStyle w:val="Heading3"/>
              <w:spacing w:line="276" w:lineRule="auto"/>
              <w:jc w:val="center"/>
              <w:outlineLvl w:val="2"/>
              <w:rPr>
                <w:b w:val="0"/>
                <w:bCs w:val="0"/>
              </w:rPr>
            </w:pPr>
            <w:r w:rsidRPr="00FE7240">
              <w:rPr>
                <w:b w:val="0"/>
                <w:bCs w:val="0"/>
              </w:rPr>
              <w:t>18 – 27</w:t>
            </w:r>
          </w:p>
        </w:tc>
        <w:tc>
          <w:tcPr>
            <w:tcW w:w="1187" w:type="dxa"/>
            <w:tcBorders>
              <w:top w:val="single" w:sz="4" w:space="0" w:color="auto"/>
            </w:tcBorders>
            <w:shd w:val="clear" w:color="auto" w:fill="auto"/>
          </w:tcPr>
          <w:p w14:paraId="61304AF0"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Pr>
                <w:bCs/>
              </w:rPr>
              <w:t>27</w:t>
            </w:r>
          </w:p>
        </w:tc>
        <w:tc>
          <w:tcPr>
            <w:tcW w:w="1260" w:type="dxa"/>
            <w:tcBorders>
              <w:top w:val="single" w:sz="4" w:space="0" w:color="auto"/>
            </w:tcBorders>
            <w:shd w:val="clear" w:color="auto" w:fill="auto"/>
          </w:tcPr>
          <w:p w14:paraId="14B7B4E7"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6.5</w:t>
            </w:r>
          </w:p>
        </w:tc>
        <w:tc>
          <w:tcPr>
            <w:tcW w:w="1080" w:type="dxa"/>
            <w:tcBorders>
              <w:top w:val="single" w:sz="4" w:space="0" w:color="auto"/>
            </w:tcBorders>
            <w:shd w:val="clear" w:color="auto" w:fill="auto"/>
          </w:tcPr>
          <w:p w14:paraId="66A3C1FB"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21</w:t>
            </w:r>
          </w:p>
        </w:tc>
        <w:tc>
          <w:tcPr>
            <w:tcW w:w="1350" w:type="dxa"/>
            <w:gridSpan w:val="2"/>
            <w:tcBorders>
              <w:top w:val="single" w:sz="4" w:space="0" w:color="auto"/>
            </w:tcBorders>
            <w:shd w:val="clear" w:color="auto" w:fill="auto"/>
          </w:tcPr>
          <w:p w14:paraId="33559FA3"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5.2</w:t>
            </w:r>
          </w:p>
        </w:tc>
        <w:tc>
          <w:tcPr>
            <w:tcW w:w="1260" w:type="dxa"/>
            <w:tcBorders>
              <w:top w:val="single" w:sz="4" w:space="0" w:color="auto"/>
            </w:tcBorders>
            <w:shd w:val="clear" w:color="auto" w:fill="auto"/>
          </w:tcPr>
          <w:p w14:paraId="76DA07CE"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4</w:t>
            </w:r>
            <w:r>
              <w:rPr>
                <w:bCs/>
              </w:rPr>
              <w:t>8</w:t>
            </w:r>
          </w:p>
        </w:tc>
        <w:tc>
          <w:tcPr>
            <w:tcW w:w="1260" w:type="dxa"/>
            <w:tcBorders>
              <w:top w:val="single" w:sz="4" w:space="0" w:color="auto"/>
            </w:tcBorders>
            <w:shd w:val="clear" w:color="auto" w:fill="auto"/>
          </w:tcPr>
          <w:p w14:paraId="256A50A4"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11.7</w:t>
            </w:r>
          </w:p>
        </w:tc>
      </w:tr>
      <w:tr w:rsidR="00791D32" w:rsidRPr="00FE7240" w14:paraId="6F5E16E7" w14:textId="77777777" w:rsidTr="00637E75">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508" w:type="dxa"/>
            <w:shd w:val="clear" w:color="auto" w:fill="auto"/>
          </w:tcPr>
          <w:p w14:paraId="0EE2F7CB" w14:textId="77777777" w:rsidR="00791D32" w:rsidRPr="00FE7240" w:rsidRDefault="00791D32" w:rsidP="00637E75">
            <w:pPr>
              <w:pStyle w:val="Heading3"/>
              <w:spacing w:line="276" w:lineRule="auto"/>
              <w:jc w:val="center"/>
              <w:outlineLvl w:val="2"/>
              <w:rPr>
                <w:b w:val="0"/>
                <w:bCs w:val="0"/>
              </w:rPr>
            </w:pPr>
            <w:r w:rsidRPr="00FE7240">
              <w:rPr>
                <w:b w:val="0"/>
                <w:bCs w:val="0"/>
              </w:rPr>
              <w:t>28 – 27</w:t>
            </w:r>
          </w:p>
        </w:tc>
        <w:tc>
          <w:tcPr>
            <w:tcW w:w="1187" w:type="dxa"/>
            <w:shd w:val="clear" w:color="auto" w:fill="auto"/>
          </w:tcPr>
          <w:p w14:paraId="3448E935"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16</w:t>
            </w:r>
          </w:p>
        </w:tc>
        <w:tc>
          <w:tcPr>
            <w:tcW w:w="1260" w:type="dxa"/>
            <w:shd w:val="clear" w:color="auto" w:fill="auto"/>
          </w:tcPr>
          <w:p w14:paraId="6C277483"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4.0</w:t>
            </w:r>
          </w:p>
        </w:tc>
        <w:tc>
          <w:tcPr>
            <w:tcW w:w="1080" w:type="dxa"/>
            <w:shd w:val="clear" w:color="auto" w:fill="auto"/>
          </w:tcPr>
          <w:p w14:paraId="40ADB2C3"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33</w:t>
            </w:r>
          </w:p>
        </w:tc>
        <w:tc>
          <w:tcPr>
            <w:tcW w:w="1350" w:type="dxa"/>
            <w:gridSpan w:val="2"/>
            <w:shd w:val="clear" w:color="auto" w:fill="auto"/>
          </w:tcPr>
          <w:p w14:paraId="62AFAF57"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8.2</w:t>
            </w:r>
          </w:p>
        </w:tc>
        <w:tc>
          <w:tcPr>
            <w:tcW w:w="1260" w:type="dxa"/>
            <w:shd w:val="clear" w:color="auto" w:fill="auto"/>
          </w:tcPr>
          <w:p w14:paraId="08E687E8"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49</w:t>
            </w:r>
          </w:p>
        </w:tc>
        <w:tc>
          <w:tcPr>
            <w:tcW w:w="1260" w:type="dxa"/>
            <w:shd w:val="clear" w:color="auto" w:fill="auto"/>
          </w:tcPr>
          <w:p w14:paraId="0EF886F5"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12.2</w:t>
            </w:r>
          </w:p>
        </w:tc>
      </w:tr>
      <w:tr w:rsidR="00791D32" w:rsidRPr="00FE7240" w14:paraId="4018EF2F" w14:textId="77777777" w:rsidTr="00637E75">
        <w:trPr>
          <w:trHeight w:val="345"/>
          <w:jc w:val="center"/>
        </w:trPr>
        <w:tc>
          <w:tcPr>
            <w:cnfStyle w:val="001000000000" w:firstRow="0" w:lastRow="0" w:firstColumn="1" w:lastColumn="0" w:oddVBand="0" w:evenVBand="0" w:oddHBand="0" w:evenHBand="0" w:firstRowFirstColumn="0" w:firstRowLastColumn="0" w:lastRowFirstColumn="0" w:lastRowLastColumn="0"/>
            <w:tcW w:w="1508" w:type="dxa"/>
            <w:shd w:val="clear" w:color="auto" w:fill="auto"/>
          </w:tcPr>
          <w:p w14:paraId="07A19B13" w14:textId="77777777" w:rsidR="00791D32" w:rsidRPr="00FE7240" w:rsidRDefault="00791D32" w:rsidP="00637E75">
            <w:pPr>
              <w:pStyle w:val="Heading3"/>
              <w:spacing w:line="276" w:lineRule="auto"/>
              <w:jc w:val="center"/>
              <w:outlineLvl w:val="2"/>
              <w:rPr>
                <w:b w:val="0"/>
                <w:bCs w:val="0"/>
              </w:rPr>
            </w:pPr>
            <w:r w:rsidRPr="00FE7240">
              <w:rPr>
                <w:b w:val="0"/>
                <w:bCs w:val="0"/>
              </w:rPr>
              <w:t>38 – 47</w:t>
            </w:r>
          </w:p>
        </w:tc>
        <w:tc>
          <w:tcPr>
            <w:tcW w:w="1187" w:type="dxa"/>
            <w:shd w:val="clear" w:color="auto" w:fill="auto"/>
          </w:tcPr>
          <w:p w14:paraId="5DC6E4D1"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37</w:t>
            </w:r>
          </w:p>
        </w:tc>
        <w:tc>
          <w:tcPr>
            <w:tcW w:w="1260" w:type="dxa"/>
            <w:shd w:val="clear" w:color="auto" w:fill="auto"/>
          </w:tcPr>
          <w:p w14:paraId="3245199E"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9.2</w:t>
            </w:r>
          </w:p>
        </w:tc>
        <w:tc>
          <w:tcPr>
            <w:tcW w:w="1080" w:type="dxa"/>
            <w:shd w:val="clear" w:color="auto" w:fill="auto"/>
          </w:tcPr>
          <w:p w14:paraId="1FF48743"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26</w:t>
            </w:r>
          </w:p>
        </w:tc>
        <w:tc>
          <w:tcPr>
            <w:tcW w:w="1350" w:type="dxa"/>
            <w:gridSpan w:val="2"/>
            <w:shd w:val="clear" w:color="auto" w:fill="auto"/>
          </w:tcPr>
          <w:p w14:paraId="02F5C60C"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6.5</w:t>
            </w:r>
          </w:p>
        </w:tc>
        <w:tc>
          <w:tcPr>
            <w:tcW w:w="1260" w:type="dxa"/>
            <w:shd w:val="clear" w:color="auto" w:fill="auto"/>
          </w:tcPr>
          <w:p w14:paraId="29BB7062"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63</w:t>
            </w:r>
          </w:p>
        </w:tc>
        <w:tc>
          <w:tcPr>
            <w:tcW w:w="1260" w:type="dxa"/>
            <w:shd w:val="clear" w:color="auto" w:fill="auto"/>
          </w:tcPr>
          <w:p w14:paraId="16D33806"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15.7</w:t>
            </w:r>
          </w:p>
        </w:tc>
      </w:tr>
      <w:tr w:rsidR="00791D32" w:rsidRPr="00FE7240" w14:paraId="643C8AE7" w14:textId="77777777" w:rsidTr="00637E75">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508" w:type="dxa"/>
            <w:shd w:val="clear" w:color="auto" w:fill="auto"/>
          </w:tcPr>
          <w:p w14:paraId="179CAFF9" w14:textId="77777777" w:rsidR="00791D32" w:rsidRPr="00FE7240" w:rsidRDefault="00791D32" w:rsidP="00637E75">
            <w:pPr>
              <w:pStyle w:val="Heading3"/>
              <w:spacing w:line="276" w:lineRule="auto"/>
              <w:jc w:val="center"/>
              <w:outlineLvl w:val="2"/>
              <w:rPr>
                <w:b w:val="0"/>
                <w:bCs w:val="0"/>
              </w:rPr>
            </w:pPr>
            <w:r w:rsidRPr="00FE7240">
              <w:rPr>
                <w:b w:val="0"/>
                <w:bCs w:val="0"/>
              </w:rPr>
              <w:t>48 – 57</w:t>
            </w:r>
          </w:p>
        </w:tc>
        <w:tc>
          <w:tcPr>
            <w:tcW w:w="1187" w:type="dxa"/>
            <w:shd w:val="clear" w:color="auto" w:fill="auto"/>
          </w:tcPr>
          <w:p w14:paraId="7117AB63"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32</w:t>
            </w:r>
          </w:p>
        </w:tc>
        <w:tc>
          <w:tcPr>
            <w:tcW w:w="1260" w:type="dxa"/>
            <w:shd w:val="clear" w:color="auto" w:fill="auto"/>
          </w:tcPr>
          <w:p w14:paraId="3416DD31"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8.0</w:t>
            </w:r>
          </w:p>
        </w:tc>
        <w:tc>
          <w:tcPr>
            <w:tcW w:w="1080" w:type="dxa"/>
            <w:shd w:val="clear" w:color="auto" w:fill="auto"/>
          </w:tcPr>
          <w:p w14:paraId="6C306DC0"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43</w:t>
            </w:r>
          </w:p>
        </w:tc>
        <w:tc>
          <w:tcPr>
            <w:tcW w:w="1350" w:type="dxa"/>
            <w:gridSpan w:val="2"/>
            <w:shd w:val="clear" w:color="auto" w:fill="auto"/>
          </w:tcPr>
          <w:p w14:paraId="18EF4D7F"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10.7</w:t>
            </w:r>
          </w:p>
        </w:tc>
        <w:tc>
          <w:tcPr>
            <w:tcW w:w="1260" w:type="dxa"/>
            <w:shd w:val="clear" w:color="auto" w:fill="auto"/>
          </w:tcPr>
          <w:p w14:paraId="2F7CC699"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75</w:t>
            </w:r>
          </w:p>
        </w:tc>
        <w:tc>
          <w:tcPr>
            <w:tcW w:w="1260" w:type="dxa"/>
            <w:shd w:val="clear" w:color="auto" w:fill="auto"/>
          </w:tcPr>
          <w:p w14:paraId="60DB9DAB"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18.7</w:t>
            </w:r>
          </w:p>
        </w:tc>
      </w:tr>
      <w:tr w:rsidR="00791D32" w:rsidRPr="00FE7240" w14:paraId="52FCF90D" w14:textId="77777777" w:rsidTr="00637E75">
        <w:trPr>
          <w:trHeight w:val="298"/>
          <w:jc w:val="center"/>
        </w:trPr>
        <w:tc>
          <w:tcPr>
            <w:cnfStyle w:val="001000000000" w:firstRow="0" w:lastRow="0" w:firstColumn="1" w:lastColumn="0" w:oddVBand="0" w:evenVBand="0" w:oddHBand="0" w:evenHBand="0" w:firstRowFirstColumn="0" w:firstRowLastColumn="0" w:lastRowFirstColumn="0" w:lastRowLastColumn="0"/>
            <w:tcW w:w="1508" w:type="dxa"/>
            <w:shd w:val="clear" w:color="auto" w:fill="auto"/>
          </w:tcPr>
          <w:p w14:paraId="01A99B56" w14:textId="77777777" w:rsidR="00791D32" w:rsidRPr="00FE7240" w:rsidRDefault="00791D32" w:rsidP="00637E75">
            <w:pPr>
              <w:pStyle w:val="Heading3"/>
              <w:spacing w:line="276" w:lineRule="auto"/>
              <w:jc w:val="center"/>
              <w:outlineLvl w:val="2"/>
              <w:rPr>
                <w:b w:val="0"/>
                <w:bCs w:val="0"/>
              </w:rPr>
            </w:pPr>
            <w:r w:rsidRPr="00FE7240">
              <w:rPr>
                <w:b w:val="0"/>
                <w:bCs w:val="0"/>
              </w:rPr>
              <w:t>58 – 67</w:t>
            </w:r>
          </w:p>
        </w:tc>
        <w:tc>
          <w:tcPr>
            <w:tcW w:w="1187" w:type="dxa"/>
            <w:shd w:val="clear" w:color="auto" w:fill="auto"/>
          </w:tcPr>
          <w:p w14:paraId="62B8D66E"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44</w:t>
            </w:r>
          </w:p>
        </w:tc>
        <w:tc>
          <w:tcPr>
            <w:tcW w:w="1260" w:type="dxa"/>
            <w:shd w:val="clear" w:color="auto" w:fill="auto"/>
          </w:tcPr>
          <w:p w14:paraId="68072FE6"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11.0</w:t>
            </w:r>
          </w:p>
        </w:tc>
        <w:tc>
          <w:tcPr>
            <w:tcW w:w="1080" w:type="dxa"/>
            <w:shd w:val="clear" w:color="auto" w:fill="auto"/>
          </w:tcPr>
          <w:p w14:paraId="76C56C1C"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41</w:t>
            </w:r>
          </w:p>
        </w:tc>
        <w:tc>
          <w:tcPr>
            <w:tcW w:w="1350" w:type="dxa"/>
            <w:gridSpan w:val="2"/>
            <w:shd w:val="clear" w:color="auto" w:fill="auto"/>
          </w:tcPr>
          <w:p w14:paraId="0ED15B0C"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10.2</w:t>
            </w:r>
          </w:p>
        </w:tc>
        <w:tc>
          <w:tcPr>
            <w:tcW w:w="1260" w:type="dxa"/>
            <w:shd w:val="clear" w:color="auto" w:fill="auto"/>
          </w:tcPr>
          <w:p w14:paraId="109E8BFE"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85</w:t>
            </w:r>
          </w:p>
        </w:tc>
        <w:tc>
          <w:tcPr>
            <w:tcW w:w="1260" w:type="dxa"/>
            <w:shd w:val="clear" w:color="auto" w:fill="auto"/>
          </w:tcPr>
          <w:p w14:paraId="2D6D3E54"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21.1</w:t>
            </w:r>
          </w:p>
        </w:tc>
      </w:tr>
      <w:tr w:rsidR="00791D32" w:rsidRPr="00FE7240" w14:paraId="26B1CC61" w14:textId="77777777" w:rsidTr="00637E75">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508" w:type="dxa"/>
            <w:shd w:val="clear" w:color="auto" w:fill="auto"/>
          </w:tcPr>
          <w:p w14:paraId="4DEB4E13" w14:textId="77777777" w:rsidR="00791D32" w:rsidRPr="00FE7240" w:rsidRDefault="00791D32" w:rsidP="00637E75">
            <w:pPr>
              <w:pStyle w:val="Heading3"/>
              <w:spacing w:line="276" w:lineRule="auto"/>
              <w:jc w:val="center"/>
              <w:outlineLvl w:val="2"/>
              <w:rPr>
                <w:b w:val="0"/>
                <w:bCs w:val="0"/>
              </w:rPr>
            </w:pPr>
            <w:r w:rsidRPr="00FE7240">
              <w:rPr>
                <w:b w:val="0"/>
                <w:bCs w:val="0"/>
              </w:rPr>
              <w:t>68 – 77</w:t>
            </w:r>
          </w:p>
        </w:tc>
        <w:tc>
          <w:tcPr>
            <w:tcW w:w="1187" w:type="dxa"/>
            <w:shd w:val="clear" w:color="auto" w:fill="auto"/>
          </w:tcPr>
          <w:p w14:paraId="571F0D63"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28</w:t>
            </w:r>
          </w:p>
        </w:tc>
        <w:tc>
          <w:tcPr>
            <w:tcW w:w="1260" w:type="dxa"/>
            <w:shd w:val="clear" w:color="auto" w:fill="auto"/>
          </w:tcPr>
          <w:p w14:paraId="5D516AAD"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7.0</w:t>
            </w:r>
          </w:p>
        </w:tc>
        <w:tc>
          <w:tcPr>
            <w:tcW w:w="1080" w:type="dxa"/>
            <w:shd w:val="clear" w:color="auto" w:fill="auto"/>
          </w:tcPr>
          <w:p w14:paraId="17765547"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31</w:t>
            </w:r>
          </w:p>
        </w:tc>
        <w:tc>
          <w:tcPr>
            <w:tcW w:w="1350" w:type="dxa"/>
            <w:gridSpan w:val="2"/>
            <w:shd w:val="clear" w:color="auto" w:fill="auto"/>
          </w:tcPr>
          <w:p w14:paraId="31B243E2"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7.7</w:t>
            </w:r>
          </w:p>
        </w:tc>
        <w:tc>
          <w:tcPr>
            <w:tcW w:w="1260" w:type="dxa"/>
            <w:shd w:val="clear" w:color="auto" w:fill="auto"/>
          </w:tcPr>
          <w:p w14:paraId="1EE30CB2"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59</w:t>
            </w:r>
          </w:p>
        </w:tc>
        <w:tc>
          <w:tcPr>
            <w:tcW w:w="1260" w:type="dxa"/>
            <w:shd w:val="clear" w:color="auto" w:fill="auto"/>
          </w:tcPr>
          <w:p w14:paraId="076AC91B"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14.7</w:t>
            </w:r>
          </w:p>
        </w:tc>
      </w:tr>
      <w:tr w:rsidR="00791D32" w:rsidRPr="00FE7240" w14:paraId="1D06C081" w14:textId="77777777" w:rsidTr="00134038">
        <w:trPr>
          <w:trHeight w:val="342"/>
          <w:jc w:val="center"/>
        </w:trPr>
        <w:tc>
          <w:tcPr>
            <w:cnfStyle w:val="001000000000" w:firstRow="0" w:lastRow="0" w:firstColumn="1" w:lastColumn="0" w:oddVBand="0" w:evenVBand="0" w:oddHBand="0" w:evenHBand="0" w:firstRowFirstColumn="0" w:firstRowLastColumn="0" w:lastRowFirstColumn="0" w:lastRowLastColumn="0"/>
            <w:tcW w:w="1508" w:type="dxa"/>
            <w:shd w:val="clear" w:color="auto" w:fill="auto"/>
          </w:tcPr>
          <w:p w14:paraId="0DFA683A" w14:textId="77777777" w:rsidR="00791D32" w:rsidRPr="00FE7240" w:rsidRDefault="00791D32" w:rsidP="00637E75">
            <w:pPr>
              <w:pStyle w:val="Heading3"/>
              <w:spacing w:line="276" w:lineRule="auto"/>
              <w:jc w:val="center"/>
              <w:outlineLvl w:val="2"/>
              <w:rPr>
                <w:b w:val="0"/>
                <w:bCs w:val="0"/>
              </w:rPr>
            </w:pPr>
            <w:r w:rsidRPr="00FE7240">
              <w:rPr>
                <w:b w:val="0"/>
                <w:bCs w:val="0"/>
              </w:rPr>
              <w:t>78 – 87</w:t>
            </w:r>
          </w:p>
        </w:tc>
        <w:tc>
          <w:tcPr>
            <w:tcW w:w="1187" w:type="dxa"/>
            <w:shd w:val="clear" w:color="auto" w:fill="auto"/>
          </w:tcPr>
          <w:p w14:paraId="5A7D3B61"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7</w:t>
            </w:r>
          </w:p>
        </w:tc>
        <w:tc>
          <w:tcPr>
            <w:tcW w:w="1260" w:type="dxa"/>
            <w:shd w:val="clear" w:color="auto" w:fill="auto"/>
          </w:tcPr>
          <w:p w14:paraId="115BEEEE"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1.7</w:t>
            </w:r>
          </w:p>
        </w:tc>
        <w:tc>
          <w:tcPr>
            <w:tcW w:w="1080" w:type="dxa"/>
            <w:shd w:val="clear" w:color="auto" w:fill="auto"/>
          </w:tcPr>
          <w:p w14:paraId="0EE9C926"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12</w:t>
            </w:r>
          </w:p>
        </w:tc>
        <w:tc>
          <w:tcPr>
            <w:tcW w:w="1350" w:type="dxa"/>
            <w:gridSpan w:val="2"/>
            <w:shd w:val="clear" w:color="auto" w:fill="auto"/>
          </w:tcPr>
          <w:p w14:paraId="39D6827C"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3.0</w:t>
            </w:r>
          </w:p>
        </w:tc>
        <w:tc>
          <w:tcPr>
            <w:tcW w:w="1260" w:type="dxa"/>
            <w:shd w:val="clear" w:color="auto" w:fill="auto"/>
          </w:tcPr>
          <w:p w14:paraId="7558940E"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19</w:t>
            </w:r>
          </w:p>
        </w:tc>
        <w:tc>
          <w:tcPr>
            <w:tcW w:w="1260" w:type="dxa"/>
            <w:shd w:val="clear" w:color="auto" w:fill="auto"/>
          </w:tcPr>
          <w:p w14:paraId="6234C216"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4.7</w:t>
            </w:r>
          </w:p>
        </w:tc>
      </w:tr>
      <w:tr w:rsidR="00791D32" w:rsidRPr="00FE7240" w14:paraId="2055613D" w14:textId="77777777" w:rsidTr="00637E75">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508" w:type="dxa"/>
            <w:tcBorders>
              <w:bottom w:val="single" w:sz="4" w:space="0" w:color="auto"/>
            </w:tcBorders>
            <w:shd w:val="clear" w:color="auto" w:fill="auto"/>
          </w:tcPr>
          <w:p w14:paraId="2713C7AB" w14:textId="77777777" w:rsidR="00791D32" w:rsidRPr="00FE7240" w:rsidRDefault="00791D32" w:rsidP="00637E75">
            <w:pPr>
              <w:pStyle w:val="Heading3"/>
              <w:spacing w:line="276" w:lineRule="auto"/>
              <w:jc w:val="center"/>
              <w:outlineLvl w:val="2"/>
              <w:rPr>
                <w:b w:val="0"/>
                <w:bCs w:val="0"/>
              </w:rPr>
            </w:pPr>
            <w:r w:rsidRPr="00FE7240">
              <w:rPr>
                <w:b w:val="0"/>
                <w:bCs w:val="0"/>
              </w:rPr>
              <w:t>88 –</w:t>
            </w:r>
            <w:r>
              <w:rPr>
                <w:b w:val="0"/>
                <w:bCs w:val="0"/>
              </w:rPr>
              <w:t xml:space="preserve"> 9</w:t>
            </w:r>
            <w:r w:rsidRPr="00FE7240">
              <w:rPr>
                <w:b w:val="0"/>
                <w:bCs w:val="0"/>
              </w:rPr>
              <w:t>7</w:t>
            </w:r>
          </w:p>
        </w:tc>
        <w:tc>
          <w:tcPr>
            <w:tcW w:w="1187" w:type="dxa"/>
            <w:tcBorders>
              <w:bottom w:val="single" w:sz="4" w:space="0" w:color="auto"/>
            </w:tcBorders>
            <w:shd w:val="clear" w:color="auto" w:fill="auto"/>
          </w:tcPr>
          <w:p w14:paraId="3CDFA471"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1</w:t>
            </w:r>
          </w:p>
        </w:tc>
        <w:tc>
          <w:tcPr>
            <w:tcW w:w="1260" w:type="dxa"/>
            <w:tcBorders>
              <w:bottom w:val="single" w:sz="4" w:space="0" w:color="auto"/>
            </w:tcBorders>
            <w:shd w:val="clear" w:color="auto" w:fill="auto"/>
          </w:tcPr>
          <w:p w14:paraId="6AB45B2A"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0.2</w:t>
            </w:r>
          </w:p>
        </w:tc>
        <w:tc>
          <w:tcPr>
            <w:tcW w:w="1080" w:type="dxa"/>
            <w:tcBorders>
              <w:bottom w:val="single" w:sz="4" w:space="0" w:color="auto"/>
            </w:tcBorders>
            <w:shd w:val="clear" w:color="auto" w:fill="auto"/>
          </w:tcPr>
          <w:p w14:paraId="241A4B7A"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3</w:t>
            </w:r>
          </w:p>
        </w:tc>
        <w:tc>
          <w:tcPr>
            <w:tcW w:w="1350" w:type="dxa"/>
            <w:gridSpan w:val="2"/>
            <w:tcBorders>
              <w:bottom w:val="single" w:sz="4" w:space="0" w:color="auto"/>
            </w:tcBorders>
            <w:shd w:val="clear" w:color="auto" w:fill="auto"/>
          </w:tcPr>
          <w:p w14:paraId="1FCE4C68"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0.7</w:t>
            </w:r>
          </w:p>
        </w:tc>
        <w:tc>
          <w:tcPr>
            <w:tcW w:w="1260" w:type="dxa"/>
            <w:tcBorders>
              <w:bottom w:val="single" w:sz="4" w:space="0" w:color="auto"/>
            </w:tcBorders>
            <w:shd w:val="clear" w:color="auto" w:fill="auto"/>
          </w:tcPr>
          <w:p w14:paraId="4855F764"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4</w:t>
            </w:r>
          </w:p>
        </w:tc>
        <w:tc>
          <w:tcPr>
            <w:tcW w:w="1260" w:type="dxa"/>
            <w:tcBorders>
              <w:bottom w:val="single" w:sz="4" w:space="0" w:color="auto"/>
            </w:tcBorders>
            <w:shd w:val="clear" w:color="auto" w:fill="auto"/>
          </w:tcPr>
          <w:p w14:paraId="2500875A"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bCs/>
              </w:rPr>
              <w:t>0.9</w:t>
            </w:r>
          </w:p>
        </w:tc>
      </w:tr>
      <w:tr w:rsidR="00791D32" w:rsidRPr="00FE7240" w14:paraId="6F882C56" w14:textId="77777777" w:rsidTr="00637E75">
        <w:trPr>
          <w:trHeight w:val="325"/>
          <w:jc w:val="center"/>
        </w:trPr>
        <w:tc>
          <w:tcPr>
            <w:cnfStyle w:val="001000000000" w:firstRow="0" w:lastRow="0" w:firstColumn="1" w:lastColumn="0" w:oddVBand="0" w:evenVBand="0" w:oddHBand="0" w:evenHBand="0" w:firstRowFirstColumn="0" w:firstRowLastColumn="0" w:lastRowFirstColumn="0" w:lastRowLastColumn="0"/>
            <w:tcW w:w="1508" w:type="dxa"/>
            <w:tcBorders>
              <w:top w:val="single" w:sz="4" w:space="0" w:color="auto"/>
              <w:bottom w:val="single" w:sz="4" w:space="0" w:color="auto"/>
            </w:tcBorders>
            <w:shd w:val="clear" w:color="auto" w:fill="auto"/>
          </w:tcPr>
          <w:p w14:paraId="068016F6" w14:textId="77777777" w:rsidR="00791D32" w:rsidRPr="00FE7240" w:rsidRDefault="00791D32" w:rsidP="00637E75">
            <w:pPr>
              <w:pStyle w:val="Heading3"/>
              <w:spacing w:line="276" w:lineRule="auto"/>
              <w:jc w:val="center"/>
              <w:outlineLvl w:val="2"/>
              <w:rPr>
                <w:b w:val="0"/>
                <w:bCs w:val="0"/>
              </w:rPr>
            </w:pPr>
            <w:r w:rsidRPr="00FE7240">
              <w:rPr>
                <w:b w:val="0"/>
                <w:bCs w:val="0"/>
              </w:rPr>
              <w:t>Total</w:t>
            </w:r>
          </w:p>
        </w:tc>
        <w:tc>
          <w:tcPr>
            <w:tcW w:w="1187" w:type="dxa"/>
            <w:tcBorders>
              <w:top w:val="single" w:sz="4" w:space="0" w:color="auto"/>
              <w:bottom w:val="single" w:sz="4" w:space="0" w:color="auto"/>
            </w:tcBorders>
            <w:shd w:val="clear" w:color="auto" w:fill="auto"/>
          </w:tcPr>
          <w:p w14:paraId="7AFD9EE0"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Pr>
                <w:bCs/>
              </w:rPr>
              <w:t>192</w:t>
            </w:r>
          </w:p>
        </w:tc>
        <w:tc>
          <w:tcPr>
            <w:tcW w:w="1260" w:type="dxa"/>
            <w:tcBorders>
              <w:top w:val="single" w:sz="4" w:space="0" w:color="auto"/>
              <w:bottom w:val="single" w:sz="4" w:space="0" w:color="auto"/>
            </w:tcBorders>
            <w:shd w:val="clear" w:color="auto" w:fill="auto"/>
          </w:tcPr>
          <w:p w14:paraId="6EC4EA76"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47.8</w:t>
            </w:r>
          </w:p>
        </w:tc>
        <w:tc>
          <w:tcPr>
            <w:tcW w:w="1080" w:type="dxa"/>
            <w:tcBorders>
              <w:top w:val="single" w:sz="4" w:space="0" w:color="auto"/>
              <w:bottom w:val="single" w:sz="4" w:space="0" w:color="auto"/>
            </w:tcBorders>
            <w:shd w:val="clear" w:color="auto" w:fill="auto"/>
          </w:tcPr>
          <w:p w14:paraId="1363B113"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210</w:t>
            </w:r>
          </w:p>
        </w:tc>
        <w:tc>
          <w:tcPr>
            <w:tcW w:w="1350" w:type="dxa"/>
            <w:gridSpan w:val="2"/>
            <w:tcBorders>
              <w:top w:val="single" w:sz="4" w:space="0" w:color="auto"/>
              <w:bottom w:val="single" w:sz="4" w:space="0" w:color="auto"/>
            </w:tcBorders>
            <w:shd w:val="clear" w:color="auto" w:fill="auto"/>
          </w:tcPr>
          <w:p w14:paraId="728CD148"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52.2</w:t>
            </w:r>
          </w:p>
        </w:tc>
        <w:tc>
          <w:tcPr>
            <w:tcW w:w="1260" w:type="dxa"/>
            <w:tcBorders>
              <w:top w:val="single" w:sz="4" w:space="0" w:color="auto"/>
              <w:bottom w:val="single" w:sz="4" w:space="0" w:color="auto"/>
            </w:tcBorders>
            <w:shd w:val="clear" w:color="auto" w:fill="auto"/>
          </w:tcPr>
          <w:p w14:paraId="1F45BDE1"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402</w:t>
            </w:r>
          </w:p>
        </w:tc>
        <w:tc>
          <w:tcPr>
            <w:tcW w:w="1260" w:type="dxa"/>
            <w:tcBorders>
              <w:top w:val="single" w:sz="4" w:space="0" w:color="auto"/>
              <w:bottom w:val="single" w:sz="4" w:space="0" w:color="auto"/>
            </w:tcBorders>
            <w:shd w:val="clear" w:color="auto" w:fill="auto"/>
          </w:tcPr>
          <w:p w14:paraId="51922AFE"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bCs/>
              </w:rPr>
            </w:pPr>
            <w:r w:rsidRPr="00FE7240">
              <w:rPr>
                <w:bCs/>
              </w:rPr>
              <w:t>100.0</w:t>
            </w:r>
          </w:p>
        </w:tc>
      </w:tr>
      <w:tr w:rsidR="00791D32" w:rsidRPr="00FE7240" w14:paraId="281B90A6" w14:textId="77777777" w:rsidTr="00637E75">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508" w:type="dxa"/>
            <w:tcBorders>
              <w:top w:val="single" w:sz="4" w:space="0" w:color="auto"/>
              <w:bottom w:val="single" w:sz="4" w:space="0" w:color="auto"/>
            </w:tcBorders>
            <w:shd w:val="clear" w:color="auto" w:fill="auto"/>
          </w:tcPr>
          <w:p w14:paraId="5619C5D1" w14:textId="77777777" w:rsidR="00791D32" w:rsidRPr="00FE7240" w:rsidRDefault="00791D32" w:rsidP="00637E75">
            <w:pPr>
              <w:pStyle w:val="Heading3"/>
              <w:spacing w:line="276" w:lineRule="auto"/>
              <w:jc w:val="center"/>
              <w:outlineLvl w:val="2"/>
              <w:rPr>
                <w:b w:val="0"/>
                <w:bCs w:val="0"/>
              </w:rPr>
            </w:pPr>
            <w:r>
              <w:rPr>
                <w:b w:val="0"/>
                <w:bCs w:val="0"/>
              </w:rPr>
              <w:t xml:space="preserve">Mean </w:t>
            </w:r>
          </w:p>
        </w:tc>
        <w:tc>
          <w:tcPr>
            <w:tcW w:w="7397" w:type="dxa"/>
            <w:gridSpan w:val="7"/>
            <w:tcBorders>
              <w:top w:val="single" w:sz="4" w:space="0" w:color="auto"/>
              <w:bottom w:val="single" w:sz="4" w:space="0" w:color="auto"/>
            </w:tcBorders>
            <w:shd w:val="clear" w:color="auto" w:fill="auto"/>
          </w:tcPr>
          <w:p w14:paraId="35C6D664"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bCs/>
              </w:rPr>
            </w:pPr>
            <w:r w:rsidRPr="00FE7240">
              <w:rPr>
                <w:rFonts w:cs="Times New Roman"/>
              </w:rPr>
              <w:t xml:space="preserve">51.83 ± 17.54 </w:t>
            </w:r>
          </w:p>
        </w:tc>
      </w:tr>
      <w:tr w:rsidR="00791D32" w:rsidRPr="00FE7240" w14:paraId="32E6FEE9" w14:textId="77777777" w:rsidTr="00637E75">
        <w:trPr>
          <w:trHeight w:val="406"/>
          <w:jc w:val="center"/>
        </w:trPr>
        <w:tc>
          <w:tcPr>
            <w:cnfStyle w:val="001000000000" w:firstRow="0" w:lastRow="0" w:firstColumn="1" w:lastColumn="0" w:oddVBand="0" w:evenVBand="0" w:oddHBand="0" w:evenHBand="0" w:firstRowFirstColumn="0" w:firstRowLastColumn="0" w:lastRowFirstColumn="0" w:lastRowLastColumn="0"/>
            <w:tcW w:w="5954" w:type="dxa"/>
            <w:gridSpan w:val="5"/>
            <w:tcBorders>
              <w:bottom w:val="single" w:sz="4" w:space="0" w:color="auto"/>
            </w:tcBorders>
            <w:shd w:val="clear" w:color="auto" w:fill="auto"/>
          </w:tcPr>
          <w:p w14:paraId="4488ED5F" w14:textId="77777777" w:rsidR="00791D32" w:rsidRPr="00791D32" w:rsidRDefault="00791D32" w:rsidP="00637E75">
            <w:pPr>
              <w:pStyle w:val="Heading3"/>
              <w:spacing w:line="276" w:lineRule="auto"/>
              <w:jc w:val="center"/>
              <w:outlineLvl w:val="2"/>
              <w:rPr>
                <w:rFonts w:cs="Times New Roman"/>
                <w:b w:val="0"/>
                <w:bCs w:val="0"/>
              </w:rPr>
            </w:pPr>
            <w:r w:rsidRPr="00791D32">
              <w:rPr>
                <w:rFonts w:cs="Times New Roman"/>
                <w:b w:val="0"/>
              </w:rPr>
              <w:t>Exposure factors and scanning parameters</w:t>
            </w:r>
          </w:p>
        </w:tc>
        <w:tc>
          <w:tcPr>
            <w:tcW w:w="2951" w:type="dxa"/>
            <w:gridSpan w:val="3"/>
            <w:tcBorders>
              <w:bottom w:val="single" w:sz="4" w:space="0" w:color="auto"/>
            </w:tcBorders>
            <w:shd w:val="clear" w:color="auto" w:fill="auto"/>
          </w:tcPr>
          <w:p w14:paraId="540730C6" w14:textId="77777777" w:rsidR="00791D32" w:rsidRPr="00791D32"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rFonts w:cs="Times New Roman"/>
              </w:rPr>
            </w:pPr>
            <w:r w:rsidRPr="00791D32">
              <w:rPr>
                <w:rFonts w:cs="Times New Roman"/>
              </w:rPr>
              <w:t>Value</w:t>
            </w:r>
          </w:p>
        </w:tc>
      </w:tr>
      <w:tr w:rsidR="00791D32" w:rsidRPr="00FE7240" w14:paraId="246F2930" w14:textId="77777777" w:rsidTr="00637E7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954" w:type="dxa"/>
            <w:gridSpan w:val="5"/>
            <w:tcBorders>
              <w:top w:val="single" w:sz="4" w:space="0" w:color="auto"/>
              <w:bottom w:val="nil"/>
            </w:tcBorders>
            <w:shd w:val="clear" w:color="auto" w:fill="auto"/>
          </w:tcPr>
          <w:p w14:paraId="62CE0875" w14:textId="77777777" w:rsidR="00791D32" w:rsidRPr="00FE7240" w:rsidRDefault="00791D32" w:rsidP="00637E75">
            <w:pPr>
              <w:pStyle w:val="Heading3"/>
              <w:spacing w:line="276" w:lineRule="auto"/>
              <w:outlineLvl w:val="2"/>
              <w:rPr>
                <w:rFonts w:cs="Times New Roman"/>
                <w:b w:val="0"/>
                <w:bCs w:val="0"/>
              </w:rPr>
            </w:pPr>
            <w:r w:rsidRPr="00FE7240">
              <w:rPr>
                <w:rFonts w:cs="Times New Roman"/>
                <w:b w:val="0"/>
              </w:rPr>
              <w:t>Tube voltage (kV</w:t>
            </w:r>
            <w:r w:rsidRPr="00FE7240">
              <w:rPr>
                <w:rFonts w:cs="Times New Roman"/>
                <w:b w:val="0"/>
                <w:vertAlign w:val="subscript"/>
              </w:rPr>
              <w:t>p</w:t>
            </w:r>
            <w:r w:rsidRPr="00FE7240">
              <w:rPr>
                <w:rFonts w:cs="Times New Roman"/>
                <w:b w:val="0"/>
              </w:rPr>
              <w:t>)</w:t>
            </w:r>
          </w:p>
        </w:tc>
        <w:tc>
          <w:tcPr>
            <w:tcW w:w="2951" w:type="dxa"/>
            <w:gridSpan w:val="3"/>
            <w:tcBorders>
              <w:top w:val="single" w:sz="4" w:space="0" w:color="auto"/>
              <w:bottom w:val="nil"/>
            </w:tcBorders>
            <w:shd w:val="clear" w:color="auto" w:fill="auto"/>
          </w:tcPr>
          <w:p w14:paraId="15276C37"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rFonts w:cs="Times New Roman"/>
              </w:rPr>
            </w:pPr>
            <w:r w:rsidRPr="00FE7240">
              <w:rPr>
                <w:rFonts w:cs="Times New Roman"/>
              </w:rPr>
              <w:t xml:space="preserve">120.00 </w:t>
            </w:r>
          </w:p>
        </w:tc>
      </w:tr>
      <w:tr w:rsidR="00791D32" w:rsidRPr="00FE7240" w14:paraId="1F4DAB54" w14:textId="77777777" w:rsidTr="00637E75">
        <w:trPr>
          <w:trHeight w:val="285"/>
          <w:jc w:val="center"/>
        </w:trPr>
        <w:tc>
          <w:tcPr>
            <w:cnfStyle w:val="001000000000" w:firstRow="0" w:lastRow="0" w:firstColumn="1" w:lastColumn="0" w:oddVBand="0" w:evenVBand="0" w:oddHBand="0" w:evenHBand="0" w:firstRowFirstColumn="0" w:firstRowLastColumn="0" w:lastRowFirstColumn="0" w:lastRowLastColumn="0"/>
            <w:tcW w:w="5954" w:type="dxa"/>
            <w:gridSpan w:val="5"/>
            <w:tcBorders>
              <w:top w:val="nil"/>
            </w:tcBorders>
            <w:shd w:val="clear" w:color="auto" w:fill="auto"/>
          </w:tcPr>
          <w:p w14:paraId="578BDA8C" w14:textId="77777777" w:rsidR="00791D32" w:rsidRPr="00FE7240" w:rsidRDefault="00791D32" w:rsidP="00637E75">
            <w:pPr>
              <w:pStyle w:val="Heading3"/>
              <w:spacing w:line="276" w:lineRule="auto"/>
              <w:outlineLvl w:val="2"/>
              <w:rPr>
                <w:rFonts w:cs="Times New Roman"/>
                <w:b w:val="0"/>
                <w:bCs w:val="0"/>
              </w:rPr>
            </w:pPr>
            <w:r w:rsidRPr="00FE7240">
              <w:rPr>
                <w:rFonts w:cs="Times New Roman"/>
                <w:b w:val="0"/>
              </w:rPr>
              <w:t>Tube current (mA)</w:t>
            </w:r>
          </w:p>
        </w:tc>
        <w:tc>
          <w:tcPr>
            <w:tcW w:w="2951" w:type="dxa"/>
            <w:gridSpan w:val="3"/>
            <w:tcBorders>
              <w:top w:val="nil"/>
            </w:tcBorders>
            <w:shd w:val="clear" w:color="auto" w:fill="auto"/>
          </w:tcPr>
          <w:p w14:paraId="2B4C0AF9"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rFonts w:cs="Times New Roman"/>
              </w:rPr>
            </w:pPr>
            <w:r w:rsidRPr="00FE7240">
              <w:rPr>
                <w:rFonts w:cs="Times New Roman"/>
              </w:rPr>
              <w:t xml:space="preserve">300.00 </w:t>
            </w:r>
          </w:p>
        </w:tc>
      </w:tr>
      <w:tr w:rsidR="00791D32" w:rsidRPr="00FE7240" w14:paraId="01C7BFE0" w14:textId="77777777" w:rsidTr="00637E7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954" w:type="dxa"/>
            <w:gridSpan w:val="5"/>
            <w:shd w:val="clear" w:color="auto" w:fill="auto"/>
          </w:tcPr>
          <w:p w14:paraId="01B28A30" w14:textId="77777777" w:rsidR="00791D32" w:rsidRPr="00FE7240" w:rsidRDefault="00791D32" w:rsidP="00637E75">
            <w:pPr>
              <w:pStyle w:val="Heading3"/>
              <w:spacing w:line="276" w:lineRule="auto"/>
              <w:outlineLvl w:val="2"/>
              <w:rPr>
                <w:rFonts w:cs="Times New Roman"/>
                <w:b w:val="0"/>
                <w:bCs w:val="0"/>
              </w:rPr>
            </w:pPr>
            <w:r w:rsidRPr="00FE7240">
              <w:rPr>
                <w:rFonts w:cs="Times New Roman"/>
                <w:b w:val="0"/>
              </w:rPr>
              <w:t>Rotation time (sec)</w:t>
            </w:r>
          </w:p>
        </w:tc>
        <w:tc>
          <w:tcPr>
            <w:tcW w:w="2951" w:type="dxa"/>
            <w:gridSpan w:val="3"/>
            <w:shd w:val="clear" w:color="auto" w:fill="auto"/>
          </w:tcPr>
          <w:p w14:paraId="396C10A8"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rFonts w:cs="Times New Roman"/>
              </w:rPr>
            </w:pPr>
            <w:r w:rsidRPr="00FE7240">
              <w:rPr>
                <w:rFonts w:cs="Times New Roman"/>
              </w:rPr>
              <w:t>0.75</w:t>
            </w:r>
          </w:p>
        </w:tc>
      </w:tr>
      <w:tr w:rsidR="00791D32" w:rsidRPr="00FE7240" w14:paraId="56AC8B24" w14:textId="77777777" w:rsidTr="00637E75">
        <w:trPr>
          <w:trHeight w:val="281"/>
          <w:jc w:val="center"/>
        </w:trPr>
        <w:tc>
          <w:tcPr>
            <w:cnfStyle w:val="001000000000" w:firstRow="0" w:lastRow="0" w:firstColumn="1" w:lastColumn="0" w:oddVBand="0" w:evenVBand="0" w:oddHBand="0" w:evenHBand="0" w:firstRowFirstColumn="0" w:firstRowLastColumn="0" w:lastRowFirstColumn="0" w:lastRowLastColumn="0"/>
            <w:tcW w:w="5954" w:type="dxa"/>
            <w:gridSpan w:val="5"/>
            <w:shd w:val="clear" w:color="auto" w:fill="auto"/>
          </w:tcPr>
          <w:p w14:paraId="67189963" w14:textId="77777777" w:rsidR="00791D32" w:rsidRPr="00FE7240" w:rsidRDefault="00791D32" w:rsidP="00637E75">
            <w:pPr>
              <w:pStyle w:val="Heading3"/>
              <w:spacing w:line="276" w:lineRule="auto"/>
              <w:outlineLvl w:val="2"/>
              <w:rPr>
                <w:rFonts w:cs="Times New Roman"/>
                <w:b w:val="0"/>
                <w:bCs w:val="0"/>
              </w:rPr>
            </w:pPr>
            <w:r w:rsidRPr="00FE7240">
              <w:rPr>
                <w:rFonts w:cs="Times New Roman"/>
                <w:b w:val="0"/>
              </w:rPr>
              <w:t>Pitch</w:t>
            </w:r>
          </w:p>
        </w:tc>
        <w:tc>
          <w:tcPr>
            <w:tcW w:w="2951" w:type="dxa"/>
            <w:gridSpan w:val="3"/>
            <w:shd w:val="clear" w:color="auto" w:fill="auto"/>
          </w:tcPr>
          <w:p w14:paraId="35C160D5"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rFonts w:cs="Times New Roman"/>
              </w:rPr>
            </w:pPr>
            <w:r w:rsidRPr="00FE7240">
              <w:rPr>
                <w:rFonts w:cs="Times New Roman"/>
              </w:rPr>
              <w:t>0.66</w:t>
            </w:r>
          </w:p>
        </w:tc>
      </w:tr>
      <w:tr w:rsidR="00791D32" w:rsidRPr="00FE7240" w14:paraId="3A0B2F22" w14:textId="77777777" w:rsidTr="00637E75">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5954" w:type="dxa"/>
            <w:gridSpan w:val="5"/>
            <w:shd w:val="clear" w:color="auto" w:fill="auto"/>
          </w:tcPr>
          <w:p w14:paraId="3462D406" w14:textId="77777777" w:rsidR="00791D32" w:rsidRPr="00FE7240" w:rsidRDefault="00791D32" w:rsidP="00637E75">
            <w:pPr>
              <w:pStyle w:val="Heading3"/>
              <w:spacing w:line="276" w:lineRule="auto"/>
              <w:outlineLvl w:val="2"/>
              <w:rPr>
                <w:rFonts w:cs="Times New Roman"/>
                <w:b w:val="0"/>
                <w:bCs w:val="0"/>
              </w:rPr>
            </w:pPr>
            <w:r w:rsidRPr="00FE7240">
              <w:rPr>
                <w:rFonts w:cs="Times New Roman"/>
                <w:b w:val="0"/>
              </w:rPr>
              <w:t>Scan length (cm)</w:t>
            </w:r>
          </w:p>
        </w:tc>
        <w:tc>
          <w:tcPr>
            <w:tcW w:w="2951" w:type="dxa"/>
            <w:gridSpan w:val="3"/>
            <w:shd w:val="clear" w:color="auto" w:fill="auto"/>
          </w:tcPr>
          <w:p w14:paraId="4E6CABE4"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rFonts w:cs="Times New Roman"/>
              </w:rPr>
            </w:pPr>
            <w:r w:rsidRPr="00FE7240">
              <w:rPr>
                <w:rFonts w:cs="Times New Roman"/>
              </w:rPr>
              <w:t>18.14 ± 2.29</w:t>
            </w:r>
          </w:p>
        </w:tc>
      </w:tr>
      <w:tr w:rsidR="00791D32" w:rsidRPr="00FE7240" w14:paraId="0ECF74F7" w14:textId="77777777" w:rsidTr="00637E75">
        <w:trPr>
          <w:trHeight w:val="263"/>
          <w:jc w:val="center"/>
        </w:trPr>
        <w:tc>
          <w:tcPr>
            <w:cnfStyle w:val="001000000000" w:firstRow="0" w:lastRow="0" w:firstColumn="1" w:lastColumn="0" w:oddVBand="0" w:evenVBand="0" w:oddHBand="0" w:evenHBand="0" w:firstRowFirstColumn="0" w:firstRowLastColumn="0" w:lastRowFirstColumn="0" w:lastRowLastColumn="0"/>
            <w:tcW w:w="5954" w:type="dxa"/>
            <w:gridSpan w:val="5"/>
            <w:shd w:val="clear" w:color="auto" w:fill="auto"/>
          </w:tcPr>
          <w:p w14:paraId="5A1BF501" w14:textId="77777777" w:rsidR="00791D32" w:rsidRPr="00FE7240" w:rsidRDefault="00791D32" w:rsidP="00637E75">
            <w:pPr>
              <w:pStyle w:val="Heading3"/>
              <w:spacing w:line="276" w:lineRule="auto"/>
              <w:outlineLvl w:val="2"/>
              <w:rPr>
                <w:rFonts w:cs="Times New Roman"/>
                <w:b w:val="0"/>
                <w:bCs w:val="0"/>
              </w:rPr>
            </w:pPr>
            <w:r w:rsidRPr="00FE7240">
              <w:rPr>
                <w:rFonts w:cs="Times New Roman"/>
                <w:b w:val="0"/>
              </w:rPr>
              <w:t>Slice thickness (mm)</w:t>
            </w:r>
          </w:p>
        </w:tc>
        <w:tc>
          <w:tcPr>
            <w:tcW w:w="2951" w:type="dxa"/>
            <w:gridSpan w:val="3"/>
            <w:shd w:val="clear" w:color="auto" w:fill="auto"/>
          </w:tcPr>
          <w:p w14:paraId="7D931667" w14:textId="77777777" w:rsidR="00791D32" w:rsidRPr="00FE7240" w:rsidRDefault="00791D32" w:rsidP="00637E75">
            <w:pPr>
              <w:pStyle w:val="Heading3"/>
              <w:spacing w:line="276" w:lineRule="auto"/>
              <w:jc w:val="center"/>
              <w:outlineLvl w:val="2"/>
              <w:cnfStyle w:val="000000000000" w:firstRow="0" w:lastRow="0" w:firstColumn="0" w:lastColumn="0" w:oddVBand="0" w:evenVBand="0" w:oddHBand="0" w:evenHBand="0" w:firstRowFirstColumn="0" w:firstRowLastColumn="0" w:lastRowFirstColumn="0" w:lastRowLastColumn="0"/>
              <w:rPr>
                <w:rFonts w:cs="Times New Roman"/>
              </w:rPr>
            </w:pPr>
            <w:r w:rsidRPr="00FE7240">
              <w:rPr>
                <w:rFonts w:cs="Times New Roman"/>
              </w:rPr>
              <w:t>5.00</w:t>
            </w:r>
          </w:p>
        </w:tc>
      </w:tr>
      <w:tr w:rsidR="00791D32" w:rsidRPr="00FE7240" w14:paraId="2D68B578" w14:textId="77777777" w:rsidTr="00637E7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954" w:type="dxa"/>
            <w:gridSpan w:val="5"/>
            <w:tcBorders>
              <w:bottom w:val="single" w:sz="4" w:space="0" w:color="auto"/>
            </w:tcBorders>
            <w:shd w:val="clear" w:color="auto" w:fill="auto"/>
          </w:tcPr>
          <w:p w14:paraId="47C6F1D6" w14:textId="77777777" w:rsidR="00791D32" w:rsidRPr="00FE7240" w:rsidRDefault="00791D32" w:rsidP="00637E75">
            <w:pPr>
              <w:pStyle w:val="Heading3"/>
              <w:spacing w:line="276" w:lineRule="auto"/>
              <w:outlineLvl w:val="2"/>
              <w:rPr>
                <w:rFonts w:cs="Times New Roman"/>
                <w:b w:val="0"/>
                <w:bCs w:val="0"/>
              </w:rPr>
            </w:pPr>
            <w:r w:rsidRPr="00FE7240">
              <w:rPr>
                <w:rFonts w:cs="Times New Roman"/>
                <w:b w:val="0"/>
              </w:rPr>
              <w:t>Sequence(s)</w:t>
            </w:r>
          </w:p>
        </w:tc>
        <w:tc>
          <w:tcPr>
            <w:tcW w:w="2951" w:type="dxa"/>
            <w:gridSpan w:val="3"/>
            <w:tcBorders>
              <w:bottom w:val="single" w:sz="4" w:space="0" w:color="auto"/>
            </w:tcBorders>
            <w:shd w:val="clear" w:color="auto" w:fill="auto"/>
          </w:tcPr>
          <w:p w14:paraId="36386ADF" w14:textId="77777777" w:rsidR="00791D32" w:rsidRPr="00FE7240" w:rsidRDefault="00791D32" w:rsidP="00637E75">
            <w:pPr>
              <w:pStyle w:val="Heading3"/>
              <w:spacing w:line="276" w:lineRule="auto"/>
              <w:jc w:val="center"/>
              <w:outlineLvl w:val="2"/>
              <w:cnfStyle w:val="000000100000" w:firstRow="0" w:lastRow="0" w:firstColumn="0" w:lastColumn="0" w:oddVBand="0" w:evenVBand="0" w:oddHBand="1" w:evenHBand="0" w:firstRowFirstColumn="0" w:firstRowLastColumn="0" w:lastRowFirstColumn="0" w:lastRowLastColumn="0"/>
              <w:rPr>
                <w:rFonts w:cs="Times New Roman"/>
              </w:rPr>
            </w:pPr>
            <w:r w:rsidRPr="00FE7240">
              <w:rPr>
                <w:rFonts w:cs="Times New Roman"/>
              </w:rPr>
              <w:t>1.00</w:t>
            </w:r>
          </w:p>
        </w:tc>
      </w:tr>
    </w:tbl>
    <w:p w14:paraId="4B3EFA2C" w14:textId="77777777" w:rsidR="0064752D" w:rsidRDefault="0064752D" w:rsidP="00F11485">
      <w:pPr>
        <w:spacing w:line="240" w:lineRule="auto"/>
        <w:rPr>
          <w:rFonts w:cs="Times New Roman"/>
          <w:szCs w:val="24"/>
        </w:rPr>
      </w:pPr>
    </w:p>
    <w:p w14:paraId="1080CC12" w14:textId="77777777" w:rsidR="00EB29CF" w:rsidRDefault="00EB29CF" w:rsidP="00270BB7">
      <w:pPr>
        <w:spacing w:line="480" w:lineRule="auto"/>
        <w:rPr>
          <w:rFonts w:cs="Times New Roman"/>
          <w:b/>
          <w:bCs/>
          <w:szCs w:val="24"/>
        </w:rPr>
      </w:pPr>
    </w:p>
    <w:p w14:paraId="7885A51F" w14:textId="77777777" w:rsidR="00EB29CF" w:rsidRDefault="00EB29CF" w:rsidP="00270BB7">
      <w:pPr>
        <w:spacing w:line="480" w:lineRule="auto"/>
        <w:rPr>
          <w:rFonts w:cs="Times New Roman"/>
          <w:b/>
          <w:bCs/>
          <w:szCs w:val="24"/>
        </w:rPr>
      </w:pPr>
    </w:p>
    <w:p w14:paraId="75B3E5C0" w14:textId="77777777" w:rsidR="00EB29CF" w:rsidRDefault="00EB29CF" w:rsidP="00270BB7">
      <w:pPr>
        <w:spacing w:line="480" w:lineRule="auto"/>
        <w:rPr>
          <w:rFonts w:cs="Times New Roman"/>
          <w:b/>
          <w:bCs/>
          <w:szCs w:val="24"/>
        </w:rPr>
      </w:pPr>
    </w:p>
    <w:p w14:paraId="40DAAC99" w14:textId="77777777" w:rsidR="00EB29CF" w:rsidRDefault="00EB29CF" w:rsidP="00270BB7">
      <w:pPr>
        <w:spacing w:line="480" w:lineRule="auto"/>
        <w:rPr>
          <w:rFonts w:cs="Times New Roman"/>
          <w:b/>
          <w:bCs/>
          <w:szCs w:val="24"/>
        </w:rPr>
      </w:pPr>
    </w:p>
    <w:p w14:paraId="596FA1C0" w14:textId="77777777" w:rsidR="006A6142" w:rsidRDefault="006A6142" w:rsidP="00270BB7">
      <w:pPr>
        <w:spacing w:line="480" w:lineRule="auto"/>
        <w:rPr>
          <w:rFonts w:cs="Times New Roman"/>
          <w:b/>
          <w:bCs/>
          <w:szCs w:val="24"/>
        </w:rPr>
      </w:pPr>
    </w:p>
    <w:p w14:paraId="329580B7" w14:textId="71C2CE42" w:rsidR="00270BB7" w:rsidRPr="00FE7240" w:rsidRDefault="00B57C72" w:rsidP="00270BB7">
      <w:pPr>
        <w:spacing w:line="480" w:lineRule="auto"/>
        <w:rPr>
          <w:rFonts w:cs="Times New Roman"/>
          <w:b/>
          <w:bCs/>
          <w:szCs w:val="24"/>
        </w:rPr>
      </w:pPr>
      <w:r w:rsidRPr="00FE7240">
        <w:rPr>
          <w:rFonts w:cs="Times New Roman"/>
          <w:b/>
          <w:bCs/>
          <w:szCs w:val="24"/>
        </w:rPr>
        <w:t xml:space="preserve">Table </w:t>
      </w:r>
      <w:r w:rsidR="00F11485">
        <w:rPr>
          <w:rFonts w:cs="Times New Roman"/>
          <w:b/>
          <w:bCs/>
          <w:szCs w:val="24"/>
        </w:rPr>
        <w:t>2</w:t>
      </w:r>
      <w:r w:rsidR="00270BB7" w:rsidRPr="00FE7240">
        <w:rPr>
          <w:rFonts w:cs="Times New Roman"/>
          <w:b/>
          <w:bCs/>
          <w:szCs w:val="24"/>
        </w:rPr>
        <w:t xml:space="preserve">: Technical specifications of Toshiba </w:t>
      </w:r>
      <w:proofErr w:type="spellStart"/>
      <w:r w:rsidR="00F713C3">
        <w:rPr>
          <w:rFonts w:cs="Times New Roman"/>
          <w:b/>
          <w:bCs/>
          <w:szCs w:val="24"/>
        </w:rPr>
        <w:t>Aquilon</w:t>
      </w:r>
      <w:proofErr w:type="spellEnd"/>
      <w:r w:rsidR="00270BB7" w:rsidRPr="00FE7240">
        <w:rPr>
          <w:rFonts w:cs="Times New Roman"/>
          <w:b/>
          <w:bCs/>
          <w:szCs w:val="24"/>
        </w:rPr>
        <w:t xml:space="preserve"> CT scanner </w:t>
      </w:r>
    </w:p>
    <w:tbl>
      <w:tblPr>
        <w:tblW w:w="9792" w:type="dxa"/>
        <w:shd w:val="clear" w:color="auto" w:fill="FFFFFF" w:themeFill="background1"/>
        <w:tblLook w:val="04A0" w:firstRow="1" w:lastRow="0" w:firstColumn="1" w:lastColumn="0" w:noHBand="0" w:noVBand="1"/>
      </w:tblPr>
      <w:tblGrid>
        <w:gridCol w:w="4896"/>
        <w:gridCol w:w="4896"/>
      </w:tblGrid>
      <w:tr w:rsidR="00270BB7" w:rsidRPr="00FE7240" w14:paraId="41195FF6" w14:textId="77777777" w:rsidTr="00D40B38">
        <w:trPr>
          <w:trHeight w:val="269"/>
        </w:trPr>
        <w:tc>
          <w:tcPr>
            <w:tcW w:w="4896" w:type="dxa"/>
            <w:tcBorders>
              <w:top w:val="single" w:sz="4" w:space="0" w:color="auto"/>
              <w:bottom w:val="single" w:sz="4" w:space="0" w:color="auto"/>
            </w:tcBorders>
            <w:shd w:val="clear" w:color="auto" w:fill="FFFFFF" w:themeFill="background1"/>
          </w:tcPr>
          <w:p w14:paraId="2C77ABCC" w14:textId="77777777" w:rsidR="00270BB7" w:rsidRPr="00FE7240" w:rsidRDefault="00270BB7" w:rsidP="00C44E1D">
            <w:pPr>
              <w:rPr>
                <w:rFonts w:cs="Times New Roman"/>
                <w:szCs w:val="24"/>
              </w:rPr>
            </w:pPr>
            <w:r w:rsidRPr="00FE7240">
              <w:rPr>
                <w:rFonts w:cs="Times New Roman"/>
                <w:szCs w:val="24"/>
              </w:rPr>
              <w:t>Design parameter</w:t>
            </w:r>
          </w:p>
        </w:tc>
        <w:tc>
          <w:tcPr>
            <w:tcW w:w="4896" w:type="dxa"/>
            <w:tcBorders>
              <w:top w:val="single" w:sz="4" w:space="0" w:color="auto"/>
              <w:bottom w:val="single" w:sz="4" w:space="0" w:color="auto"/>
            </w:tcBorders>
            <w:shd w:val="clear" w:color="auto" w:fill="FFFFFF" w:themeFill="background1"/>
          </w:tcPr>
          <w:p w14:paraId="0606773F" w14:textId="77777777" w:rsidR="00270BB7" w:rsidRPr="00FE7240" w:rsidRDefault="00270BB7" w:rsidP="00C44E1D">
            <w:pPr>
              <w:rPr>
                <w:rFonts w:cs="Times New Roman"/>
                <w:szCs w:val="24"/>
              </w:rPr>
            </w:pPr>
            <w:r w:rsidRPr="00FE7240">
              <w:rPr>
                <w:rFonts w:cs="Times New Roman"/>
                <w:szCs w:val="24"/>
              </w:rPr>
              <w:t xml:space="preserve">Value (quantity, volume, </w:t>
            </w:r>
            <w:proofErr w:type="spellStart"/>
            <w:r w:rsidRPr="00FE7240">
              <w:rPr>
                <w:rFonts w:cs="Times New Roman"/>
                <w:szCs w:val="24"/>
              </w:rPr>
              <w:t>etc</w:t>
            </w:r>
            <w:proofErr w:type="spellEnd"/>
            <w:r w:rsidRPr="00FE7240">
              <w:rPr>
                <w:rFonts w:cs="Times New Roman"/>
                <w:szCs w:val="24"/>
              </w:rPr>
              <w:t>)</w:t>
            </w:r>
          </w:p>
        </w:tc>
      </w:tr>
      <w:tr w:rsidR="00270BB7" w:rsidRPr="00FE7240" w14:paraId="7E364209" w14:textId="77777777" w:rsidTr="00D40B38">
        <w:trPr>
          <w:trHeight w:val="202"/>
        </w:trPr>
        <w:tc>
          <w:tcPr>
            <w:tcW w:w="4896" w:type="dxa"/>
            <w:tcBorders>
              <w:top w:val="single" w:sz="4" w:space="0" w:color="auto"/>
            </w:tcBorders>
            <w:shd w:val="clear" w:color="auto" w:fill="FFFFFF" w:themeFill="background1"/>
          </w:tcPr>
          <w:p w14:paraId="0583436D" w14:textId="77777777" w:rsidR="00270BB7" w:rsidRPr="00FE7240" w:rsidRDefault="00270BB7" w:rsidP="00C44E1D">
            <w:pPr>
              <w:rPr>
                <w:rFonts w:cs="Times New Roman"/>
                <w:b/>
                <w:bCs/>
                <w:szCs w:val="24"/>
              </w:rPr>
            </w:pPr>
            <w:r w:rsidRPr="00FE7240">
              <w:rPr>
                <w:rFonts w:cs="Times New Roman"/>
                <w:szCs w:val="24"/>
              </w:rPr>
              <w:t xml:space="preserve">CT scanner mode: </w:t>
            </w:r>
            <w:proofErr w:type="spellStart"/>
            <w:r w:rsidRPr="00FE7240">
              <w:rPr>
                <w:rFonts w:cs="Times New Roman"/>
                <w:szCs w:val="24"/>
              </w:rPr>
              <w:t>Multislice</w:t>
            </w:r>
            <w:proofErr w:type="spellEnd"/>
          </w:p>
        </w:tc>
        <w:tc>
          <w:tcPr>
            <w:tcW w:w="4896" w:type="dxa"/>
            <w:tcBorders>
              <w:top w:val="single" w:sz="4" w:space="0" w:color="auto"/>
            </w:tcBorders>
            <w:shd w:val="clear" w:color="auto" w:fill="FFFFFF" w:themeFill="background1"/>
          </w:tcPr>
          <w:p w14:paraId="17BE6505" w14:textId="77777777" w:rsidR="00270BB7" w:rsidRPr="00FE7240" w:rsidRDefault="00270BB7" w:rsidP="00C44E1D">
            <w:pPr>
              <w:rPr>
                <w:rFonts w:cs="Times New Roman"/>
                <w:szCs w:val="24"/>
              </w:rPr>
            </w:pPr>
            <w:proofErr w:type="spellStart"/>
            <w:r w:rsidRPr="00FE7240">
              <w:rPr>
                <w:rFonts w:cs="Times New Roman"/>
                <w:szCs w:val="24"/>
              </w:rPr>
              <w:t>Multislice</w:t>
            </w:r>
            <w:proofErr w:type="spellEnd"/>
          </w:p>
        </w:tc>
      </w:tr>
      <w:tr w:rsidR="00270BB7" w:rsidRPr="00FE7240" w14:paraId="24C2C970" w14:textId="77777777" w:rsidTr="00D40B38">
        <w:trPr>
          <w:trHeight w:val="231"/>
        </w:trPr>
        <w:tc>
          <w:tcPr>
            <w:tcW w:w="4896" w:type="dxa"/>
            <w:shd w:val="clear" w:color="auto" w:fill="FFFFFF" w:themeFill="background1"/>
          </w:tcPr>
          <w:p w14:paraId="02904F94" w14:textId="77777777" w:rsidR="00270BB7" w:rsidRPr="00FE7240" w:rsidRDefault="00270BB7" w:rsidP="00C44E1D">
            <w:pPr>
              <w:rPr>
                <w:rFonts w:cs="Times New Roman"/>
                <w:b/>
                <w:bCs/>
                <w:szCs w:val="24"/>
              </w:rPr>
            </w:pPr>
            <w:r w:rsidRPr="00FE7240">
              <w:rPr>
                <w:rFonts w:cs="Times New Roman"/>
                <w:szCs w:val="24"/>
              </w:rPr>
              <w:t>Slices per rotation</w:t>
            </w:r>
          </w:p>
        </w:tc>
        <w:tc>
          <w:tcPr>
            <w:tcW w:w="4896" w:type="dxa"/>
            <w:shd w:val="clear" w:color="auto" w:fill="FFFFFF" w:themeFill="background1"/>
          </w:tcPr>
          <w:p w14:paraId="7549A16D" w14:textId="77777777" w:rsidR="00270BB7" w:rsidRPr="00FE7240" w:rsidRDefault="00270BB7" w:rsidP="00C44E1D">
            <w:pPr>
              <w:rPr>
                <w:rFonts w:cs="Times New Roman"/>
                <w:szCs w:val="24"/>
              </w:rPr>
            </w:pPr>
            <w:r w:rsidRPr="00FE7240">
              <w:rPr>
                <w:rFonts w:cs="Times New Roman"/>
                <w:szCs w:val="24"/>
              </w:rPr>
              <w:t>16-cm volume (320 x 0.5mm)</w:t>
            </w:r>
          </w:p>
        </w:tc>
      </w:tr>
      <w:tr w:rsidR="00270BB7" w:rsidRPr="00FE7240" w14:paraId="2E16BE95" w14:textId="77777777" w:rsidTr="00D40B38">
        <w:trPr>
          <w:trHeight w:val="237"/>
        </w:trPr>
        <w:tc>
          <w:tcPr>
            <w:tcW w:w="4896" w:type="dxa"/>
            <w:shd w:val="clear" w:color="auto" w:fill="FFFFFF" w:themeFill="background1"/>
          </w:tcPr>
          <w:p w14:paraId="5FB69B63" w14:textId="77777777" w:rsidR="00270BB7" w:rsidRPr="00FE7240" w:rsidRDefault="00270BB7" w:rsidP="00C44E1D">
            <w:pPr>
              <w:rPr>
                <w:rFonts w:cs="Times New Roman"/>
                <w:b/>
                <w:bCs/>
                <w:szCs w:val="24"/>
              </w:rPr>
            </w:pPr>
            <w:r w:rsidRPr="00FE7240">
              <w:rPr>
                <w:rFonts w:cs="Times New Roman"/>
                <w:szCs w:val="24"/>
              </w:rPr>
              <w:t>Other rotation speed options (sec)</w:t>
            </w:r>
          </w:p>
        </w:tc>
        <w:tc>
          <w:tcPr>
            <w:tcW w:w="4896" w:type="dxa"/>
            <w:shd w:val="clear" w:color="auto" w:fill="FFFFFF" w:themeFill="background1"/>
          </w:tcPr>
          <w:p w14:paraId="7B740CAA" w14:textId="77777777" w:rsidR="00270BB7" w:rsidRPr="00FE7240" w:rsidRDefault="00270BB7" w:rsidP="00C44E1D">
            <w:pPr>
              <w:rPr>
                <w:rFonts w:cs="Times New Roman"/>
                <w:szCs w:val="24"/>
              </w:rPr>
            </w:pPr>
            <w:r w:rsidRPr="00FE7240">
              <w:rPr>
                <w:rFonts w:cs="Times New Roman"/>
                <w:szCs w:val="24"/>
              </w:rPr>
              <w:t>0.35, 0.375, 0.4, 0.45, 0.5, 0.6, 0.75, 1, 1.5</w:t>
            </w:r>
          </w:p>
        </w:tc>
      </w:tr>
      <w:tr w:rsidR="00270BB7" w:rsidRPr="00FE7240" w14:paraId="5ECE4408" w14:textId="77777777" w:rsidTr="00D40B38">
        <w:trPr>
          <w:trHeight w:val="331"/>
        </w:trPr>
        <w:tc>
          <w:tcPr>
            <w:tcW w:w="4896" w:type="dxa"/>
            <w:shd w:val="clear" w:color="auto" w:fill="FFFFFF" w:themeFill="background1"/>
          </w:tcPr>
          <w:p w14:paraId="399A3877" w14:textId="77777777" w:rsidR="00270BB7" w:rsidRPr="00FE7240" w:rsidRDefault="00270BB7" w:rsidP="00C44E1D">
            <w:pPr>
              <w:rPr>
                <w:rFonts w:cs="Times New Roman"/>
                <w:b/>
                <w:bCs/>
                <w:szCs w:val="24"/>
              </w:rPr>
            </w:pPr>
            <w:r w:rsidRPr="00FE7240">
              <w:rPr>
                <w:rFonts w:cs="Times New Roman"/>
                <w:szCs w:val="24"/>
              </w:rPr>
              <w:t>Minimum rotation speed</w:t>
            </w:r>
          </w:p>
        </w:tc>
        <w:tc>
          <w:tcPr>
            <w:tcW w:w="4896" w:type="dxa"/>
            <w:shd w:val="clear" w:color="auto" w:fill="FFFFFF" w:themeFill="background1"/>
          </w:tcPr>
          <w:p w14:paraId="6C74FB01" w14:textId="77777777" w:rsidR="00270BB7" w:rsidRPr="00FE7240" w:rsidRDefault="00270BB7" w:rsidP="00C44E1D">
            <w:pPr>
              <w:rPr>
                <w:rFonts w:cs="Times New Roman"/>
                <w:szCs w:val="24"/>
              </w:rPr>
            </w:pPr>
            <w:r w:rsidRPr="00FE7240">
              <w:rPr>
                <w:rFonts w:cs="Times New Roman"/>
                <w:szCs w:val="24"/>
              </w:rPr>
              <w:t>350msec</w:t>
            </w:r>
          </w:p>
        </w:tc>
      </w:tr>
      <w:tr w:rsidR="00270BB7" w:rsidRPr="00FE7240" w14:paraId="201649E1" w14:textId="77777777" w:rsidTr="00D40B38">
        <w:trPr>
          <w:trHeight w:val="248"/>
        </w:trPr>
        <w:tc>
          <w:tcPr>
            <w:tcW w:w="4896" w:type="dxa"/>
            <w:shd w:val="clear" w:color="auto" w:fill="FFFFFF" w:themeFill="background1"/>
          </w:tcPr>
          <w:p w14:paraId="2A14CBB0" w14:textId="77777777" w:rsidR="00270BB7" w:rsidRPr="00FE7240" w:rsidRDefault="00270BB7" w:rsidP="00C44E1D">
            <w:pPr>
              <w:rPr>
                <w:rFonts w:cs="Times New Roman"/>
                <w:b/>
                <w:bCs/>
                <w:szCs w:val="24"/>
              </w:rPr>
            </w:pPr>
            <w:r w:rsidRPr="00FE7240">
              <w:rPr>
                <w:rFonts w:cs="Times New Roman"/>
                <w:szCs w:val="24"/>
              </w:rPr>
              <w:t>Gantry diameter</w:t>
            </w:r>
          </w:p>
        </w:tc>
        <w:tc>
          <w:tcPr>
            <w:tcW w:w="4896" w:type="dxa"/>
            <w:shd w:val="clear" w:color="auto" w:fill="FFFFFF" w:themeFill="background1"/>
          </w:tcPr>
          <w:p w14:paraId="7AD6DE2C" w14:textId="77777777" w:rsidR="00270BB7" w:rsidRPr="00FE7240" w:rsidRDefault="00270BB7" w:rsidP="00C44E1D">
            <w:pPr>
              <w:rPr>
                <w:rFonts w:cs="Times New Roman"/>
                <w:szCs w:val="24"/>
              </w:rPr>
            </w:pPr>
            <w:r w:rsidRPr="00FE7240">
              <w:rPr>
                <w:rFonts w:cs="Times New Roman"/>
                <w:szCs w:val="24"/>
              </w:rPr>
              <w:t>72 cm</w:t>
            </w:r>
          </w:p>
        </w:tc>
      </w:tr>
      <w:tr w:rsidR="00270BB7" w:rsidRPr="00FE7240" w14:paraId="49893C0F" w14:textId="77777777" w:rsidTr="00D40B38">
        <w:trPr>
          <w:trHeight w:val="297"/>
        </w:trPr>
        <w:tc>
          <w:tcPr>
            <w:tcW w:w="4896" w:type="dxa"/>
            <w:shd w:val="clear" w:color="auto" w:fill="FFFFFF" w:themeFill="background1"/>
          </w:tcPr>
          <w:p w14:paraId="121CF503" w14:textId="77777777" w:rsidR="00270BB7" w:rsidRPr="00FE7240" w:rsidRDefault="00270BB7" w:rsidP="00C44E1D">
            <w:pPr>
              <w:rPr>
                <w:rFonts w:cs="Times New Roman"/>
                <w:b/>
                <w:bCs/>
                <w:szCs w:val="24"/>
              </w:rPr>
            </w:pPr>
            <w:r w:rsidRPr="00FE7240">
              <w:rPr>
                <w:rFonts w:cs="Times New Roman"/>
                <w:szCs w:val="24"/>
              </w:rPr>
              <w:t>Minimum temporal resolution (msec)</w:t>
            </w:r>
          </w:p>
        </w:tc>
        <w:tc>
          <w:tcPr>
            <w:tcW w:w="4896" w:type="dxa"/>
            <w:shd w:val="clear" w:color="auto" w:fill="FFFFFF" w:themeFill="background1"/>
          </w:tcPr>
          <w:p w14:paraId="7BF0375F" w14:textId="77777777" w:rsidR="00270BB7" w:rsidRPr="00FE7240" w:rsidRDefault="00270BB7" w:rsidP="00C44E1D">
            <w:pPr>
              <w:rPr>
                <w:rFonts w:cs="Times New Roman"/>
                <w:szCs w:val="24"/>
              </w:rPr>
            </w:pPr>
            <w:r w:rsidRPr="00FE7240">
              <w:rPr>
                <w:rFonts w:cs="Times New Roman"/>
                <w:szCs w:val="24"/>
              </w:rPr>
              <w:t>16 cm full volume 350 msec</w:t>
            </w:r>
          </w:p>
        </w:tc>
      </w:tr>
      <w:tr w:rsidR="00270BB7" w:rsidRPr="00FE7240" w14:paraId="26C7DFD4" w14:textId="77777777" w:rsidTr="00D40B38">
        <w:trPr>
          <w:trHeight w:val="258"/>
        </w:trPr>
        <w:tc>
          <w:tcPr>
            <w:tcW w:w="4896" w:type="dxa"/>
            <w:shd w:val="clear" w:color="auto" w:fill="FFFFFF" w:themeFill="background1"/>
          </w:tcPr>
          <w:p w14:paraId="30D1F1BA" w14:textId="77777777" w:rsidR="00270BB7" w:rsidRPr="00FE7240" w:rsidRDefault="00270BB7" w:rsidP="00C44E1D">
            <w:pPr>
              <w:rPr>
                <w:rFonts w:cs="Times New Roman"/>
                <w:b/>
                <w:bCs/>
                <w:szCs w:val="24"/>
              </w:rPr>
            </w:pPr>
            <w:r w:rsidRPr="00FE7240">
              <w:rPr>
                <w:rFonts w:cs="Times New Roman"/>
                <w:szCs w:val="24"/>
              </w:rPr>
              <w:t>Maximum beam width</w:t>
            </w:r>
          </w:p>
        </w:tc>
        <w:tc>
          <w:tcPr>
            <w:tcW w:w="4896" w:type="dxa"/>
            <w:shd w:val="clear" w:color="auto" w:fill="FFFFFF" w:themeFill="background1"/>
          </w:tcPr>
          <w:p w14:paraId="01334417" w14:textId="77777777" w:rsidR="00270BB7" w:rsidRPr="00FE7240" w:rsidRDefault="00270BB7" w:rsidP="00C44E1D">
            <w:pPr>
              <w:rPr>
                <w:rFonts w:cs="Times New Roman"/>
                <w:szCs w:val="24"/>
              </w:rPr>
            </w:pPr>
            <w:r w:rsidRPr="00FE7240">
              <w:rPr>
                <w:rFonts w:cs="Times New Roman"/>
                <w:szCs w:val="24"/>
              </w:rPr>
              <w:t>16 cm</w:t>
            </w:r>
          </w:p>
        </w:tc>
      </w:tr>
      <w:tr w:rsidR="00270BB7" w:rsidRPr="00FE7240" w14:paraId="4A64312B" w14:textId="77777777" w:rsidTr="00D40B38">
        <w:trPr>
          <w:trHeight w:val="308"/>
        </w:trPr>
        <w:tc>
          <w:tcPr>
            <w:tcW w:w="4896" w:type="dxa"/>
            <w:shd w:val="clear" w:color="auto" w:fill="FFFFFF" w:themeFill="background1"/>
          </w:tcPr>
          <w:p w14:paraId="5CE287B4" w14:textId="77777777" w:rsidR="00270BB7" w:rsidRPr="00FE7240" w:rsidRDefault="00270BB7" w:rsidP="00C44E1D">
            <w:pPr>
              <w:tabs>
                <w:tab w:val="left" w:pos="1842"/>
              </w:tabs>
              <w:rPr>
                <w:rFonts w:cs="Times New Roman"/>
                <w:b/>
                <w:bCs/>
                <w:szCs w:val="24"/>
              </w:rPr>
            </w:pPr>
            <w:r w:rsidRPr="00FE7240">
              <w:rPr>
                <w:rFonts w:cs="Times New Roman"/>
                <w:szCs w:val="24"/>
              </w:rPr>
              <w:t>Minimum room size (length x width x height)</w:t>
            </w:r>
          </w:p>
        </w:tc>
        <w:tc>
          <w:tcPr>
            <w:tcW w:w="4896" w:type="dxa"/>
            <w:shd w:val="clear" w:color="auto" w:fill="FFFFFF" w:themeFill="background1"/>
          </w:tcPr>
          <w:p w14:paraId="797CF8DD" w14:textId="77777777" w:rsidR="00270BB7" w:rsidRPr="00FE7240" w:rsidRDefault="00270BB7" w:rsidP="00C44E1D">
            <w:pPr>
              <w:rPr>
                <w:rFonts w:cs="Times New Roman"/>
                <w:szCs w:val="24"/>
              </w:rPr>
            </w:pPr>
            <w:r w:rsidRPr="00FE7240">
              <w:rPr>
                <w:rFonts w:cs="Times New Roman"/>
                <w:szCs w:val="24"/>
              </w:rPr>
              <w:t>Site dependent</w:t>
            </w:r>
          </w:p>
        </w:tc>
      </w:tr>
      <w:tr w:rsidR="00270BB7" w:rsidRPr="00FE7240" w14:paraId="6F90B5A5" w14:textId="77777777" w:rsidTr="00D40B38">
        <w:trPr>
          <w:trHeight w:val="328"/>
        </w:trPr>
        <w:tc>
          <w:tcPr>
            <w:tcW w:w="4896" w:type="dxa"/>
            <w:shd w:val="clear" w:color="auto" w:fill="FFFFFF" w:themeFill="background1"/>
          </w:tcPr>
          <w:p w14:paraId="00BF1445" w14:textId="77777777" w:rsidR="00270BB7" w:rsidRPr="00FE7240" w:rsidRDefault="00270BB7" w:rsidP="00C44E1D">
            <w:pPr>
              <w:rPr>
                <w:rFonts w:cs="Times New Roman"/>
                <w:b/>
                <w:szCs w:val="24"/>
              </w:rPr>
            </w:pPr>
            <w:r w:rsidRPr="00FE7240">
              <w:rPr>
                <w:rFonts w:cs="Times New Roman"/>
                <w:szCs w:val="24"/>
              </w:rPr>
              <w:t>Table weight limit</w:t>
            </w:r>
          </w:p>
        </w:tc>
        <w:tc>
          <w:tcPr>
            <w:tcW w:w="4896" w:type="dxa"/>
            <w:shd w:val="clear" w:color="auto" w:fill="FFFFFF" w:themeFill="background1"/>
          </w:tcPr>
          <w:p w14:paraId="3D793FC8" w14:textId="77777777" w:rsidR="00270BB7" w:rsidRPr="00FE7240" w:rsidRDefault="00270BB7" w:rsidP="00C44E1D">
            <w:pPr>
              <w:rPr>
                <w:rFonts w:cs="Times New Roman"/>
                <w:szCs w:val="24"/>
              </w:rPr>
            </w:pPr>
            <w:r w:rsidRPr="00FE7240">
              <w:rPr>
                <w:rFonts w:cs="Times New Roman"/>
                <w:szCs w:val="24"/>
              </w:rPr>
              <w:t xml:space="preserve">660 </w:t>
            </w:r>
            <w:proofErr w:type="spellStart"/>
            <w:r w:rsidRPr="00FE7240">
              <w:rPr>
                <w:rFonts w:cs="Times New Roman"/>
                <w:szCs w:val="24"/>
              </w:rPr>
              <w:t>lb</w:t>
            </w:r>
            <w:proofErr w:type="spellEnd"/>
          </w:p>
        </w:tc>
      </w:tr>
      <w:tr w:rsidR="00270BB7" w:rsidRPr="00FE7240" w14:paraId="0C29C8A2" w14:textId="77777777" w:rsidTr="00D40B38">
        <w:trPr>
          <w:trHeight w:val="212"/>
        </w:trPr>
        <w:tc>
          <w:tcPr>
            <w:tcW w:w="4896" w:type="dxa"/>
            <w:shd w:val="clear" w:color="auto" w:fill="FFFFFF" w:themeFill="background1"/>
          </w:tcPr>
          <w:p w14:paraId="1D956604" w14:textId="77777777" w:rsidR="00270BB7" w:rsidRPr="00FE7240" w:rsidRDefault="00270BB7" w:rsidP="00C44E1D">
            <w:pPr>
              <w:rPr>
                <w:rFonts w:cs="Times New Roman"/>
                <w:b/>
                <w:bCs/>
                <w:szCs w:val="24"/>
              </w:rPr>
            </w:pPr>
            <w:r w:rsidRPr="00FE7240">
              <w:rPr>
                <w:rFonts w:cs="Times New Roman"/>
                <w:szCs w:val="24"/>
              </w:rPr>
              <w:t>Table movement range</w:t>
            </w:r>
          </w:p>
        </w:tc>
        <w:tc>
          <w:tcPr>
            <w:tcW w:w="4896" w:type="dxa"/>
            <w:shd w:val="clear" w:color="auto" w:fill="FFFFFF" w:themeFill="background1"/>
          </w:tcPr>
          <w:p w14:paraId="077770A9" w14:textId="77777777" w:rsidR="00270BB7" w:rsidRPr="00FE7240" w:rsidRDefault="00270BB7" w:rsidP="00C44E1D">
            <w:pPr>
              <w:rPr>
                <w:rFonts w:cs="Times New Roman"/>
                <w:szCs w:val="24"/>
              </w:rPr>
            </w:pPr>
            <w:r w:rsidRPr="00FE7240">
              <w:rPr>
                <w:rFonts w:cs="Times New Roman"/>
                <w:szCs w:val="24"/>
              </w:rPr>
              <w:t>33-98.8 vertical/ 20-195 cm longitudinal</w:t>
            </w:r>
          </w:p>
        </w:tc>
      </w:tr>
      <w:tr w:rsidR="00270BB7" w:rsidRPr="00FE7240" w14:paraId="654F4602" w14:textId="77777777" w:rsidTr="00D40B38">
        <w:trPr>
          <w:trHeight w:val="277"/>
        </w:trPr>
        <w:tc>
          <w:tcPr>
            <w:tcW w:w="4896" w:type="dxa"/>
            <w:shd w:val="clear" w:color="auto" w:fill="FFFFFF" w:themeFill="background1"/>
          </w:tcPr>
          <w:p w14:paraId="3A029C09" w14:textId="77777777" w:rsidR="00270BB7" w:rsidRPr="00FE7240" w:rsidRDefault="00270BB7" w:rsidP="00C44E1D">
            <w:pPr>
              <w:rPr>
                <w:rFonts w:cs="Times New Roman"/>
                <w:b/>
                <w:bCs/>
                <w:szCs w:val="24"/>
              </w:rPr>
            </w:pPr>
            <w:r w:rsidRPr="00FE7240">
              <w:rPr>
                <w:rFonts w:cs="Times New Roman"/>
                <w:szCs w:val="24"/>
              </w:rPr>
              <w:t>X-ray generator kV range</w:t>
            </w:r>
          </w:p>
        </w:tc>
        <w:tc>
          <w:tcPr>
            <w:tcW w:w="4896" w:type="dxa"/>
            <w:shd w:val="clear" w:color="auto" w:fill="FFFFFF" w:themeFill="background1"/>
          </w:tcPr>
          <w:p w14:paraId="1128CD0E" w14:textId="77777777" w:rsidR="00270BB7" w:rsidRPr="00FE7240" w:rsidRDefault="00270BB7" w:rsidP="00C44E1D">
            <w:pPr>
              <w:rPr>
                <w:rFonts w:cs="Times New Roman"/>
                <w:szCs w:val="24"/>
              </w:rPr>
            </w:pPr>
            <w:r w:rsidRPr="00FE7240">
              <w:rPr>
                <w:rFonts w:cs="Times New Roman"/>
                <w:szCs w:val="24"/>
              </w:rPr>
              <w:t>80-135 kV</w:t>
            </w:r>
            <w:r w:rsidRPr="00FE7240">
              <w:rPr>
                <w:rFonts w:cs="Times New Roman"/>
                <w:szCs w:val="24"/>
                <w:vertAlign w:val="subscript"/>
              </w:rPr>
              <w:t>p</w:t>
            </w:r>
          </w:p>
        </w:tc>
      </w:tr>
      <w:tr w:rsidR="00270BB7" w:rsidRPr="00FE7240" w14:paraId="688BF8A1" w14:textId="77777777" w:rsidTr="00D40B38">
        <w:trPr>
          <w:trHeight w:val="296"/>
        </w:trPr>
        <w:tc>
          <w:tcPr>
            <w:tcW w:w="4896" w:type="dxa"/>
            <w:shd w:val="clear" w:color="auto" w:fill="FFFFFF" w:themeFill="background1"/>
          </w:tcPr>
          <w:p w14:paraId="2D3DB636" w14:textId="77777777" w:rsidR="00270BB7" w:rsidRPr="00FE7240" w:rsidRDefault="00270BB7" w:rsidP="00C44E1D">
            <w:pPr>
              <w:rPr>
                <w:rFonts w:cs="Times New Roman"/>
                <w:b/>
                <w:bCs/>
                <w:szCs w:val="24"/>
              </w:rPr>
            </w:pPr>
            <w:r w:rsidRPr="00FE7240">
              <w:rPr>
                <w:rFonts w:cs="Times New Roman"/>
                <w:szCs w:val="24"/>
              </w:rPr>
              <w:t>Maximum scan range</w:t>
            </w:r>
          </w:p>
        </w:tc>
        <w:tc>
          <w:tcPr>
            <w:tcW w:w="4896" w:type="dxa"/>
            <w:shd w:val="clear" w:color="auto" w:fill="FFFFFF" w:themeFill="background1"/>
          </w:tcPr>
          <w:p w14:paraId="3383F648" w14:textId="77777777" w:rsidR="00270BB7" w:rsidRPr="00FE7240" w:rsidRDefault="00270BB7" w:rsidP="00C44E1D">
            <w:pPr>
              <w:rPr>
                <w:rFonts w:cs="Times New Roman"/>
                <w:szCs w:val="24"/>
              </w:rPr>
            </w:pPr>
            <w:r w:rsidRPr="00FE7240">
              <w:rPr>
                <w:rFonts w:cs="Times New Roman"/>
                <w:szCs w:val="24"/>
              </w:rPr>
              <w:t>200 cm</w:t>
            </w:r>
          </w:p>
        </w:tc>
      </w:tr>
      <w:tr w:rsidR="00270BB7" w:rsidRPr="00FE7240" w14:paraId="3F62543C" w14:textId="77777777" w:rsidTr="00D40B38">
        <w:trPr>
          <w:trHeight w:val="225"/>
        </w:trPr>
        <w:tc>
          <w:tcPr>
            <w:tcW w:w="4896" w:type="dxa"/>
            <w:shd w:val="clear" w:color="auto" w:fill="FFFFFF" w:themeFill="background1"/>
          </w:tcPr>
          <w:p w14:paraId="5CCE1579" w14:textId="77777777" w:rsidR="00270BB7" w:rsidRPr="00FE7240" w:rsidRDefault="00270BB7" w:rsidP="00C44E1D">
            <w:pPr>
              <w:rPr>
                <w:rFonts w:cs="Times New Roman"/>
                <w:b/>
                <w:bCs/>
                <w:szCs w:val="24"/>
              </w:rPr>
            </w:pPr>
            <w:r w:rsidRPr="00FE7240">
              <w:rPr>
                <w:rFonts w:cs="Times New Roman"/>
                <w:szCs w:val="24"/>
              </w:rPr>
              <w:t>X-ray tube heat capacity</w:t>
            </w:r>
          </w:p>
        </w:tc>
        <w:tc>
          <w:tcPr>
            <w:tcW w:w="4896" w:type="dxa"/>
            <w:shd w:val="clear" w:color="auto" w:fill="FFFFFF" w:themeFill="background1"/>
          </w:tcPr>
          <w:p w14:paraId="691AACC1" w14:textId="77777777" w:rsidR="00270BB7" w:rsidRPr="00FE7240" w:rsidRDefault="00270BB7" w:rsidP="00C44E1D">
            <w:pPr>
              <w:rPr>
                <w:rFonts w:cs="Times New Roman"/>
                <w:szCs w:val="24"/>
              </w:rPr>
            </w:pPr>
            <w:r w:rsidRPr="00FE7240">
              <w:rPr>
                <w:rFonts w:cs="Times New Roman"/>
                <w:szCs w:val="24"/>
              </w:rPr>
              <w:t>7.5 MHU</w:t>
            </w:r>
          </w:p>
        </w:tc>
      </w:tr>
      <w:tr w:rsidR="00270BB7" w:rsidRPr="00FE7240" w14:paraId="477796D7" w14:textId="77777777" w:rsidTr="00D40B38">
        <w:trPr>
          <w:trHeight w:val="297"/>
        </w:trPr>
        <w:tc>
          <w:tcPr>
            <w:tcW w:w="4896" w:type="dxa"/>
            <w:tcBorders>
              <w:bottom w:val="single" w:sz="4" w:space="0" w:color="auto"/>
            </w:tcBorders>
            <w:shd w:val="clear" w:color="auto" w:fill="FFFFFF" w:themeFill="background1"/>
          </w:tcPr>
          <w:p w14:paraId="3A465FC2" w14:textId="77777777" w:rsidR="00270BB7" w:rsidRPr="00FE7240" w:rsidRDefault="00270BB7" w:rsidP="00C44E1D">
            <w:pPr>
              <w:rPr>
                <w:rFonts w:cs="Times New Roman"/>
                <w:b/>
                <w:bCs/>
                <w:szCs w:val="24"/>
              </w:rPr>
            </w:pPr>
            <w:r w:rsidRPr="00FE7240">
              <w:rPr>
                <w:rFonts w:cs="Times New Roman"/>
                <w:szCs w:val="24"/>
              </w:rPr>
              <w:t>Power requirement</w:t>
            </w:r>
          </w:p>
        </w:tc>
        <w:tc>
          <w:tcPr>
            <w:tcW w:w="4896" w:type="dxa"/>
            <w:tcBorders>
              <w:bottom w:val="single" w:sz="4" w:space="0" w:color="auto"/>
            </w:tcBorders>
            <w:shd w:val="clear" w:color="auto" w:fill="FFFFFF" w:themeFill="background1"/>
          </w:tcPr>
          <w:p w14:paraId="38D466C6" w14:textId="77777777" w:rsidR="00270BB7" w:rsidRPr="00FE7240" w:rsidRDefault="00270BB7" w:rsidP="00C44E1D">
            <w:pPr>
              <w:rPr>
                <w:rFonts w:cs="Times New Roman"/>
                <w:szCs w:val="24"/>
              </w:rPr>
            </w:pPr>
            <w:r w:rsidRPr="00FE7240">
              <w:rPr>
                <w:rFonts w:cs="Times New Roman"/>
                <w:szCs w:val="24"/>
              </w:rPr>
              <w:t>480 VAC, 135 kVA</w:t>
            </w:r>
          </w:p>
        </w:tc>
      </w:tr>
    </w:tbl>
    <w:p w14:paraId="4A6E7888" w14:textId="710AF1CF" w:rsidR="00BD1F9D" w:rsidRDefault="00BD1F9D" w:rsidP="00C44E1D">
      <w:pPr>
        <w:spacing w:line="240" w:lineRule="auto"/>
        <w:ind w:firstLine="720"/>
        <w:rPr>
          <w:rFonts w:cs="Times New Roman"/>
          <w:szCs w:val="24"/>
        </w:rPr>
      </w:pPr>
      <w:bookmarkStart w:id="3" w:name="_Toc82774784"/>
    </w:p>
    <w:p w14:paraId="722BB749" w14:textId="77777777" w:rsidR="008B1580" w:rsidRDefault="008B1580" w:rsidP="00550D21">
      <w:pPr>
        <w:spacing w:line="240" w:lineRule="auto"/>
        <w:rPr>
          <w:rFonts w:cs="Times New Roman"/>
          <w:szCs w:val="24"/>
        </w:rPr>
      </w:pPr>
    </w:p>
    <w:p w14:paraId="26DD7EEF" w14:textId="3A0D8655" w:rsidR="008B1580" w:rsidRDefault="00247394">
      <w:pPr>
        <w:spacing w:line="480" w:lineRule="auto"/>
        <w:rPr>
          <w:rFonts w:cs="Times New Roman"/>
          <w:szCs w:val="24"/>
        </w:rPr>
      </w:pPr>
      <w:r>
        <w:rPr>
          <w:rFonts w:cs="Times New Roman"/>
          <w:iCs/>
          <w:szCs w:val="24"/>
        </w:rPr>
        <w:t xml:space="preserve">The </w:t>
      </w:r>
      <w:proofErr w:type="spellStart"/>
      <w:r w:rsidR="008B1580" w:rsidRPr="00550D21">
        <w:rPr>
          <w:rFonts w:cs="Times New Roman"/>
          <w:i/>
          <w:iCs/>
          <w:szCs w:val="24"/>
        </w:rPr>
        <w:t>D</w:t>
      </w:r>
      <w:r w:rsidR="008B1580" w:rsidRPr="00550D21">
        <w:rPr>
          <w:rFonts w:cs="Times New Roman"/>
          <w:i/>
          <w:iCs/>
          <w:szCs w:val="24"/>
          <w:vertAlign w:val="subscript"/>
        </w:rPr>
        <w:t>eff</w:t>
      </w:r>
      <w:proofErr w:type="spellEnd"/>
      <w:r w:rsidR="008B1580">
        <w:rPr>
          <w:rFonts w:cs="Times New Roman"/>
          <w:szCs w:val="24"/>
        </w:rPr>
        <w:t xml:space="preserve"> </w:t>
      </w:r>
      <w:r w:rsidR="008B1580" w:rsidRPr="00185C01">
        <w:rPr>
          <w:rFonts w:cs="Times New Roman"/>
          <w:szCs w:val="24"/>
        </w:rPr>
        <w:t xml:space="preserve">for each patient </w:t>
      </w:r>
      <w:r w:rsidR="006A6142" w:rsidRPr="006A6142">
        <w:rPr>
          <w:rFonts w:cs="Times New Roman"/>
          <w:szCs w:val="24"/>
        </w:rPr>
        <w:t xml:space="preserve">was subsequently </w:t>
      </w:r>
      <w:r w:rsidR="008B1580" w:rsidRPr="00185C01">
        <w:rPr>
          <w:rFonts w:cs="Times New Roman"/>
          <w:szCs w:val="24"/>
        </w:rPr>
        <w:t>calculated from the</w:t>
      </w:r>
      <w:r w:rsidR="008B1580">
        <w:rPr>
          <w:rFonts w:cs="Times New Roman"/>
          <w:szCs w:val="24"/>
        </w:rPr>
        <w:t xml:space="preserve"> product of </w:t>
      </w:r>
      <w:r w:rsidR="008B1580" w:rsidRPr="00185C01">
        <w:rPr>
          <w:rFonts w:cs="Times New Roman"/>
          <w:szCs w:val="24"/>
        </w:rPr>
        <w:t xml:space="preserve">DLP </w:t>
      </w:r>
      <w:r w:rsidR="008B1580">
        <w:rPr>
          <w:rFonts w:cs="Times New Roman"/>
          <w:szCs w:val="24"/>
        </w:rPr>
        <w:t xml:space="preserve">and </w:t>
      </w:r>
      <w:r w:rsidR="008B1580" w:rsidRPr="00185C01">
        <w:rPr>
          <w:rFonts w:cs="Times New Roman"/>
          <w:szCs w:val="24"/>
        </w:rPr>
        <w:t>a conversion</w:t>
      </w:r>
      <w:r w:rsidR="008B1580">
        <w:rPr>
          <w:rFonts w:cs="Times New Roman"/>
          <w:szCs w:val="24"/>
        </w:rPr>
        <w:t xml:space="preserve"> </w:t>
      </w:r>
      <w:r w:rsidR="008B1580" w:rsidRPr="00185C01">
        <w:rPr>
          <w:rFonts w:cs="Times New Roman"/>
          <w:szCs w:val="24"/>
        </w:rPr>
        <w:t xml:space="preserve">coefficient for </w:t>
      </w:r>
      <w:r w:rsidR="008B1580">
        <w:rPr>
          <w:rFonts w:cs="Times New Roman"/>
          <w:szCs w:val="24"/>
        </w:rPr>
        <w:t xml:space="preserve">the </w:t>
      </w:r>
      <w:r w:rsidR="008B1580" w:rsidRPr="00185C01">
        <w:rPr>
          <w:rFonts w:cs="Times New Roman"/>
          <w:szCs w:val="24"/>
        </w:rPr>
        <w:t>specific body region</w:t>
      </w:r>
      <w:r w:rsidR="007F2F82">
        <w:rPr>
          <w:rFonts w:cs="Times New Roman"/>
          <w:szCs w:val="24"/>
        </w:rPr>
        <w:t xml:space="preserve"> (0.0023)</w:t>
      </w:r>
      <w:r w:rsidR="008B1580">
        <w:rPr>
          <w:rFonts w:cs="Times New Roman"/>
          <w:szCs w:val="24"/>
        </w:rPr>
        <w:t xml:space="preserve"> </w:t>
      </w:r>
      <w:r w:rsidR="007F2F82" w:rsidRPr="007F2F82">
        <w:rPr>
          <w:rFonts w:cs="Times New Roman"/>
          <w:szCs w:val="24"/>
        </w:rPr>
        <w:t>proposed by the Eu</w:t>
      </w:r>
      <w:r w:rsidR="00890679">
        <w:rPr>
          <w:rFonts w:cs="Times New Roman"/>
          <w:szCs w:val="24"/>
        </w:rPr>
        <w:t>r</w:t>
      </w:r>
      <w:r w:rsidR="007F2F82" w:rsidRPr="007F2F82">
        <w:rPr>
          <w:rFonts w:cs="Times New Roman"/>
          <w:szCs w:val="24"/>
        </w:rPr>
        <w:t>opean Com</w:t>
      </w:r>
      <w:r w:rsidR="00890679">
        <w:rPr>
          <w:rFonts w:cs="Times New Roman"/>
          <w:szCs w:val="24"/>
        </w:rPr>
        <w:t>m</w:t>
      </w:r>
      <w:r w:rsidR="007F2F82" w:rsidRPr="007F2F82">
        <w:rPr>
          <w:rFonts w:cs="Times New Roman"/>
          <w:szCs w:val="24"/>
        </w:rPr>
        <w:t xml:space="preserve">ission </w:t>
      </w:r>
      <w:r w:rsidR="008B1580" w:rsidRPr="00185C01">
        <w:rPr>
          <w:rFonts w:cs="Times New Roman"/>
          <w:szCs w:val="24"/>
        </w:rPr>
        <w:fldChar w:fldCharType="begin" w:fldLock="1"/>
      </w:r>
      <w:r w:rsidR="008B1580">
        <w:rPr>
          <w:rFonts w:cs="Times New Roman"/>
          <w:szCs w:val="24"/>
        </w:rPr>
        <w:instrText>ADDIN CSL_CITATION {"citationItems":[{"id":"ITEM-1","itemData":{"DOI":"10.2214/AJR.14.13317","ISSN":"15463141","PMID":"25729893","abstract":"OBJECTIVE. The purpose of this study is to show how to calculate effective dose in CT using size-specific dose estimates and to correct the current method using dose-length product (DLP). MATERIALS AND METHODS. Data were analyzed from 352 chest and 241 abdominopelvic CT images. Size-specific dose estimate was used as a surrogate for organ dose in the chest and abdominopelvic regions. Organ doses were averaged by patient weight-based populations and were used to calculate effective dose by the International Commission on Radiological Protection (ICRP) report 103 method using tissue-weighting factors (EICRP). In addition, effective dose was calculated using population-averaged CT examination DLP for the chest and abdominopelvic region using published k-coefficients (EDLP = k × DLP). RESULTS. EDLP differed from EICRP by an average of 21% (1.4 vs 1.1) in the chest and 42% (2.4 vs 3.4) in the abdominopelvic region. The differences occurred because the published kcoefficients did not account for pitch factor other than unity, were derived using a 32-cm diameter CT dose index (CTDI) phantom for CT examinations of the pediatric body, and used ICRP 60 tissue-weighting factors. Once it was corrected for pitch factor, the appropriate size of CTDI phantom, and ICRP 103 tissue-weighting factors, EDLP improved in agreement with EICRP to better than 7% (1.4 vs 1.3) and 4% (2.4 vs 2.5) for chest and abdominopelvic regions, respectively. CONCLUSION. Current use of DLP to calculate effective dose was shown to be deficient because of the outdated means by which the k-coefficients were derived. This study shows a means to calculate EICRP using patient size-specific dose estimate and how to appropriately correct EDLP.","author":[{"dropping-particle":"","family":"Brady","given":"Samuel L.","non-dropping-particle":"","parse-names":false,"suffix":""},{"dropping-particle":"","family":"Mirro","given":"Amy E.","non-dropping-particle":"","parse-names":false,"suffix":""},{"dropping-particle":"","family":"Moore","given":"Bria M.","non-dropping-particle":"","parse-names":false,"suffix":""},{"dropping-particle":"","family":"Kaufman","given":"Robert A.","non-dropping-particle":"","parse-names":false,"suffix":""}],"container-title":"American Journal of Roentgenology","id":"ITEM-1","issue":"5","issued":{"date-parts":[["2015","5","1"]]},"page":"953-958","publisher":"American Roentgen Ray Society","title":"How to appropriately calculate effective dose for CT using either size-specific dose estimates or dose-length product","type":"article-journal","volume":"204"},"uris":["http://www.mendeley.com/documents/?uuid=8490392e-ed5b-396e-81f3-4043c938bf78"]}],"mendeley":{"formattedCitation":"(Brady et al., 2015)","plainTextFormattedCitation":"(Brady et al., 2015)","previouslyFormattedCitation":"(Brady et al., 2015)"},"properties":{"noteIndex":0},"schema":"https://github.com/citation-style-language/schema/raw/master/csl-citation.json"}</w:instrText>
      </w:r>
      <w:r w:rsidR="008B1580" w:rsidRPr="00185C01">
        <w:rPr>
          <w:rFonts w:cs="Times New Roman"/>
          <w:szCs w:val="24"/>
        </w:rPr>
        <w:fldChar w:fldCharType="separate"/>
      </w:r>
      <w:r w:rsidR="008B1580" w:rsidRPr="00185C01">
        <w:rPr>
          <w:rFonts w:cs="Times New Roman"/>
          <w:noProof/>
          <w:szCs w:val="24"/>
        </w:rPr>
        <w:t>(Brady et al., 2015)</w:t>
      </w:r>
      <w:r w:rsidR="008B1580" w:rsidRPr="00185C01">
        <w:rPr>
          <w:rFonts w:cs="Times New Roman"/>
          <w:szCs w:val="24"/>
        </w:rPr>
        <w:fldChar w:fldCharType="end"/>
      </w:r>
      <w:r w:rsidR="007F2F82">
        <w:rPr>
          <w:rFonts w:cs="Times New Roman"/>
          <w:szCs w:val="24"/>
        </w:rPr>
        <w:t xml:space="preserve">. Subsequently, the mean </w:t>
      </w:r>
      <w:proofErr w:type="spellStart"/>
      <w:proofErr w:type="gramStart"/>
      <w:r w:rsidR="007F2F82" w:rsidRPr="00550D21">
        <w:rPr>
          <w:rFonts w:cs="Times New Roman"/>
          <w:i/>
          <w:iCs/>
          <w:szCs w:val="24"/>
        </w:rPr>
        <w:t>D</w:t>
      </w:r>
      <w:r w:rsidR="007F2F82" w:rsidRPr="00550D21">
        <w:rPr>
          <w:rFonts w:cs="Times New Roman"/>
          <w:i/>
          <w:iCs/>
          <w:szCs w:val="24"/>
          <w:vertAlign w:val="subscript"/>
        </w:rPr>
        <w:t>eff</w:t>
      </w:r>
      <w:proofErr w:type="spellEnd"/>
      <w:r w:rsidR="007F2F82" w:rsidRPr="00550D21">
        <w:rPr>
          <w:rFonts w:cs="Times New Roman"/>
          <w:szCs w:val="24"/>
          <w:vertAlign w:val="subscript"/>
        </w:rPr>
        <w:t xml:space="preserve"> </w:t>
      </w:r>
      <w:r w:rsidR="007F2F82">
        <w:rPr>
          <w:rFonts w:cs="Times New Roman"/>
          <w:szCs w:val="24"/>
          <w:vertAlign w:val="subscript"/>
        </w:rPr>
        <w:t xml:space="preserve"> </w:t>
      </w:r>
      <w:r w:rsidR="007F2F82">
        <w:rPr>
          <w:rFonts w:cs="Times New Roman"/>
          <w:szCs w:val="24"/>
        </w:rPr>
        <w:t>was</w:t>
      </w:r>
      <w:proofErr w:type="gramEnd"/>
      <w:r w:rsidR="007F2F82">
        <w:rPr>
          <w:rFonts w:cs="Times New Roman"/>
          <w:szCs w:val="24"/>
        </w:rPr>
        <w:t xml:space="preserve"> calculated of all</w:t>
      </w:r>
      <w:r w:rsidR="00890679">
        <w:rPr>
          <w:rFonts w:cs="Times New Roman"/>
          <w:szCs w:val="24"/>
        </w:rPr>
        <w:t xml:space="preserve"> </w:t>
      </w:r>
      <w:r w:rsidR="008B1580">
        <w:rPr>
          <w:rFonts w:cs="Times New Roman"/>
          <w:szCs w:val="24"/>
        </w:rPr>
        <w:t>402 patients</w:t>
      </w:r>
      <w:r w:rsidR="007F2F82">
        <w:rPr>
          <w:rFonts w:cs="Times New Roman"/>
          <w:szCs w:val="24"/>
        </w:rPr>
        <w:t>.</w:t>
      </w:r>
    </w:p>
    <w:bookmarkEnd w:id="3"/>
    <w:p w14:paraId="5E09312B" w14:textId="7099046A" w:rsidR="001D6563" w:rsidRDefault="000C6CB2" w:rsidP="006A6142">
      <w:pPr>
        <w:spacing w:line="480" w:lineRule="auto"/>
        <w:ind w:firstLine="720"/>
        <w:rPr>
          <w:rFonts w:cs="Times New Roman"/>
          <w:szCs w:val="24"/>
        </w:rPr>
      </w:pPr>
      <w:r>
        <w:rPr>
          <w:rFonts w:cs="Times New Roman"/>
          <w:szCs w:val="24"/>
        </w:rPr>
        <w:t>With knowledge of the average dose output (CTDI</w:t>
      </w:r>
      <w:r w:rsidRPr="00550D21">
        <w:rPr>
          <w:rFonts w:cs="Times New Roman"/>
          <w:szCs w:val="24"/>
          <w:vertAlign w:val="subscript"/>
        </w:rPr>
        <w:t>vol</w:t>
      </w:r>
      <w:r>
        <w:rPr>
          <w:rFonts w:cs="Times New Roman"/>
          <w:szCs w:val="24"/>
        </w:rPr>
        <w:t xml:space="preserve"> and DLP) used for performing </w:t>
      </w:r>
      <w:r w:rsidR="009B025B">
        <w:rPr>
          <w:rFonts w:cs="Times New Roman"/>
          <w:szCs w:val="24"/>
        </w:rPr>
        <w:t xml:space="preserve">routine </w:t>
      </w:r>
      <w:r>
        <w:rPr>
          <w:rFonts w:cs="Times New Roman"/>
          <w:szCs w:val="24"/>
        </w:rPr>
        <w:t>diagnostic head CT examination</w:t>
      </w:r>
      <w:r w:rsidR="009B025B">
        <w:rPr>
          <w:rFonts w:cs="Times New Roman"/>
          <w:szCs w:val="24"/>
        </w:rPr>
        <w:t>s</w:t>
      </w:r>
      <w:r>
        <w:rPr>
          <w:rFonts w:cs="Times New Roman"/>
          <w:szCs w:val="24"/>
        </w:rPr>
        <w:t xml:space="preserve"> at the study site, </w:t>
      </w:r>
      <w:r w:rsidR="006A6142">
        <w:rPr>
          <w:rFonts w:cs="Times New Roman"/>
          <w:szCs w:val="24"/>
        </w:rPr>
        <w:t xml:space="preserve">an </w:t>
      </w:r>
      <w:r>
        <w:rPr>
          <w:rFonts w:cs="Times New Roman"/>
          <w:szCs w:val="24"/>
        </w:rPr>
        <w:t>optimization study was then conducted</w:t>
      </w:r>
      <w:r w:rsidR="000A0DBB">
        <w:rPr>
          <w:rFonts w:cs="Times New Roman"/>
          <w:szCs w:val="24"/>
        </w:rPr>
        <w:t>. The RAND</w:t>
      </w:r>
      <w:r w:rsidR="001D6563">
        <w:rPr>
          <w:rFonts w:cs="Times New Roman"/>
          <w:szCs w:val="24"/>
        </w:rPr>
        <w:t>O</w:t>
      </w:r>
      <w:r w:rsidR="000A0DBB">
        <w:rPr>
          <w:rFonts w:cs="Times New Roman"/>
          <w:szCs w:val="24"/>
        </w:rPr>
        <w:t xml:space="preserve"> anthropomorphic phantom </w:t>
      </w:r>
      <w:r w:rsidR="0087155A">
        <w:rPr>
          <w:rFonts w:cs="Times New Roman"/>
          <w:szCs w:val="24"/>
        </w:rPr>
        <w:t>was used for the optimization study by scanning it with the routine</w:t>
      </w:r>
      <w:r w:rsidR="001D6563">
        <w:rPr>
          <w:rFonts w:cs="Times New Roman"/>
          <w:szCs w:val="24"/>
        </w:rPr>
        <w:t xml:space="preserve"> head </w:t>
      </w:r>
      <w:r w:rsidR="0087155A">
        <w:rPr>
          <w:rFonts w:cs="Times New Roman"/>
          <w:szCs w:val="24"/>
        </w:rPr>
        <w:t xml:space="preserve">scan protocols </w:t>
      </w:r>
      <w:r w:rsidR="00ED3CDE">
        <w:rPr>
          <w:rFonts w:cs="Times New Roman"/>
          <w:szCs w:val="24"/>
        </w:rPr>
        <w:t>used at the facil</w:t>
      </w:r>
      <w:r w:rsidR="009B025B">
        <w:rPr>
          <w:rFonts w:cs="Times New Roman"/>
          <w:szCs w:val="24"/>
        </w:rPr>
        <w:t>i</w:t>
      </w:r>
      <w:r w:rsidR="00ED3CDE">
        <w:rPr>
          <w:rFonts w:cs="Times New Roman"/>
          <w:szCs w:val="24"/>
        </w:rPr>
        <w:t xml:space="preserve">ty </w:t>
      </w:r>
      <w:r w:rsidR="0087155A">
        <w:rPr>
          <w:rFonts w:cs="Times New Roman"/>
          <w:szCs w:val="24"/>
        </w:rPr>
        <w:t xml:space="preserve">and subsequently varying </w:t>
      </w:r>
      <w:r w:rsidR="00ED3CDE">
        <w:rPr>
          <w:rFonts w:cs="Times New Roman"/>
          <w:szCs w:val="24"/>
        </w:rPr>
        <w:t xml:space="preserve">the </w:t>
      </w:r>
      <w:r w:rsidR="0087155A">
        <w:rPr>
          <w:rFonts w:cs="Times New Roman"/>
          <w:szCs w:val="24"/>
        </w:rPr>
        <w:t>exposure factors to study their effects on the dose and image quality.</w:t>
      </w:r>
      <w:r w:rsidR="007F2F82">
        <w:rPr>
          <w:rFonts w:cs="Times New Roman"/>
          <w:szCs w:val="24"/>
        </w:rPr>
        <w:t xml:space="preserve"> </w:t>
      </w:r>
    </w:p>
    <w:p w14:paraId="4DDCDB08" w14:textId="77777777" w:rsidR="006A6142" w:rsidRDefault="006A6142" w:rsidP="006A6142">
      <w:pPr>
        <w:spacing w:line="480" w:lineRule="auto"/>
        <w:ind w:firstLine="720"/>
        <w:rPr>
          <w:rFonts w:cs="Times New Roman"/>
          <w:szCs w:val="24"/>
        </w:rPr>
      </w:pPr>
      <w:r w:rsidRPr="006A6142">
        <w:rPr>
          <w:rFonts w:cs="Times New Roman"/>
          <w:szCs w:val="24"/>
        </w:rPr>
        <w:t xml:space="preserve">Image quality analyses were performed on the phantom images obtained in DICOM format to identify the best modified protocol(s) that resulted in radiation dose-reduction while maintaining acceptable image quality for the intended purpose. Both objective and subjective image quality analyses were conducted. Objectively, four square ROIs of the same dimensions (10 mm × 10mm) were drawn on the homogeneous 5 mm cut brain tissue at the same slice number for each image, located about midway between the total number of slices for each image. The signal-to-noise ratio (SNR) values were estimated using ImageJ software version 1.53 (Wayne </w:t>
      </w:r>
      <w:proofErr w:type="spellStart"/>
      <w:r w:rsidRPr="006A6142">
        <w:rPr>
          <w:rFonts w:cs="Times New Roman"/>
          <w:szCs w:val="24"/>
        </w:rPr>
        <w:t>Rasband</w:t>
      </w:r>
      <w:proofErr w:type="spellEnd"/>
      <w:r w:rsidRPr="006A6142">
        <w:rPr>
          <w:rFonts w:cs="Times New Roman"/>
          <w:szCs w:val="24"/>
        </w:rPr>
        <w:t xml:space="preserve"> and Contributors, National Institutes of Health, USA) to assess the objective image quality. Fig. 1 shows how the </w:t>
      </w:r>
      <w:proofErr w:type="gramStart"/>
      <w:r w:rsidRPr="006A6142">
        <w:rPr>
          <w:rFonts w:cs="Times New Roman"/>
          <w:szCs w:val="24"/>
        </w:rPr>
        <w:t>signal</w:t>
      </w:r>
      <w:proofErr w:type="gramEnd"/>
      <w:r w:rsidRPr="006A6142">
        <w:rPr>
          <w:rFonts w:cs="Times New Roman"/>
          <w:szCs w:val="24"/>
        </w:rPr>
        <w:t xml:space="preserve"> and the noise information were obtained quantitatively using ImageJ software version 1.53. Subjectively, image quality can be </w:t>
      </w:r>
      <w:proofErr w:type="spellStart"/>
      <w:r w:rsidRPr="006A6142">
        <w:rPr>
          <w:rFonts w:cs="Times New Roman"/>
          <w:szCs w:val="24"/>
        </w:rPr>
        <w:t>assessed</w:t>
      </w:r>
      <w:proofErr w:type="spellEnd"/>
      <w:r w:rsidRPr="006A6142">
        <w:rPr>
          <w:rFonts w:cs="Times New Roman"/>
          <w:szCs w:val="24"/>
        </w:rPr>
        <w:t xml:space="preserve"> via radiologists’ reviews of images. In this regard, radiologists at the hospital reviewed and approved the images as fit for diagnostic purposes for routine head CT examinations. The subjective assessment provided information on whether the images were diagnostically acceptable (good) or not (bad) for the intended clinical task.</w:t>
      </w:r>
    </w:p>
    <w:p w14:paraId="1108FC84" w14:textId="17205155" w:rsidR="003261DC" w:rsidRPr="00FE7240" w:rsidRDefault="003261DC" w:rsidP="006A6142">
      <w:pPr>
        <w:spacing w:line="480" w:lineRule="auto"/>
        <w:ind w:firstLine="720"/>
        <w:rPr>
          <w:rFonts w:cs="Times New Roman"/>
          <w:bCs/>
          <w:szCs w:val="24"/>
        </w:rPr>
      </w:pPr>
      <w:r w:rsidRPr="00FE7240">
        <w:rPr>
          <w:rFonts w:cs="Times New Roman"/>
          <w:noProof/>
          <w:szCs w:val="24"/>
        </w:rPr>
        <w:drawing>
          <wp:inline distT="0" distB="0" distL="0" distR="0" wp14:anchorId="798B8180" wp14:editId="5A6D7C20">
            <wp:extent cx="3867744" cy="2428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71"/>
                    <a:stretch/>
                  </pic:blipFill>
                  <pic:spPr bwMode="auto">
                    <a:xfrm>
                      <a:off x="0" y="0"/>
                      <a:ext cx="3891821" cy="2443995"/>
                    </a:xfrm>
                    <a:prstGeom prst="rect">
                      <a:avLst/>
                    </a:prstGeom>
                    <a:ln>
                      <a:noFill/>
                    </a:ln>
                    <a:extLst>
                      <a:ext uri="{53640926-AAD7-44D8-BBD7-CCE9431645EC}">
                        <a14:shadowObscured xmlns:a14="http://schemas.microsoft.com/office/drawing/2010/main"/>
                      </a:ext>
                    </a:extLst>
                  </pic:spPr>
                </pic:pic>
              </a:graphicData>
            </a:graphic>
          </wp:inline>
        </w:drawing>
      </w:r>
    </w:p>
    <w:p w14:paraId="20CC0A94" w14:textId="77B60275" w:rsidR="003261DC" w:rsidRDefault="003261DC" w:rsidP="003261DC">
      <w:pPr>
        <w:spacing w:line="480" w:lineRule="auto"/>
        <w:jc w:val="center"/>
        <w:rPr>
          <w:rFonts w:cs="Times New Roman"/>
          <w:b/>
          <w:szCs w:val="24"/>
        </w:rPr>
      </w:pPr>
      <w:r w:rsidRPr="00FE7240">
        <w:rPr>
          <w:rFonts w:cs="Times New Roman"/>
          <w:b/>
          <w:szCs w:val="24"/>
        </w:rPr>
        <w:t>Figure 1: Analysis of image quality using ImageJ software</w:t>
      </w:r>
    </w:p>
    <w:p w14:paraId="1C893B37" w14:textId="255D5029" w:rsidR="009D12FF" w:rsidRDefault="009D12FF" w:rsidP="009D12FF">
      <w:pPr>
        <w:spacing w:line="480" w:lineRule="auto"/>
        <w:rPr>
          <w:rFonts w:cs="Times New Roman"/>
          <w:bCs/>
          <w:szCs w:val="24"/>
        </w:rPr>
      </w:pPr>
      <w:r w:rsidRPr="009D12FF">
        <w:rPr>
          <w:rFonts w:cs="Times New Roman"/>
          <w:bCs/>
          <w:szCs w:val="24"/>
        </w:rPr>
        <w:t xml:space="preserve">The ethical clearance for this study was reviewed and approved by </w:t>
      </w:r>
      <w:r w:rsidR="00C12A2D">
        <w:rPr>
          <w:rFonts w:cs="Times New Roman"/>
          <w:bCs/>
          <w:szCs w:val="24"/>
        </w:rPr>
        <w:t xml:space="preserve">the </w:t>
      </w:r>
      <w:r>
        <w:rPr>
          <w:rFonts w:cs="Times New Roman"/>
          <w:bCs/>
          <w:szCs w:val="24"/>
        </w:rPr>
        <w:t xml:space="preserve">Ethics and Protocol Review Committee of the School of Biomedical and Allied Health Sciences of the </w:t>
      </w:r>
      <w:r w:rsidR="00C12A2D">
        <w:rPr>
          <w:rFonts w:cs="Times New Roman"/>
          <w:bCs/>
          <w:szCs w:val="24"/>
        </w:rPr>
        <w:t>University</w:t>
      </w:r>
      <w:r>
        <w:rPr>
          <w:rFonts w:cs="Times New Roman"/>
          <w:bCs/>
          <w:szCs w:val="24"/>
        </w:rPr>
        <w:t xml:space="preserve"> of Ghana (Reference: SBAHS/AA/RAD/10680009/2020-2021). </w:t>
      </w:r>
    </w:p>
    <w:p w14:paraId="477B9F2B" w14:textId="77777777" w:rsidR="009D12FF" w:rsidRPr="009D12FF" w:rsidRDefault="009D12FF" w:rsidP="00550D21">
      <w:pPr>
        <w:spacing w:line="240" w:lineRule="auto"/>
        <w:rPr>
          <w:rFonts w:cs="Times New Roman"/>
          <w:bCs/>
          <w:szCs w:val="24"/>
        </w:rPr>
      </w:pPr>
    </w:p>
    <w:p w14:paraId="6AF5668B" w14:textId="77777777" w:rsidR="001013F7" w:rsidRDefault="00934CC7" w:rsidP="001013F7">
      <w:pPr>
        <w:spacing w:line="480" w:lineRule="auto"/>
        <w:ind w:left="567" w:hanging="567"/>
        <w:rPr>
          <w:rFonts w:cs="Times New Roman"/>
          <w:b/>
          <w:szCs w:val="24"/>
        </w:rPr>
      </w:pPr>
      <w:r>
        <w:rPr>
          <w:rFonts w:cs="Times New Roman"/>
          <w:b/>
          <w:szCs w:val="24"/>
        </w:rPr>
        <w:t>3.</w:t>
      </w:r>
      <w:r>
        <w:rPr>
          <w:rFonts w:cs="Times New Roman"/>
          <w:b/>
          <w:szCs w:val="24"/>
        </w:rPr>
        <w:tab/>
      </w:r>
      <w:r w:rsidR="0070390D" w:rsidRPr="00FE7240">
        <w:rPr>
          <w:rFonts w:cs="Times New Roman"/>
          <w:b/>
          <w:szCs w:val="24"/>
        </w:rPr>
        <w:t>Results</w:t>
      </w:r>
      <w:r w:rsidR="00B57C72" w:rsidRPr="00FE7240">
        <w:rPr>
          <w:rFonts w:cs="Times New Roman"/>
          <w:b/>
          <w:szCs w:val="24"/>
        </w:rPr>
        <w:t xml:space="preserve"> </w:t>
      </w:r>
    </w:p>
    <w:p w14:paraId="307D0414" w14:textId="2CCBA1BE" w:rsidR="002E37B8" w:rsidRDefault="002E37B8" w:rsidP="001013F7">
      <w:pPr>
        <w:spacing w:line="480" w:lineRule="auto"/>
        <w:rPr>
          <w:rFonts w:cs="Times New Roman"/>
        </w:rPr>
      </w:pPr>
      <w:r w:rsidRPr="00FE7240">
        <w:rPr>
          <w:rFonts w:cs="Times New Roman"/>
        </w:rPr>
        <w:t>The highest</w:t>
      </w:r>
      <w:r w:rsidR="00635AB4">
        <w:rPr>
          <w:rFonts w:cs="Times New Roman"/>
        </w:rPr>
        <w:t xml:space="preserve"> and least </w:t>
      </w:r>
      <w:r w:rsidRPr="00FE7240">
        <w:rPr>
          <w:rFonts w:cs="Times New Roman"/>
        </w:rPr>
        <w:t xml:space="preserve">number of referrals for </w:t>
      </w:r>
      <w:r w:rsidR="00E7547E">
        <w:rPr>
          <w:rFonts w:cs="Times New Roman"/>
        </w:rPr>
        <w:t xml:space="preserve">head </w:t>
      </w:r>
      <w:r w:rsidRPr="00FE7240">
        <w:rPr>
          <w:rFonts w:cs="Times New Roman"/>
        </w:rPr>
        <w:t>CT procedures w</w:t>
      </w:r>
      <w:r w:rsidR="00635AB4">
        <w:rPr>
          <w:rFonts w:cs="Times New Roman"/>
        </w:rPr>
        <w:t xml:space="preserve">ere </w:t>
      </w:r>
      <w:r w:rsidRPr="00FE7240">
        <w:rPr>
          <w:rFonts w:cs="Times New Roman"/>
        </w:rPr>
        <w:t>recorded among patients aged 58 – 67 years</w:t>
      </w:r>
      <w:r w:rsidR="00635AB4">
        <w:rPr>
          <w:rFonts w:cs="Times New Roman"/>
        </w:rPr>
        <w:t xml:space="preserve"> (21.1%)</w:t>
      </w:r>
      <w:r w:rsidR="008D5DBF">
        <w:rPr>
          <w:rFonts w:cs="Times New Roman"/>
        </w:rPr>
        <w:t xml:space="preserve">, </w:t>
      </w:r>
      <w:r w:rsidR="00635AB4">
        <w:rPr>
          <w:rFonts w:cs="Times New Roman"/>
        </w:rPr>
        <w:t xml:space="preserve">and </w:t>
      </w:r>
      <w:r w:rsidR="00E27760" w:rsidRPr="00FE7240">
        <w:rPr>
          <w:rFonts w:cs="Times New Roman"/>
        </w:rPr>
        <w:t xml:space="preserve">88 – 97 years (0.9%). More females (52.2%) presented for head CT </w:t>
      </w:r>
      <w:r w:rsidR="00F11485">
        <w:rPr>
          <w:rFonts w:cs="Times New Roman"/>
        </w:rPr>
        <w:t>scans</w:t>
      </w:r>
      <w:r w:rsidR="00E27760" w:rsidRPr="00FE7240">
        <w:rPr>
          <w:rFonts w:cs="Times New Roman"/>
        </w:rPr>
        <w:t xml:space="preserve"> than males (47.8%). </w:t>
      </w:r>
    </w:p>
    <w:p w14:paraId="1B08B5B7" w14:textId="382FF018" w:rsidR="006A6142" w:rsidRDefault="006A6142" w:rsidP="001013F7">
      <w:pPr>
        <w:spacing w:line="480" w:lineRule="auto"/>
        <w:rPr>
          <w:rFonts w:cs="Times New Roman"/>
        </w:rPr>
      </w:pPr>
    </w:p>
    <w:p w14:paraId="221A8E8E" w14:textId="77777777" w:rsidR="006A6142" w:rsidRDefault="006A6142" w:rsidP="001013F7">
      <w:pPr>
        <w:spacing w:line="480" w:lineRule="auto"/>
        <w:rPr>
          <w:rFonts w:cs="Times New Roman"/>
        </w:rPr>
      </w:pPr>
    </w:p>
    <w:p w14:paraId="24D708DF" w14:textId="3238DD95" w:rsidR="008C7428" w:rsidRPr="00FE7240" w:rsidRDefault="00934CC7" w:rsidP="00F11485">
      <w:pPr>
        <w:spacing w:line="480" w:lineRule="auto"/>
        <w:ind w:left="567" w:hanging="567"/>
        <w:rPr>
          <w:rFonts w:eastAsiaTheme="majorEastAsia" w:cstheme="majorBidi"/>
          <w:b/>
          <w:bCs/>
          <w:szCs w:val="26"/>
        </w:rPr>
      </w:pPr>
      <w:bookmarkStart w:id="4" w:name="_Toc82774832"/>
      <w:r>
        <w:rPr>
          <w:b/>
          <w:bCs/>
        </w:rPr>
        <w:t>3.</w:t>
      </w:r>
      <w:r w:rsidR="00F11485">
        <w:rPr>
          <w:b/>
          <w:bCs/>
        </w:rPr>
        <w:t>1</w:t>
      </w:r>
      <w:r>
        <w:rPr>
          <w:b/>
          <w:bCs/>
        </w:rPr>
        <w:tab/>
      </w:r>
      <w:r w:rsidR="00737260" w:rsidRPr="00FE7240">
        <w:rPr>
          <w:b/>
          <w:bCs/>
        </w:rPr>
        <w:t>Dosimetry</w:t>
      </w:r>
      <w:r w:rsidR="008C7428" w:rsidRPr="00FE7240">
        <w:rPr>
          <w:b/>
          <w:bCs/>
        </w:rPr>
        <w:t xml:space="preserve"> </w:t>
      </w:r>
      <w:bookmarkEnd w:id="4"/>
    </w:p>
    <w:p w14:paraId="079ED30E" w14:textId="257C8328" w:rsidR="00B57C72" w:rsidRPr="00522C57" w:rsidRDefault="00C277F4" w:rsidP="005648F5">
      <w:pPr>
        <w:spacing w:line="480" w:lineRule="auto"/>
        <w:ind w:firstLine="720"/>
        <w:rPr>
          <w:rFonts w:cs="Times New Roman"/>
          <w:szCs w:val="24"/>
        </w:rPr>
      </w:pPr>
      <w:r w:rsidRPr="00FE7240">
        <w:rPr>
          <w:rFonts w:cs="Times New Roman"/>
          <w:szCs w:val="24"/>
        </w:rPr>
        <w:t xml:space="preserve">The </w:t>
      </w:r>
      <w:r w:rsidR="00B57C72" w:rsidRPr="00FE7240">
        <w:rPr>
          <w:rFonts w:cs="Times New Roman"/>
          <w:szCs w:val="24"/>
        </w:rPr>
        <w:t>mean CTDI</w:t>
      </w:r>
      <w:r w:rsidR="00B57C72" w:rsidRPr="00FE7240">
        <w:rPr>
          <w:rFonts w:cs="Times New Roman"/>
          <w:szCs w:val="24"/>
          <w:vertAlign w:val="subscript"/>
        </w:rPr>
        <w:t>vol</w:t>
      </w:r>
      <w:r w:rsidR="00B57C72" w:rsidRPr="00FE7240">
        <w:rPr>
          <w:rFonts w:cs="Times New Roman"/>
          <w:szCs w:val="24"/>
        </w:rPr>
        <w:t xml:space="preserve"> and DLP values were 86.00 mGy and 1559.70 mGy.cm respectively, with associated 75</w:t>
      </w:r>
      <w:r w:rsidR="00B57C72" w:rsidRPr="00FE7240">
        <w:rPr>
          <w:rFonts w:cs="Times New Roman"/>
          <w:szCs w:val="24"/>
          <w:vertAlign w:val="superscript"/>
        </w:rPr>
        <w:t>th</w:t>
      </w:r>
      <w:r w:rsidR="00B57C72" w:rsidRPr="00FE7240">
        <w:rPr>
          <w:rFonts w:cs="Times New Roman"/>
          <w:szCs w:val="24"/>
        </w:rPr>
        <w:t xml:space="preserve"> percentiles of 86.00 mGy and 1613.60 mGy.cm. The measured values at the </w:t>
      </w:r>
      <w:r w:rsidR="008D5DBF">
        <w:rPr>
          <w:rFonts w:cs="Times New Roman"/>
          <w:szCs w:val="24"/>
        </w:rPr>
        <w:t xml:space="preserve">CT unit </w:t>
      </w:r>
      <w:r w:rsidR="00B57C72" w:rsidRPr="00FE7240">
        <w:rPr>
          <w:rFonts w:cs="Times New Roman"/>
          <w:szCs w:val="24"/>
        </w:rPr>
        <w:t>exceeded</w:t>
      </w:r>
      <w:r w:rsidR="006C54DE">
        <w:rPr>
          <w:rFonts w:cs="Times New Roman"/>
          <w:szCs w:val="24"/>
        </w:rPr>
        <w:t xml:space="preserve"> values recommended by</w:t>
      </w:r>
      <w:r w:rsidR="00B57C72" w:rsidRPr="00FE7240">
        <w:rPr>
          <w:rFonts w:cs="Times New Roman"/>
          <w:szCs w:val="24"/>
        </w:rPr>
        <w:t xml:space="preserve"> the I</w:t>
      </w:r>
      <w:r w:rsidR="005648F5">
        <w:rPr>
          <w:rFonts w:cs="Times New Roman"/>
          <w:szCs w:val="24"/>
        </w:rPr>
        <w:t xml:space="preserve">CRP </w:t>
      </w:r>
      <w:r w:rsidR="00351D25" w:rsidRPr="00FE7240">
        <w:rPr>
          <w:rFonts w:cs="Times New Roman"/>
          <w:szCs w:val="24"/>
        </w:rPr>
        <w:t>73</w:t>
      </w:r>
      <w:r w:rsidR="00C16566" w:rsidRPr="00FE7240">
        <w:rPr>
          <w:rFonts w:cs="Times New Roman"/>
          <w:szCs w:val="24"/>
        </w:rPr>
        <w:t xml:space="preserve">, </w:t>
      </w:r>
      <w:r w:rsidR="00B57C72" w:rsidRPr="00FE7240">
        <w:rPr>
          <w:rFonts w:cs="Times New Roman"/>
          <w:szCs w:val="24"/>
        </w:rPr>
        <w:t>American College of Radiology</w:t>
      </w:r>
      <w:r w:rsidR="005648F5">
        <w:rPr>
          <w:rFonts w:cs="Times New Roman"/>
          <w:szCs w:val="24"/>
        </w:rPr>
        <w:t xml:space="preserve"> (ACR)</w:t>
      </w:r>
      <w:r w:rsidR="006C54DE" w:rsidRPr="006C54DE">
        <w:rPr>
          <w:rFonts w:cs="Times New Roman"/>
          <w:szCs w:val="24"/>
        </w:rPr>
        <w:t xml:space="preserve"> </w:t>
      </w:r>
      <w:r w:rsidR="00B57C72" w:rsidRPr="006C54DE">
        <w:rPr>
          <w:rFonts w:cs="Times New Roman"/>
          <w:szCs w:val="24"/>
        </w:rPr>
        <w:t>and other literature reports</w:t>
      </w:r>
      <w:r w:rsidR="005648F5" w:rsidRPr="006C54DE">
        <w:rPr>
          <w:rFonts w:eastAsia="Calibri" w:cs="Times New Roman"/>
          <w:szCs w:val="24"/>
        </w:rPr>
        <w:t xml:space="preserve"> </w:t>
      </w:r>
      <w:r w:rsidR="005648F5">
        <w:rPr>
          <w:rFonts w:eastAsia="Calibri" w:cs="Times New Roman"/>
          <w:szCs w:val="24"/>
        </w:rPr>
        <w:t>(</w:t>
      </w:r>
      <w:r w:rsidR="005648F5" w:rsidRPr="005648F5">
        <w:rPr>
          <w:rFonts w:eastAsia="Calibri" w:cs="Times New Roman"/>
          <w:szCs w:val="24"/>
        </w:rPr>
        <w:t>A</w:t>
      </w:r>
      <w:r w:rsidR="005648F5">
        <w:rPr>
          <w:rFonts w:eastAsia="Calibri" w:cs="Times New Roman"/>
          <w:szCs w:val="24"/>
        </w:rPr>
        <w:t>CR, 2008)</w:t>
      </w:r>
      <w:r w:rsidR="00B57C72" w:rsidRPr="00FE7240">
        <w:rPr>
          <w:rFonts w:cs="Times New Roman"/>
          <w:szCs w:val="24"/>
        </w:rPr>
        <w:t>.</w:t>
      </w:r>
      <w:r w:rsidR="00842238">
        <w:t xml:space="preserve"> </w:t>
      </w:r>
      <w:r w:rsidR="00B57C72" w:rsidRPr="00FE7240">
        <w:rPr>
          <w:rFonts w:cs="Times New Roman"/>
          <w:szCs w:val="24"/>
        </w:rPr>
        <w:t xml:space="preserve">The mean </w:t>
      </w:r>
      <w:proofErr w:type="spellStart"/>
      <w:proofErr w:type="gramStart"/>
      <w:r w:rsidR="00B57C72" w:rsidRPr="00FE7240">
        <w:rPr>
          <w:i/>
        </w:rPr>
        <w:t>D</w:t>
      </w:r>
      <w:r w:rsidR="00B57C72" w:rsidRPr="00FE7240">
        <w:rPr>
          <w:i/>
          <w:vertAlign w:val="subscript"/>
        </w:rPr>
        <w:t>eff</w:t>
      </w:r>
      <w:proofErr w:type="spellEnd"/>
      <w:r w:rsidR="00B57C72" w:rsidRPr="00FE7240">
        <w:rPr>
          <w:rFonts w:cs="Times New Roman"/>
          <w:szCs w:val="24"/>
        </w:rPr>
        <w:t xml:space="preserve"> </w:t>
      </w:r>
      <w:r w:rsidR="006A6142">
        <w:rPr>
          <w:rFonts w:cs="Times New Roman"/>
          <w:szCs w:val="24"/>
        </w:rPr>
        <w:t xml:space="preserve"> </w:t>
      </w:r>
      <w:r w:rsidR="006C54DE">
        <w:rPr>
          <w:rFonts w:cs="Times New Roman"/>
          <w:szCs w:val="24"/>
        </w:rPr>
        <w:t>(</w:t>
      </w:r>
      <w:proofErr w:type="gramEnd"/>
      <w:r w:rsidR="006C54DE" w:rsidRPr="006C54DE">
        <w:rPr>
          <w:rFonts w:cs="Times New Roman"/>
          <w:szCs w:val="24"/>
        </w:rPr>
        <w:t>of all 402 patients</w:t>
      </w:r>
      <w:r w:rsidR="006C54DE">
        <w:rPr>
          <w:rFonts w:cs="Times New Roman"/>
          <w:szCs w:val="24"/>
        </w:rPr>
        <w:t xml:space="preserve">) </w:t>
      </w:r>
      <w:r w:rsidR="00B57C72" w:rsidRPr="00FE7240">
        <w:rPr>
          <w:rFonts w:cs="Times New Roman"/>
          <w:szCs w:val="24"/>
        </w:rPr>
        <w:t xml:space="preserve">obtained for the images of the adult head CT patients </w:t>
      </w:r>
      <w:r w:rsidR="00247394">
        <w:rPr>
          <w:rFonts w:cs="Times New Roman"/>
          <w:szCs w:val="24"/>
        </w:rPr>
        <w:t xml:space="preserve">was </w:t>
      </w:r>
      <w:r w:rsidR="00B57C72" w:rsidRPr="00FE7240">
        <w:rPr>
          <w:rFonts w:cs="Times New Roman"/>
          <w:szCs w:val="24"/>
        </w:rPr>
        <w:t>3.57 ± 0.46 mSv</w:t>
      </w:r>
      <w:r w:rsidR="00247394">
        <w:rPr>
          <w:rFonts w:cs="Times New Roman"/>
          <w:szCs w:val="24"/>
        </w:rPr>
        <w:t>.</w:t>
      </w:r>
      <w:r w:rsidR="00B57C72" w:rsidRPr="00FE7240">
        <w:rPr>
          <w:rFonts w:cs="Times New Roman"/>
          <w:szCs w:val="24"/>
        </w:rPr>
        <w:t xml:space="preserve"> </w:t>
      </w:r>
    </w:p>
    <w:p w14:paraId="126D7CB6" w14:textId="34DB0E22" w:rsidR="00842238" w:rsidRDefault="00842238" w:rsidP="0058163A">
      <w:pPr>
        <w:ind w:left="1440" w:hanging="1440"/>
        <w:rPr>
          <w:rFonts w:cs="Times New Roman"/>
          <w:b/>
          <w:bCs/>
          <w:szCs w:val="24"/>
        </w:rPr>
      </w:pPr>
      <w:bookmarkStart w:id="5" w:name="_Toc82774834"/>
    </w:p>
    <w:p w14:paraId="4ECF3C78" w14:textId="156724A9" w:rsidR="0058163A" w:rsidRPr="00FE7240" w:rsidRDefault="0058163A" w:rsidP="0058163A">
      <w:pPr>
        <w:ind w:left="1440" w:hanging="1440"/>
        <w:rPr>
          <w:rFonts w:cs="Times New Roman"/>
          <w:b/>
          <w:bCs/>
          <w:szCs w:val="24"/>
        </w:rPr>
      </w:pPr>
      <w:r w:rsidRPr="00FE7240">
        <w:rPr>
          <w:rFonts w:cs="Times New Roman"/>
          <w:b/>
          <w:bCs/>
          <w:szCs w:val="24"/>
        </w:rPr>
        <w:t xml:space="preserve">Table </w:t>
      </w:r>
      <w:r w:rsidR="00C16566" w:rsidRPr="00FE7240">
        <w:rPr>
          <w:rFonts w:cs="Times New Roman"/>
          <w:b/>
          <w:bCs/>
          <w:szCs w:val="24"/>
        </w:rPr>
        <w:t>3</w:t>
      </w:r>
      <w:r w:rsidRPr="00FE7240">
        <w:rPr>
          <w:rFonts w:cs="Times New Roman"/>
          <w:b/>
          <w:bCs/>
          <w:szCs w:val="24"/>
        </w:rPr>
        <w:t xml:space="preserve">: </w:t>
      </w:r>
      <w:r w:rsidR="002B5584" w:rsidRPr="00FE7240">
        <w:rPr>
          <w:rFonts w:cs="Times New Roman"/>
          <w:b/>
          <w:bCs/>
          <w:szCs w:val="24"/>
        </w:rPr>
        <w:t xml:space="preserve">Exposure parameters and dosimetry </w:t>
      </w:r>
    </w:p>
    <w:tbl>
      <w:tblPr>
        <w:tblStyle w:val="ListTable6Colorful"/>
        <w:tblW w:w="9228" w:type="dxa"/>
        <w:tblLook w:val="04A0" w:firstRow="1" w:lastRow="0" w:firstColumn="1" w:lastColumn="0" w:noHBand="0" w:noVBand="1"/>
      </w:tblPr>
      <w:tblGrid>
        <w:gridCol w:w="2338"/>
        <w:gridCol w:w="1700"/>
        <w:gridCol w:w="1720"/>
        <w:gridCol w:w="3470"/>
      </w:tblGrid>
      <w:tr w:rsidR="002B5584" w:rsidRPr="00FE7240" w14:paraId="55B8768A" w14:textId="77777777" w:rsidTr="006C54DE">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338" w:type="dxa"/>
            <w:vMerge w:val="restart"/>
            <w:tcBorders>
              <w:top w:val="single" w:sz="4" w:space="0" w:color="auto"/>
              <w:bottom w:val="single" w:sz="4" w:space="0" w:color="auto"/>
            </w:tcBorders>
            <w:shd w:val="clear" w:color="auto" w:fill="auto"/>
          </w:tcPr>
          <w:p w14:paraId="13218ACF" w14:textId="77777777" w:rsidR="002B5584" w:rsidRPr="00FE7240" w:rsidRDefault="002B5584" w:rsidP="00550D21">
            <w:pPr>
              <w:rPr>
                <w:rFonts w:cs="Times New Roman"/>
                <w:b w:val="0"/>
                <w:szCs w:val="24"/>
              </w:rPr>
            </w:pPr>
          </w:p>
          <w:p w14:paraId="5A252E12" w14:textId="38AA9F0D" w:rsidR="002B5584" w:rsidRPr="00FE7240" w:rsidRDefault="004D09FB" w:rsidP="00550D21">
            <w:pPr>
              <w:rPr>
                <w:rFonts w:cs="Times New Roman"/>
                <w:b w:val="0"/>
                <w:szCs w:val="24"/>
              </w:rPr>
            </w:pPr>
            <w:r w:rsidRPr="00FE7240">
              <w:rPr>
                <w:rFonts w:cs="Times New Roman"/>
                <w:b w:val="0"/>
                <w:szCs w:val="24"/>
              </w:rPr>
              <w:t xml:space="preserve">Reported studies </w:t>
            </w:r>
          </w:p>
        </w:tc>
        <w:tc>
          <w:tcPr>
            <w:tcW w:w="3420" w:type="dxa"/>
            <w:gridSpan w:val="2"/>
            <w:tcBorders>
              <w:top w:val="single" w:sz="4" w:space="0" w:color="auto"/>
              <w:bottom w:val="single" w:sz="4" w:space="0" w:color="auto"/>
            </w:tcBorders>
            <w:shd w:val="clear" w:color="auto" w:fill="auto"/>
          </w:tcPr>
          <w:p w14:paraId="5F654E5D" w14:textId="3450B7E0" w:rsidR="002B5584" w:rsidRPr="00FE7240" w:rsidRDefault="004D09FB" w:rsidP="00550D21">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Mean values</w:t>
            </w:r>
          </w:p>
        </w:tc>
        <w:tc>
          <w:tcPr>
            <w:tcW w:w="3470" w:type="dxa"/>
            <w:tcBorders>
              <w:top w:val="single" w:sz="4" w:space="0" w:color="auto"/>
              <w:bottom w:val="single" w:sz="4" w:space="0" w:color="auto"/>
            </w:tcBorders>
            <w:shd w:val="clear" w:color="auto" w:fill="auto"/>
          </w:tcPr>
          <w:p w14:paraId="4C7C4038" w14:textId="77777777" w:rsidR="002B5584" w:rsidRPr="00FE7240" w:rsidRDefault="002B5584" w:rsidP="00550D21">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75</w:t>
            </w:r>
            <w:r w:rsidRPr="00FE7240">
              <w:rPr>
                <w:rFonts w:cs="Times New Roman"/>
                <w:szCs w:val="24"/>
                <w:vertAlign w:val="superscript"/>
              </w:rPr>
              <w:t>th</w:t>
            </w:r>
            <w:r w:rsidRPr="00FE7240">
              <w:rPr>
                <w:rFonts w:cs="Times New Roman"/>
                <w:szCs w:val="24"/>
              </w:rPr>
              <w:t xml:space="preserve"> percentile</w:t>
            </w:r>
          </w:p>
        </w:tc>
      </w:tr>
      <w:tr w:rsidR="00182CD1" w:rsidRPr="00FE7240" w14:paraId="4610CF03" w14:textId="77777777" w:rsidTr="00182CD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338" w:type="dxa"/>
            <w:vMerge/>
            <w:tcBorders>
              <w:top w:val="single" w:sz="4" w:space="0" w:color="auto"/>
              <w:bottom w:val="single" w:sz="4" w:space="0" w:color="auto"/>
            </w:tcBorders>
            <w:shd w:val="clear" w:color="auto" w:fill="auto"/>
          </w:tcPr>
          <w:p w14:paraId="20A86FF1" w14:textId="77777777" w:rsidR="00182CD1" w:rsidRPr="00FE7240" w:rsidRDefault="00182CD1" w:rsidP="00550D21">
            <w:pPr>
              <w:rPr>
                <w:rFonts w:cs="Times New Roman"/>
                <w:szCs w:val="24"/>
              </w:rPr>
            </w:pPr>
          </w:p>
        </w:tc>
        <w:tc>
          <w:tcPr>
            <w:tcW w:w="1700" w:type="dxa"/>
            <w:tcBorders>
              <w:top w:val="single" w:sz="4" w:space="0" w:color="auto"/>
              <w:bottom w:val="single" w:sz="4" w:space="0" w:color="auto"/>
            </w:tcBorders>
            <w:shd w:val="clear" w:color="auto" w:fill="auto"/>
          </w:tcPr>
          <w:p w14:paraId="78DB21ED" w14:textId="3673A233"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CTDI</w:t>
            </w:r>
            <w:r w:rsidRPr="00FE7240">
              <w:rPr>
                <w:rFonts w:cs="Times New Roman"/>
                <w:szCs w:val="24"/>
                <w:vertAlign w:val="subscript"/>
              </w:rPr>
              <w:t>vol</w:t>
            </w:r>
            <w:r w:rsidRPr="00FE7240">
              <w:rPr>
                <w:rFonts w:cs="Times New Roman"/>
                <w:szCs w:val="24"/>
              </w:rPr>
              <w:t xml:space="preserve"> (mGy)</w:t>
            </w:r>
          </w:p>
        </w:tc>
        <w:tc>
          <w:tcPr>
            <w:tcW w:w="1720" w:type="dxa"/>
            <w:tcBorders>
              <w:top w:val="single" w:sz="4" w:space="0" w:color="auto"/>
              <w:bottom w:val="single" w:sz="4" w:space="0" w:color="auto"/>
            </w:tcBorders>
            <w:shd w:val="clear" w:color="auto" w:fill="auto"/>
          </w:tcPr>
          <w:p w14:paraId="09B175D7" w14:textId="12E70949"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DLP (mGy.cm)</w:t>
            </w:r>
          </w:p>
        </w:tc>
        <w:tc>
          <w:tcPr>
            <w:tcW w:w="3470" w:type="dxa"/>
            <w:tcBorders>
              <w:top w:val="single" w:sz="4" w:space="0" w:color="auto"/>
              <w:bottom w:val="single" w:sz="4" w:space="0" w:color="auto"/>
            </w:tcBorders>
            <w:shd w:val="clear" w:color="auto" w:fill="auto"/>
          </w:tcPr>
          <w:p w14:paraId="05B89361" w14:textId="40D86CCA"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p>
          <w:p w14:paraId="100C61CE" w14:textId="3F4CF0A4"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DLP (mGy.cm)</w:t>
            </w:r>
          </w:p>
        </w:tc>
      </w:tr>
      <w:tr w:rsidR="00182CD1" w:rsidRPr="00FE7240" w14:paraId="2F07B396" w14:textId="77777777" w:rsidTr="00550D21">
        <w:trPr>
          <w:trHeight w:val="377"/>
        </w:trPr>
        <w:tc>
          <w:tcPr>
            <w:cnfStyle w:val="001000000000" w:firstRow="0" w:lastRow="0" w:firstColumn="1" w:lastColumn="0" w:oddVBand="0" w:evenVBand="0" w:oddHBand="0" w:evenHBand="0" w:firstRowFirstColumn="0" w:firstRowLastColumn="0" w:lastRowFirstColumn="0" w:lastRowLastColumn="0"/>
            <w:tcW w:w="2338" w:type="dxa"/>
            <w:tcBorders>
              <w:top w:val="single" w:sz="4" w:space="0" w:color="auto"/>
            </w:tcBorders>
            <w:shd w:val="clear" w:color="auto" w:fill="auto"/>
            <w:vAlign w:val="center"/>
          </w:tcPr>
          <w:p w14:paraId="150C2B47" w14:textId="5C49763D" w:rsidR="00182CD1" w:rsidRPr="00FE7240" w:rsidRDefault="00182CD1" w:rsidP="00550D21">
            <w:pPr>
              <w:jc w:val="left"/>
              <w:rPr>
                <w:rFonts w:cs="Times New Roman"/>
                <w:b w:val="0"/>
                <w:szCs w:val="24"/>
              </w:rPr>
            </w:pPr>
            <w:r w:rsidRPr="00FE7240">
              <w:rPr>
                <w:rFonts w:cs="Times New Roman"/>
                <w:b w:val="0"/>
                <w:szCs w:val="24"/>
              </w:rPr>
              <w:t>This study</w:t>
            </w:r>
          </w:p>
        </w:tc>
        <w:tc>
          <w:tcPr>
            <w:tcW w:w="1700" w:type="dxa"/>
            <w:tcBorders>
              <w:top w:val="single" w:sz="4" w:space="0" w:color="auto"/>
              <w:bottom w:val="nil"/>
            </w:tcBorders>
            <w:shd w:val="clear" w:color="auto" w:fill="auto"/>
            <w:vAlign w:val="center"/>
          </w:tcPr>
          <w:p w14:paraId="0EE50E8C" w14:textId="77777777"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b/>
                <w:bCs/>
                <w:szCs w:val="24"/>
              </w:rPr>
            </w:pPr>
            <w:r w:rsidRPr="00FE7240">
              <w:rPr>
                <w:rFonts w:cs="Times New Roman"/>
                <w:b/>
                <w:bCs/>
                <w:szCs w:val="24"/>
              </w:rPr>
              <w:t>86.00</w:t>
            </w:r>
          </w:p>
        </w:tc>
        <w:tc>
          <w:tcPr>
            <w:tcW w:w="1720" w:type="dxa"/>
            <w:tcBorders>
              <w:top w:val="single" w:sz="4" w:space="0" w:color="auto"/>
              <w:bottom w:val="nil"/>
            </w:tcBorders>
            <w:shd w:val="clear" w:color="auto" w:fill="auto"/>
            <w:vAlign w:val="center"/>
          </w:tcPr>
          <w:p w14:paraId="046BDCD7" w14:textId="77777777"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b/>
                <w:bCs/>
                <w:szCs w:val="24"/>
              </w:rPr>
            </w:pPr>
            <w:r w:rsidRPr="00FE7240">
              <w:rPr>
                <w:rFonts w:cs="Times New Roman"/>
                <w:b/>
                <w:bCs/>
                <w:szCs w:val="24"/>
              </w:rPr>
              <w:t>1559.68</w:t>
            </w:r>
          </w:p>
        </w:tc>
        <w:tc>
          <w:tcPr>
            <w:tcW w:w="3470" w:type="dxa"/>
            <w:tcBorders>
              <w:top w:val="single" w:sz="4" w:space="0" w:color="auto"/>
              <w:bottom w:val="nil"/>
            </w:tcBorders>
            <w:shd w:val="clear" w:color="auto" w:fill="auto"/>
            <w:vAlign w:val="center"/>
          </w:tcPr>
          <w:p w14:paraId="648074A4" w14:textId="4747370F"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b/>
                <w:bCs/>
                <w:szCs w:val="24"/>
              </w:rPr>
            </w:pPr>
            <w:r w:rsidRPr="00FE7240">
              <w:rPr>
                <w:rFonts w:cs="Times New Roman"/>
                <w:b/>
                <w:bCs/>
                <w:szCs w:val="24"/>
              </w:rPr>
              <w:t>1613.60</w:t>
            </w:r>
          </w:p>
        </w:tc>
      </w:tr>
      <w:tr w:rsidR="00182CD1" w:rsidRPr="00FE7240" w14:paraId="6BC1BFA1" w14:textId="77777777" w:rsidTr="00550D2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338" w:type="dxa"/>
            <w:shd w:val="clear" w:color="auto" w:fill="auto"/>
            <w:vAlign w:val="center"/>
          </w:tcPr>
          <w:p w14:paraId="3CF3188E" w14:textId="7874C720" w:rsidR="00182CD1" w:rsidRPr="00FE7240" w:rsidRDefault="00182CD1" w:rsidP="00550D21">
            <w:pPr>
              <w:jc w:val="left"/>
              <w:rPr>
                <w:rFonts w:cs="Times New Roman"/>
                <w:szCs w:val="24"/>
              </w:rPr>
            </w:pPr>
            <w:r w:rsidRPr="00FE7240">
              <w:rPr>
                <w:rFonts w:cs="Times New Roman"/>
                <w:szCs w:val="24"/>
              </w:rPr>
              <w:fldChar w:fldCharType="begin" w:fldLock="1"/>
            </w:r>
            <w:r w:rsidRPr="00FE7240">
              <w:rPr>
                <w:rFonts w:cs="Times New Roman"/>
                <w:b w:val="0"/>
                <w:szCs w:val="24"/>
              </w:rPr>
              <w:instrText>ADDIN CSL_CITATION {"citationItems":[{"id":"ITEM-1","itemData":{"ISBN":"0859515567","abstract":"A new UK computed tomography (CT) survey has provided a useful snapshot of patient doses for 2003. Scan details for nearly 850 standard protocols and 2,000 individual patients relating to 12 common CT examinations on adults and children were collected by questionnaires voluntarily submitted by a widely-distributed sample of 126 scanners. This represented more than a quarter of all UK scanners and included 37% with multislice capability. Scanner-specific normalised CT dose data published by ImPACT were used to estimate standard dose indices CTDI w and CTDI vol for each sequence and, with knowledge of scan lengths, DLP for each examination. Effective doses were subsequently estimated from the calculated values of DLP. Wide variations in practice were still apparent between CT centres, although the overall levels of exposure were in general lower by 10-40% than previous UK survey data for 1991. There was, however, an apparent trend for slightly increased doses from multislice (4+) (MSCT) relative to single slice (SSCT) scanners for adult patients. Values of CTDI vol were broadly similar to recent survey data for MSCT from Europe for 2001. Effective doses to very young patients (aged 0-1 years) were typically higher than corresponding values for adults. Doses to individual patients were on average similar to those for the standard protocols established for each scanner, although significant variations were also apparent. The report includes summaries of the dose distributions observed and, on the basis of third quartile values, presents national reference doses for examinations on adults (separately for SSCT and MSCT) and children. The PREDICT (Patient Radiation Exposure and Dose in CT) database established by the survey represents a sustainable national resource for monitoring continuing developments in CT through the ongoing collation of further survey data. iii CONTENTS","author":[{"dropping-particle":"","family":"Shrimpton","given":"P C","non-dropping-particle":"","parse-names":false,"suffix":""},{"dropping-particle":"","family":"Hillier","given":"M C","non-dropping-particle":"","parse-names":false,"suffix":""},{"dropping-particle":"","family":"Dunn","given":"M","non-dropping-particle":"","parse-names":false,"suffix":""}],"id":"ITEM-1","issued":{"date-parts":[["2005"]]},"title":"NRPB-W67 Doses from Computed Tomography (CT) Examinations in the UK-2003 Review","type":"article-journal"},"uris":["http://www.mendeley.com/documents/?uuid=02bb9ffd-e490-3490-b7cf-0e0fe4748788"]}],"mendeley":{"formattedCitation":"(P C Shrimpton et al., 2005)","manualFormatting":"Shrimpton et al. (2005)","plainTextFormattedCitation":"(P C Shrimpton et al., 2005)","previouslyFormattedCitation":"(P C Shrimpton et al., 2005)"},"properties":{"noteIndex":0},"schema":"https://github.com/citation-style-language/schema/raw/master/csl-citation.json"}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 xml:space="preserve">Shrimpton et al </w:t>
            </w:r>
            <w:r w:rsidRPr="00FE7240">
              <w:rPr>
                <w:rFonts w:cs="Times New Roman"/>
                <w:b w:val="0"/>
                <w:noProof/>
                <w:szCs w:val="24"/>
                <w:vertAlign w:val="superscript"/>
              </w:rPr>
              <w:t>(7)</w:t>
            </w:r>
            <w:r w:rsidRPr="00FE7240">
              <w:rPr>
                <w:rFonts w:cs="Times New Roman"/>
                <w:szCs w:val="24"/>
              </w:rPr>
              <w:fldChar w:fldCharType="end"/>
            </w:r>
          </w:p>
        </w:tc>
        <w:tc>
          <w:tcPr>
            <w:tcW w:w="1700" w:type="dxa"/>
            <w:shd w:val="clear" w:color="auto" w:fill="auto"/>
            <w:vAlign w:val="center"/>
          </w:tcPr>
          <w:p w14:paraId="5501D24E" w14:textId="597A38D0"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FE7240">
              <w:rPr>
                <w:rFonts w:cs="Times New Roman"/>
                <w:szCs w:val="24"/>
              </w:rPr>
              <w:t>-</w:t>
            </w:r>
          </w:p>
        </w:tc>
        <w:tc>
          <w:tcPr>
            <w:tcW w:w="1720" w:type="dxa"/>
            <w:shd w:val="clear" w:color="auto" w:fill="auto"/>
            <w:vAlign w:val="center"/>
          </w:tcPr>
          <w:p w14:paraId="41EDE88E" w14:textId="40E26651"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FE7240">
              <w:rPr>
                <w:rFonts w:cs="Times New Roman"/>
                <w:szCs w:val="24"/>
              </w:rPr>
              <w:t>-</w:t>
            </w:r>
          </w:p>
        </w:tc>
        <w:tc>
          <w:tcPr>
            <w:tcW w:w="3470" w:type="dxa"/>
            <w:shd w:val="clear" w:color="auto" w:fill="auto"/>
            <w:vAlign w:val="center"/>
          </w:tcPr>
          <w:p w14:paraId="0898DF78" w14:textId="28718CA9"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FE7240">
              <w:rPr>
                <w:rFonts w:cs="Times New Roman"/>
                <w:szCs w:val="24"/>
              </w:rPr>
              <w:t>787.00</w:t>
            </w:r>
          </w:p>
        </w:tc>
      </w:tr>
      <w:tr w:rsidR="00182CD1" w:rsidRPr="00FE7240" w14:paraId="4D9EF8F8" w14:textId="77777777" w:rsidTr="00550D21">
        <w:trPr>
          <w:trHeight w:val="389"/>
        </w:trPr>
        <w:tc>
          <w:tcPr>
            <w:cnfStyle w:val="001000000000" w:firstRow="0" w:lastRow="0" w:firstColumn="1" w:lastColumn="0" w:oddVBand="0" w:evenVBand="0" w:oddHBand="0" w:evenHBand="0" w:firstRowFirstColumn="0" w:firstRowLastColumn="0" w:lastRowFirstColumn="0" w:lastRowLastColumn="0"/>
            <w:tcW w:w="2338" w:type="dxa"/>
            <w:shd w:val="clear" w:color="auto" w:fill="auto"/>
            <w:vAlign w:val="center"/>
          </w:tcPr>
          <w:p w14:paraId="42CE6398" w14:textId="3365215D" w:rsidR="00182CD1" w:rsidRPr="00FE7240" w:rsidRDefault="00182CD1" w:rsidP="00550D21">
            <w:pPr>
              <w:jc w:val="left"/>
              <w:rPr>
                <w:rFonts w:cs="Times New Roman"/>
                <w:szCs w:val="24"/>
              </w:rPr>
            </w:pPr>
            <w:r w:rsidRPr="00FE7240">
              <w:rPr>
                <w:rFonts w:cs="Times New Roman"/>
                <w:szCs w:val="24"/>
              </w:rPr>
              <w:fldChar w:fldCharType="begin" w:fldLock="1"/>
            </w:r>
            <w:r w:rsidRPr="00FE7240">
              <w:rPr>
                <w:rFonts w:cs="Times New Roman"/>
                <w:b w:val="0"/>
                <w:szCs w:val="24"/>
              </w:rPr>
              <w:instrText>ADDIN CSL_CITATION {"citationItems":[{"id":"ITEM-1","itemData":{"ISBN":"92-828-7478-8","URL":"https://op.europa.eu/pt/publication-detail/-/publication/d229c9e1-a967-49de-b169-59ee68605f1a","accessed":{"date-parts":[["2021","7","2"]]},"author":[{"dropping-particle":"","family":"Bongartz","given":"G.","non-dropping-particle":"","parse-names":false,"suffix":""},{"dropping-particle":"","family":"Golding","given":"S. J.","non-dropping-particle":"","parse-names":false,"suffix":""},{"dropping-particle":"","family":"Jurik","given":"A. G.","non-dropping-particle":"","parse-names":false,"suffix":""},{"dropping-particle":"","family":"Leonardi","given":"M.","non-dropping-particle":"","parse-names":false,"suffix":""},{"dropping-particle":"","family":"Meerten","given":"","non-dropping-particle":"","parse-names":false,"suffix":""},{"dropping-particle":"","family":"Geleijns","given":"J.","non-dropping-particle":"","parse-names":false,"suffix":""},{"dropping-particle":"","family":"Jessen","given":"K. A.","non-dropping-particle":"","parse-names":false,"suffix":""},{"dropping-particle":"","family":"Panzer","given":"W.","non-dropping-particle":"","parse-names":false,"suffix":""},{"dropping-particle":"","family":"Shrimpton","given":"P. C.","non-dropping-particle":"","parse-names":false,"suffix":""},{"dropping-particle":"","family":"Tosi","given":"G.","non-dropping-particle":"","parse-names":false,"suffix":""}],"container-title":"European Commission","id":"ITEM-1","issued":{"date-parts":[["2000"]]},"title":"European guidelines on quality criteria for computed tomography - Publications Office of the EU","type":"webpage"},"uris":["http://www.mendeley.com/documents/?uuid=232dc902-0c3f-3602-aea9-8f712f79d21e"]}],"mendeley":{"formattedCitation":"(Bongartz et al., 2000)","manualFormatting":"Bongartz et al. (2000)","plainTextFormattedCitation":"(Bongartz et al., 2000)","previouslyFormattedCitation":"(Bongartz et al., 2000)"},"properties":{"noteIndex":0},"schema":"https://github.com/citation-style-language/schema/raw/master/csl-citation.json"}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 xml:space="preserve">Bongartz et al </w:t>
            </w:r>
            <w:r w:rsidRPr="00FE7240">
              <w:rPr>
                <w:rFonts w:cs="Times New Roman"/>
                <w:b w:val="0"/>
                <w:noProof/>
                <w:szCs w:val="24"/>
                <w:vertAlign w:val="superscript"/>
              </w:rPr>
              <w:t>(22)</w:t>
            </w:r>
            <w:r w:rsidRPr="00FE7240">
              <w:rPr>
                <w:rFonts w:cs="Times New Roman"/>
                <w:szCs w:val="24"/>
              </w:rPr>
              <w:fldChar w:fldCharType="end"/>
            </w:r>
          </w:p>
        </w:tc>
        <w:tc>
          <w:tcPr>
            <w:tcW w:w="1700" w:type="dxa"/>
            <w:shd w:val="clear" w:color="auto" w:fill="auto"/>
            <w:vAlign w:val="center"/>
          </w:tcPr>
          <w:p w14:paraId="02CFA4CD" w14:textId="49BDB7DD"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w:t>
            </w:r>
          </w:p>
        </w:tc>
        <w:tc>
          <w:tcPr>
            <w:tcW w:w="1720" w:type="dxa"/>
            <w:shd w:val="clear" w:color="auto" w:fill="auto"/>
            <w:vAlign w:val="center"/>
          </w:tcPr>
          <w:p w14:paraId="72F1F322" w14:textId="0E437347"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w:t>
            </w:r>
          </w:p>
        </w:tc>
        <w:tc>
          <w:tcPr>
            <w:tcW w:w="3470" w:type="dxa"/>
            <w:shd w:val="clear" w:color="auto" w:fill="auto"/>
            <w:vAlign w:val="center"/>
          </w:tcPr>
          <w:p w14:paraId="4C11455E" w14:textId="368703A4"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1050.00</w:t>
            </w:r>
          </w:p>
        </w:tc>
      </w:tr>
      <w:tr w:rsidR="00182CD1" w:rsidRPr="00FE7240" w14:paraId="4FB8F73D" w14:textId="77777777" w:rsidTr="00550D2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338" w:type="dxa"/>
            <w:tcBorders>
              <w:top w:val="nil"/>
              <w:bottom w:val="single" w:sz="4" w:space="0" w:color="auto"/>
            </w:tcBorders>
            <w:shd w:val="clear" w:color="auto" w:fill="auto"/>
            <w:vAlign w:val="center"/>
          </w:tcPr>
          <w:p w14:paraId="7B081B52" w14:textId="2A020D5F" w:rsidR="00182CD1" w:rsidRPr="00FE7240" w:rsidRDefault="00182CD1" w:rsidP="00550D21">
            <w:pPr>
              <w:jc w:val="left"/>
              <w:rPr>
                <w:rFonts w:cs="Times New Roman"/>
                <w:szCs w:val="24"/>
              </w:rPr>
            </w:pPr>
            <w:r w:rsidRPr="00FE7240">
              <w:rPr>
                <w:rFonts w:cs="Times New Roman"/>
                <w:szCs w:val="24"/>
              </w:rPr>
              <w:fldChar w:fldCharType="begin" w:fldLock="1"/>
            </w:r>
            <w:r w:rsidRPr="00FE7240">
              <w:rPr>
                <w:rFonts w:cs="Times New Roman"/>
                <w:b w:val="0"/>
                <w:szCs w:val="24"/>
              </w:rPr>
              <w:instrText>ADDIN CSL_CITATION {"citationItems":[{"id":"ITEM-1","itemData":{"author":[{"dropping-particle":"","family":"American College of Radiology","given":"","non-dropping-particle":"","parse-names":false,"suffix":""}],"container-title":"Continuing Medical Education","id":"ITEM-1","issued":{"date-parts":[["2008"]]},"page":"1-6","title":"Acr Practice Guideline for Diagnostic Reference Levels in Medical X-Ray Imaging","type":"article-journal"},"uris":["http://www.mendeley.com/documents/?uuid=7f6dd217-0980-45c4-8b61-6f2892c29169"]}],"mendeley":{"formattedCitation":"(American College of Radiology, 2008)","manualFormatting":"ACR (2008)","plainTextFormattedCitation":"(American College of Radiology, 2008)","previouslyFormattedCitation":"(American College of Radiology, 2008)"},"properties":{"noteIndex":0},"schema":"https://github.com/citation-style-language/schema/raw/master/csl-citation.json"}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ACR</w:t>
            </w:r>
            <w:r w:rsidRPr="00FE7240">
              <w:rPr>
                <w:rFonts w:cs="Times New Roman"/>
                <w:b w:val="0"/>
                <w:noProof/>
                <w:szCs w:val="24"/>
                <w:vertAlign w:val="superscript"/>
              </w:rPr>
              <w:t xml:space="preserve"> (24)</w:t>
            </w:r>
            <w:r w:rsidRPr="00FE7240">
              <w:rPr>
                <w:rFonts w:cs="Times New Roman"/>
                <w:b w:val="0"/>
                <w:noProof/>
                <w:szCs w:val="24"/>
              </w:rPr>
              <w:t xml:space="preserve"> </w:t>
            </w:r>
            <w:r w:rsidRPr="00FE7240">
              <w:rPr>
                <w:rFonts w:cs="Times New Roman"/>
                <w:szCs w:val="24"/>
              </w:rPr>
              <w:fldChar w:fldCharType="end"/>
            </w:r>
          </w:p>
        </w:tc>
        <w:tc>
          <w:tcPr>
            <w:tcW w:w="1700" w:type="dxa"/>
            <w:tcBorders>
              <w:bottom w:val="single" w:sz="4" w:space="0" w:color="auto"/>
            </w:tcBorders>
            <w:shd w:val="clear" w:color="auto" w:fill="auto"/>
            <w:vAlign w:val="center"/>
          </w:tcPr>
          <w:p w14:paraId="010D1207" w14:textId="2BC7AD7C"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w:t>
            </w:r>
          </w:p>
        </w:tc>
        <w:tc>
          <w:tcPr>
            <w:tcW w:w="1720" w:type="dxa"/>
            <w:tcBorders>
              <w:bottom w:val="single" w:sz="4" w:space="0" w:color="auto"/>
            </w:tcBorders>
            <w:shd w:val="clear" w:color="auto" w:fill="auto"/>
            <w:vAlign w:val="center"/>
          </w:tcPr>
          <w:p w14:paraId="6D79461F" w14:textId="26573BD3"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w:t>
            </w:r>
          </w:p>
        </w:tc>
        <w:tc>
          <w:tcPr>
            <w:tcW w:w="3470" w:type="dxa"/>
            <w:tcBorders>
              <w:bottom w:val="single" w:sz="4" w:space="0" w:color="auto"/>
            </w:tcBorders>
            <w:shd w:val="clear" w:color="auto" w:fill="auto"/>
            <w:vAlign w:val="center"/>
          </w:tcPr>
          <w:p w14:paraId="4222E506" w14:textId="307DA39F"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w:t>
            </w:r>
          </w:p>
        </w:tc>
      </w:tr>
      <w:tr w:rsidR="00182CD1" w:rsidRPr="00FE7240" w14:paraId="77447220" w14:textId="77777777" w:rsidTr="00550D21">
        <w:trPr>
          <w:trHeight w:val="312"/>
        </w:trPr>
        <w:tc>
          <w:tcPr>
            <w:cnfStyle w:val="001000000000" w:firstRow="0" w:lastRow="0" w:firstColumn="1" w:lastColumn="0" w:oddVBand="0" w:evenVBand="0" w:oddHBand="0" w:evenHBand="0" w:firstRowFirstColumn="0" w:firstRowLastColumn="0" w:lastRowFirstColumn="0" w:lastRowLastColumn="0"/>
            <w:tcW w:w="2338" w:type="dxa"/>
            <w:shd w:val="clear" w:color="auto" w:fill="auto"/>
            <w:vAlign w:val="center"/>
          </w:tcPr>
          <w:p w14:paraId="55814C92" w14:textId="5DCD56AB" w:rsidR="00182CD1" w:rsidRPr="00FE7240" w:rsidRDefault="00182CD1" w:rsidP="00550D21">
            <w:pPr>
              <w:jc w:val="left"/>
              <w:rPr>
                <w:rFonts w:cs="Times New Roman"/>
                <w:b w:val="0"/>
                <w:bCs w:val="0"/>
                <w:szCs w:val="24"/>
              </w:rPr>
            </w:pPr>
            <w:r w:rsidRPr="00FE7240">
              <w:rPr>
                <w:rFonts w:cs="Times New Roman"/>
                <w:szCs w:val="24"/>
              </w:rPr>
              <w:fldChar w:fldCharType="begin" w:fldLock="1"/>
            </w:r>
            <w:r w:rsidRPr="00FE7240">
              <w:rPr>
                <w:rFonts w:cs="Times New Roman"/>
                <w:b w:val="0"/>
                <w:szCs w:val="24"/>
              </w:rPr>
              <w:instrText>ADDIN CSL_CITATION {"citationItems":[{"id":"ITEM-1","itemData":{"DOI":"10.1093/rpd/ncv020","abstract":"The purpose of this study was to estimate the computed tomography (CT) examination frequency, patient radiation exposure, effective doses and national diagnostic reference levels (NDRLs) associated with CT examinations in clinical practice. A structured questionnaire-type form was developed for recording examination frequency, scanning protocols and patient radiation exposure during CT procedures in fully equipped medical facilities across the country. The national annual number of CT examinations per 1000 people was estimated to be 3 procedures. The volume-weighted CT dose index, dose length product, effective dose and NDRLs were determined for 20 types of adult and paediatric CT examinations. Additionally, the CT annual collective effective dose and effective dose per capita were approximated. The radiation exposure during CT examinations was broadly distributed between the facilities that took part in the study. This calls for a need to develop and implement diagnostic reference levels as a standardisation and optimisation tool for the radiological protection of patients at all the CT facilities nationwide.","author":[{"dropping-particle":"","family":"Korir","given":"Geoffrey K","non-dropping-particle":"","parse-names":false,"suffix":""},{"dropping-particle":"","family":"Wambani","given":"Jeska S","non-dropping-particle":"","parse-names":false,"suffix":""},{"dropping-particle":"","family":"Korir","given":"Ian K","non-dropping-particle":"","parse-names":false,"suffix":""},{"dropping-particle":"","family":"Tries","given":"Mark A","non-dropping-particle":"","parse-names":false,"suffix":""},{"dropping-particle":"","family":"Boen","given":"Patrick K","non-dropping-particle":"","parse-names":false,"suffix":""}],"id":"ITEM-1","issued":{"date-parts":[["2015"]]},"title":"NATIONAL DIAGNOSTIC REFERENCE LEVEL INITIATIVE FOR COMPUTED TOMOGRAPHY EXAMINATIONS IN KENYA","type":"article-journal"},"uris":["http://www.mendeley.com/documents/?uuid=945faf48-e35d-3264-905f-ec646c230ef0"]}],"mendeley":{"formattedCitation":"(Korir et al., 2015)","manualFormatting":"Korir et al. (2015)","plainTextFormattedCitation":"(Korir et al., 2015)","previouslyFormattedCitation":"(Korir et al., 2015)"},"properties":{"noteIndex":0},"schema":"https://github.com/citation-style-language/schema/raw/master/csl-citation.json"}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 xml:space="preserve">Korir et al </w:t>
            </w:r>
            <w:r w:rsidRPr="00FE7240">
              <w:rPr>
                <w:rFonts w:cs="Times New Roman"/>
                <w:b w:val="0"/>
                <w:noProof/>
                <w:szCs w:val="24"/>
                <w:vertAlign w:val="superscript"/>
              </w:rPr>
              <w:t>(29)</w:t>
            </w:r>
            <w:r w:rsidRPr="00FE7240">
              <w:rPr>
                <w:rFonts w:cs="Times New Roman"/>
                <w:szCs w:val="24"/>
              </w:rPr>
              <w:fldChar w:fldCharType="end"/>
            </w:r>
          </w:p>
        </w:tc>
        <w:tc>
          <w:tcPr>
            <w:tcW w:w="1700" w:type="dxa"/>
            <w:tcBorders>
              <w:top w:val="nil"/>
            </w:tcBorders>
            <w:shd w:val="clear" w:color="auto" w:fill="auto"/>
            <w:vAlign w:val="center"/>
          </w:tcPr>
          <w:p w14:paraId="5C635707" w14:textId="77777777"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55.00</w:t>
            </w:r>
          </w:p>
        </w:tc>
        <w:tc>
          <w:tcPr>
            <w:tcW w:w="1720" w:type="dxa"/>
            <w:tcBorders>
              <w:top w:val="nil"/>
            </w:tcBorders>
            <w:shd w:val="clear" w:color="auto" w:fill="auto"/>
            <w:vAlign w:val="center"/>
          </w:tcPr>
          <w:p w14:paraId="6A0E8726" w14:textId="77777777"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1274.00</w:t>
            </w:r>
          </w:p>
        </w:tc>
        <w:tc>
          <w:tcPr>
            <w:tcW w:w="3470" w:type="dxa"/>
            <w:tcBorders>
              <w:top w:val="nil"/>
            </w:tcBorders>
            <w:shd w:val="clear" w:color="auto" w:fill="auto"/>
            <w:vAlign w:val="center"/>
          </w:tcPr>
          <w:p w14:paraId="6E095666" w14:textId="66A1ADF3"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1612.00</w:t>
            </w:r>
          </w:p>
        </w:tc>
      </w:tr>
      <w:tr w:rsidR="00182CD1" w:rsidRPr="00FE7240" w14:paraId="16DF4C90" w14:textId="77777777" w:rsidTr="00550D2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338" w:type="dxa"/>
            <w:shd w:val="clear" w:color="auto" w:fill="auto"/>
            <w:vAlign w:val="center"/>
          </w:tcPr>
          <w:p w14:paraId="17DB2532" w14:textId="197BABA6" w:rsidR="00182CD1" w:rsidRPr="00FE7240" w:rsidRDefault="00182CD1" w:rsidP="00550D21">
            <w:pPr>
              <w:jc w:val="left"/>
              <w:rPr>
                <w:rFonts w:cs="Times New Roman"/>
                <w:b w:val="0"/>
                <w:bCs w:val="0"/>
                <w:szCs w:val="24"/>
              </w:rPr>
            </w:pPr>
            <w:r w:rsidRPr="00FE7240">
              <w:rPr>
                <w:rFonts w:cs="Times New Roman"/>
                <w:szCs w:val="24"/>
              </w:rPr>
              <w:fldChar w:fldCharType="begin" w:fldLock="1"/>
            </w:r>
            <w:r w:rsidRPr="00FE7240">
              <w:rPr>
                <w:rFonts w:cs="Times New Roman"/>
                <w:b w:val="0"/>
                <w:szCs w:val="24"/>
              </w:rPr>
              <w:instrText>ADDIN CSL_CITATION {"citationItems":[{"id":"ITEM-1","itemData":{"DOI":"10.1016/j.ejmp.2017.05.050","ISSN":"1724191X","PMID":"28711184","abstract":"Objectives To establish national diagnostic reference levels (DRLs) in Egypt for computed tomography (CT) examinations of adults and identify the potential for optimization. Methods Data from 3762 individual patient's undergoing CT scans of head, chest (high resolution), abdomen, abdomen-pelvis, chest-abdomen-pelvis and CT angiography (aorta and both lower limbs) examinations in 50 CT facilities were collected. This represents 20% of facilities in the country and all of the 27 Governorates. Results were compared with DRLs of UK, USA, Canada, Japan, Australia and France. Results The Egyptian DRLs for CTDIvol in mGy are for head: 30, chest (high resolution): 22, abdomen (liver metastasis): 31, abdomen-pelvis: 31, chest-abdomen–pelvis: 33 and CT angiography (aorta and lower limbs): 37. The corresponding DRLs for DLP in mGy.cm are 1360, 420, 1425, 1325, 1320 and 1320. For head CT, the Egyptian DRL for CTDIvol is 2–3 times lower than the DRLs from other countries. However, the DRL in terms of DLP is in the same range or higher as compared to others. The Egyptian DRL for chest CT (high resolution) is similar to others for DLP but higher for CTDIvol. For abdomen and abdomen-pelvis DRLs for CTDIvol are higher than others. For DLP, the DRLs for abdomen are higher than DRL in UK and lower than those in Japan, while for abdomen-pelvis they are higher than other countries. Conclusion Despite lower DRLs for CTDIvol, an important consistent problem appears to be higher scan range as DRLs for DLP are higher.","author":[{"dropping-particle":"","family":"Salama","given":"Dina Husseiny","non-dropping-particle":"","parse-names":false,"suffix":""},{"dropping-particle":"","family":"Vassileva","given":"Jenia","non-dropping-particle":"","parse-names":false,"suffix":""},{"dropping-particle":"","family":"Mahdaly","given":"Gamal","non-dropping-particle":"","parse-names":false,"suffix":""},{"dropping-particle":"","family":"Shawki","given":"Mona","non-dropping-particle":"","parse-names":false,"suffix":""},{"dropping-particle":"","family":"Salama","given":"Ahmad","non-dropping-particle":"","parse-names":false,"suffix":""},{"dropping-particle":"","family":"Gilley","given":"Debbie","non-dropping-particle":"","parse-names":false,"suffix":""},{"dropping-particle":"","family":"Rehani","given":"Madan Mohan","non-dropping-particle":"","parse-names":false,"suffix":""}],"container-title":"Physica Medica","id":"ITEM-1","issued":{"date-parts":[["2017","7","1"]]},"page":"16-24","publisher":"Associazione Italiana di Fisica Medica","title":"Establishing national diagnostic reference levels (DRLs) for computed tomography in Egypt","type":"article-journal","volume":"39"},"uris":["http://www.mendeley.com/documents/?uuid=03ebb423-a20d-3e6b-baa3-4d76bbdd863e"]}],"mendeley":{"formattedCitation":"(Salama et al., 2017)","manualFormatting":"Salama et al. (2017)","plainTextFormattedCitation":"(Salama et al., 2017)","previouslyFormattedCitation":"(Salama et al., 2017)"},"properties":{"noteIndex":0},"schema":"https://github.com/citation-style-language/schema/raw/master/csl-citation.json"}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 xml:space="preserve">Salama et al </w:t>
            </w:r>
            <w:r w:rsidRPr="00FE7240">
              <w:rPr>
                <w:rFonts w:cs="Times New Roman"/>
                <w:b w:val="0"/>
                <w:noProof/>
                <w:szCs w:val="24"/>
                <w:vertAlign w:val="superscript"/>
              </w:rPr>
              <w:t>(30)</w:t>
            </w:r>
            <w:r w:rsidRPr="00FE7240">
              <w:rPr>
                <w:rFonts w:cs="Times New Roman"/>
                <w:b w:val="0"/>
                <w:noProof/>
                <w:szCs w:val="24"/>
              </w:rPr>
              <w:t xml:space="preserve"> </w:t>
            </w:r>
            <w:r w:rsidRPr="00FE7240">
              <w:rPr>
                <w:rFonts w:cs="Times New Roman"/>
                <w:szCs w:val="24"/>
              </w:rPr>
              <w:fldChar w:fldCharType="end"/>
            </w:r>
          </w:p>
        </w:tc>
        <w:tc>
          <w:tcPr>
            <w:tcW w:w="1700" w:type="dxa"/>
            <w:shd w:val="clear" w:color="auto" w:fill="auto"/>
            <w:vAlign w:val="center"/>
          </w:tcPr>
          <w:p w14:paraId="4D2EB479" w14:textId="77777777"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28.80</w:t>
            </w:r>
          </w:p>
        </w:tc>
        <w:tc>
          <w:tcPr>
            <w:tcW w:w="1720" w:type="dxa"/>
            <w:shd w:val="clear" w:color="auto" w:fill="auto"/>
            <w:vAlign w:val="center"/>
          </w:tcPr>
          <w:p w14:paraId="13CE6079" w14:textId="77777777"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1000.50</w:t>
            </w:r>
          </w:p>
        </w:tc>
        <w:tc>
          <w:tcPr>
            <w:tcW w:w="3470" w:type="dxa"/>
            <w:shd w:val="clear" w:color="auto" w:fill="auto"/>
            <w:vAlign w:val="center"/>
          </w:tcPr>
          <w:p w14:paraId="15451911" w14:textId="54749E19"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1358.60</w:t>
            </w:r>
          </w:p>
        </w:tc>
      </w:tr>
      <w:tr w:rsidR="00182CD1" w:rsidRPr="00FE7240" w14:paraId="7E6ECBD1" w14:textId="77777777" w:rsidTr="00550D21">
        <w:trPr>
          <w:trHeight w:val="361"/>
        </w:trPr>
        <w:tc>
          <w:tcPr>
            <w:cnfStyle w:val="001000000000" w:firstRow="0" w:lastRow="0" w:firstColumn="1" w:lastColumn="0" w:oddVBand="0" w:evenVBand="0" w:oddHBand="0" w:evenHBand="0" w:firstRowFirstColumn="0" w:firstRowLastColumn="0" w:lastRowFirstColumn="0" w:lastRowLastColumn="0"/>
            <w:tcW w:w="2338" w:type="dxa"/>
            <w:shd w:val="clear" w:color="auto" w:fill="auto"/>
            <w:vAlign w:val="center"/>
          </w:tcPr>
          <w:p w14:paraId="0F88EA4F" w14:textId="3874CF54" w:rsidR="00182CD1" w:rsidRPr="00FE7240" w:rsidRDefault="00182CD1" w:rsidP="00550D21">
            <w:pPr>
              <w:jc w:val="left"/>
              <w:rPr>
                <w:rFonts w:cs="Times New Roman"/>
                <w:b w:val="0"/>
                <w:szCs w:val="24"/>
              </w:rPr>
            </w:pPr>
            <w:r w:rsidRPr="00FE7240">
              <w:rPr>
                <w:rFonts w:cs="Times New Roman"/>
                <w:szCs w:val="24"/>
              </w:rPr>
              <w:fldChar w:fldCharType="begin" w:fldLock="1"/>
            </w:r>
            <w:r w:rsidRPr="00FE7240">
              <w:rPr>
                <w:rFonts w:cs="Times New Roman"/>
                <w:b w:val="0"/>
                <w:szCs w:val="24"/>
              </w:rPr>
              <w:instrText>ADDIN CSL_CITATION {"citationItems":[{"id":"ITEM-1","itemData":{"DOI":"10.1148/radiol.2403050993","abstract":"Purpose: To measure radiation doses for computed tomography (CT) of the head, chest, and abdomen and compare them with the diagnostic reference levels, as part of the International Atomic Energy Agency Research coordination project. Materials and Methods: The local ethics committees of all participating institutions approved the study protocol. Written informed consent was obtained from all patients. All scanners were helical single-section or multi-detector row CT systems. Six hundred thirty-three patients undergoing head (n 97), chest (n 243), or abdominal (n 293) CT were included. Collected data included patient height, weight, sex, and age; tube voltage and tube current-time product settings; pitch; section thickness; number of sections; weighted or volumetric CT dose index; and dose-length product (DLP). The effective dose was also estimated and served as collective dose estimation data. Results: Mean volumetric CT dose index and DLP values were below the European diagnostic reference levels: 39 mGy and 544 mGy cm, respectively, at head CT; 9.3 mGy and 348 mGy cm, respectively, at chest CT; and 10.4 mGy and 549 mGy cm, respectively, at abdominal CT. Estimated effective doses were 1.2, 5.9, and 8.2 mSv, respectively. Conclusion: Comparison of CT results with diagnostic reference levels revealed the need for revisions, partly because the newer scanners have improved technology that facilitates lower patient doses.","author":[{"dropping-particle":"","family":"Tsapaki","given":"Virginia","non-dropping-particle":"","parse-names":false,"suffix":""},{"dropping-particle":"","family":"Aldrich","given":"John E","non-dropping-particle":"","parse-names":false,"suffix":""},{"dropping-particle":"","family":"Sharma","given":"Raju","non-dropping-particle":"","parse-names":false,"suffix":""},{"dropping-particle":"","family":"Staniszewska","given":"Maria Anna","non-dropping-particle":"","parse-names":false,"suffix":""},{"dropping-particle":"","family":"Krisanachinda","given":"Anchali","non-dropping-particle":"","parse-names":false,"suffix":""},{"dropping-particle":"","family":"Rehani","given":"Madan","non-dropping-particle":"","parse-names":false,"suffix":""},{"dropping-particle":"","family":"Hufton","given":"Alan","non-dropping-particle":"","parse-names":false,"suffix":""},{"dropping-particle":"","family":"Triantopoulou","given":"Chariklia","non-dropping-particle":"","parse-names":false,"suffix":""},{"dropping-particle":"","family":"Maniatis","given":"Petros N","non-dropping-particle":"","parse-names":false,"suffix":""},{"dropping-particle":"","family":"Papailiou","given":"John","non-dropping-particle":"","parse-names":false,"suffix":""},{"dropping-particle":"","family":"Prokop","given":"Mathias","non-dropping-particle":"","parse-names":false,"suffix":""}],"container-title":"Radiology","id":"ITEM-1","issue":"3","issued":{"date-parts":[["2006"]]},"title":"Dose Reduction in CT while Maintaining Diagnostic Confidence: Diagnostic Reference Levels at Routine Head, Chest, and Abdominal CT-IAEA-coordinated Research Project 1","type":"article-journal","volume":"240"},"uris":["http://www.mendeley.com/documents/?uuid=e08fcdba-1c98-385b-a964-4de8c8c98fb8"]}],"mendeley":{"formattedCitation":"(Tsapaki et al., 2006)","manualFormatting":"Tsapaki et al. (2006)","plainTextFormattedCitation":"(Tsapaki et al., 2006)","previouslyFormattedCitation":"(Tsapaki et al., 2006)"},"properties":{"noteIndex":0},"schema":"https://github.com/citation-style-language/schema/raw/master/csl-citation.json"}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 xml:space="preserve">Tsapaki et al </w:t>
            </w:r>
            <w:r w:rsidRPr="00FE7240">
              <w:rPr>
                <w:rFonts w:cs="Times New Roman"/>
                <w:b w:val="0"/>
                <w:noProof/>
                <w:szCs w:val="24"/>
                <w:vertAlign w:val="superscript"/>
              </w:rPr>
              <w:t>(31)</w:t>
            </w:r>
            <w:r w:rsidRPr="00FE7240">
              <w:rPr>
                <w:rFonts w:cs="Times New Roman"/>
                <w:szCs w:val="24"/>
              </w:rPr>
              <w:fldChar w:fldCharType="end"/>
            </w:r>
          </w:p>
        </w:tc>
        <w:tc>
          <w:tcPr>
            <w:tcW w:w="1700" w:type="dxa"/>
            <w:shd w:val="clear" w:color="auto" w:fill="auto"/>
            <w:vAlign w:val="center"/>
          </w:tcPr>
          <w:p w14:paraId="1291A2CE" w14:textId="77777777"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39.00</w:t>
            </w:r>
          </w:p>
        </w:tc>
        <w:tc>
          <w:tcPr>
            <w:tcW w:w="1720" w:type="dxa"/>
            <w:shd w:val="clear" w:color="auto" w:fill="auto"/>
            <w:vAlign w:val="center"/>
          </w:tcPr>
          <w:p w14:paraId="781F84F6" w14:textId="77777777"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527.00</w:t>
            </w:r>
          </w:p>
        </w:tc>
        <w:tc>
          <w:tcPr>
            <w:tcW w:w="3470" w:type="dxa"/>
            <w:shd w:val="clear" w:color="auto" w:fill="auto"/>
            <w:vAlign w:val="center"/>
          </w:tcPr>
          <w:p w14:paraId="71A5BDC9" w14:textId="2A4E9193"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544.00</w:t>
            </w:r>
          </w:p>
        </w:tc>
      </w:tr>
      <w:tr w:rsidR="00182CD1" w:rsidRPr="00FE7240" w14:paraId="751CC9A6" w14:textId="77777777" w:rsidTr="00550D21">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338" w:type="dxa"/>
            <w:shd w:val="clear" w:color="auto" w:fill="auto"/>
            <w:vAlign w:val="center"/>
          </w:tcPr>
          <w:p w14:paraId="035C77D3" w14:textId="7442A30D" w:rsidR="00182CD1" w:rsidRPr="00FE7240" w:rsidRDefault="00182CD1" w:rsidP="00550D21">
            <w:pPr>
              <w:jc w:val="left"/>
              <w:rPr>
                <w:rFonts w:cs="Times New Roman"/>
                <w:b w:val="0"/>
                <w:bCs w:val="0"/>
                <w:szCs w:val="24"/>
              </w:rPr>
            </w:pPr>
            <w:r w:rsidRPr="00FE7240">
              <w:rPr>
                <w:rFonts w:cs="Times New Roman"/>
                <w:szCs w:val="24"/>
              </w:rPr>
              <w:fldChar w:fldCharType="begin" w:fldLock="1"/>
            </w:r>
            <w:r w:rsidRPr="00FE7240">
              <w:rPr>
                <w:rFonts w:cs="Times New Roman"/>
                <w:b w:val="0"/>
                <w:szCs w:val="24"/>
              </w:rPr>
              <w:instrText>ADDIN CSL_CITATION {"citationItems":[{"id":"ITEM-1","itemData":{"DOI":"10.15761/RDI.1000120","ISSN":"2515-0200","abstract":"The purpose of this study is to find an optimization approach to minimize the absorbed dose to adult patients undergoing CT examination, while maintain the diagnostic image quality. A single detector CT was considered, to represent typical practice in King Hamad University Hospital. We included 626 patients in this study and investigated radiation dose for three anatomical regions, head, chest and abdomen and pelvis. For each type of CT examination, two groups of patients were considered. 383 patients in Group I: were imaged according to the protocols set by the manufacturer. Group II: 243 patients were imaged according to the protocols set by our team after optimization. We were able to adjust the adjustable factors such as noise index, scan time, pitch, rotation time and slice thickness. For each examination the weighted volume CT dose index (CTDIvol) and dose length product (DLP) were recorded and noise is measured. Each study was also reviewed for image quality. Measured (CTDIvol, DLP) were compared to international reference levels. For Group I, the CTDIvol and DLP values were higher than the reference levels. After Dose optimization the CTDIvol and DLP values were significantly reduced to have lower values than the reference levels. The results of our study showed that the CTDIvol and DLP values taken from images done using the protocols set by the Ct machine developers are higher than the reference levels which indicate that manufacturers are focusing their efforts toward improving image quality rather than the minimizing the dose that can be given to the patient.","author":[{"dropping-particle":"","family":"Sakhnini","given":"Lama","non-dropping-particle":"","parse-names":false,"suffix":""}],"id":"ITEM-1","issue":"1","issued":{"date-parts":[["2017"]]},"page":"1-4","title":"Research Article Radiology and Diagnostic Imaging Radiol Diagn Imaging","type":"article-journal","volume":"2"},"uris":["http://www.mendeley.com/documents/?uuid=fb053550-e85c-3f22-a133-18d445202a10"]}],"mendeley":{"formattedCitation":"(Sakhnini, 2017)","manualFormatting":"Sakhnini (2017)","plainTextFormattedCitation":"(Sakhnini, 2017)","previouslyFormattedCitation":"(Sakhnini, 2017)"},"properties":{"noteIndex":0},"schema":"https://github.com/citation-style-language/schema/raw/master/csl-citation.json"}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 xml:space="preserve">Sakhnini </w:t>
            </w:r>
            <w:r w:rsidRPr="00FE7240">
              <w:rPr>
                <w:rFonts w:cs="Times New Roman"/>
                <w:b w:val="0"/>
                <w:noProof/>
                <w:szCs w:val="24"/>
                <w:vertAlign w:val="superscript"/>
              </w:rPr>
              <w:t>(32)</w:t>
            </w:r>
            <w:r w:rsidRPr="00FE7240">
              <w:rPr>
                <w:rFonts w:cs="Times New Roman"/>
                <w:b w:val="0"/>
                <w:noProof/>
                <w:szCs w:val="24"/>
              </w:rPr>
              <w:t xml:space="preserve"> </w:t>
            </w:r>
            <w:r w:rsidRPr="00FE7240">
              <w:rPr>
                <w:rFonts w:cs="Times New Roman"/>
                <w:szCs w:val="24"/>
              </w:rPr>
              <w:fldChar w:fldCharType="end"/>
            </w:r>
          </w:p>
        </w:tc>
        <w:tc>
          <w:tcPr>
            <w:tcW w:w="1700" w:type="dxa"/>
            <w:shd w:val="clear" w:color="auto" w:fill="auto"/>
            <w:vAlign w:val="center"/>
          </w:tcPr>
          <w:p w14:paraId="0D6D8E8E" w14:textId="77777777"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43.80</w:t>
            </w:r>
          </w:p>
        </w:tc>
        <w:tc>
          <w:tcPr>
            <w:tcW w:w="1720" w:type="dxa"/>
            <w:shd w:val="clear" w:color="auto" w:fill="auto"/>
            <w:vAlign w:val="center"/>
          </w:tcPr>
          <w:p w14:paraId="3F029A34" w14:textId="01D45C7B"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760.00</w:t>
            </w:r>
          </w:p>
        </w:tc>
        <w:tc>
          <w:tcPr>
            <w:tcW w:w="3470" w:type="dxa"/>
            <w:shd w:val="clear" w:color="auto" w:fill="auto"/>
            <w:vAlign w:val="center"/>
          </w:tcPr>
          <w:p w14:paraId="4C6FB919" w14:textId="1F573536"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w:t>
            </w:r>
          </w:p>
        </w:tc>
      </w:tr>
      <w:tr w:rsidR="00182CD1" w:rsidRPr="00FE7240" w14:paraId="30DD4310" w14:textId="77777777" w:rsidTr="00550D21">
        <w:trPr>
          <w:trHeight w:val="382"/>
        </w:trPr>
        <w:tc>
          <w:tcPr>
            <w:cnfStyle w:val="001000000000" w:firstRow="0" w:lastRow="0" w:firstColumn="1" w:lastColumn="0" w:oddVBand="0" w:evenVBand="0" w:oddHBand="0" w:evenHBand="0" w:firstRowFirstColumn="0" w:firstRowLastColumn="0" w:lastRowFirstColumn="0" w:lastRowLastColumn="0"/>
            <w:tcW w:w="2338" w:type="dxa"/>
            <w:shd w:val="clear" w:color="auto" w:fill="auto"/>
            <w:vAlign w:val="center"/>
          </w:tcPr>
          <w:p w14:paraId="6C70CFC7" w14:textId="3F8C56E9" w:rsidR="00182CD1" w:rsidRPr="00FE7240" w:rsidRDefault="00182CD1" w:rsidP="00550D21">
            <w:pPr>
              <w:jc w:val="left"/>
              <w:rPr>
                <w:rFonts w:cs="Times New Roman"/>
                <w:b w:val="0"/>
                <w:szCs w:val="24"/>
              </w:rPr>
            </w:pPr>
            <w:r w:rsidRPr="00FE7240">
              <w:rPr>
                <w:rFonts w:cs="Times New Roman"/>
                <w:szCs w:val="24"/>
              </w:rPr>
              <w:fldChar w:fldCharType="begin" w:fldLock="1"/>
            </w:r>
            <w:r w:rsidRPr="00FE7240">
              <w:rPr>
                <w:rFonts w:cs="Times New Roman"/>
                <w:b w:val="0"/>
                <w:szCs w:val="24"/>
              </w:rPr>
              <w:instrText>ADDIN CSL_CITATION {"citationItems":[{"id":"ITEM-1","itemData":{"DOI":"10.1109/SETIT.2016.7939870","ISBN":"9781509047123","abstract":"The study was aimed at evaluating the value of current modulation (mAs) and iterative reconstructions algorithms during Computed Tomography examinations in terms of dose reduction and image quality. The focus was mainly on non-contrast head and chest-abdomen-pelvis examinations. A total of 40 adult patients with weighting between 65 and 80 kg underwent CT examinations (20 head and 20 chest-abdomen-pelvis). All examinations were performed on a 128-slice scanner (Somatom Definition AS from Siemens, Forchheim, Germany) using CARE Dose 4D technology. The radiation dose values were compared with reference levels values recommended for head and chest-abdomen-pelvis regions. Image quality was evaluated both objectively and subjectively using Students' test. The results on the present study showed that through the combination of CARE Dose 4D and SAFIRE; the radiation dose could be reduced by 20.10% and 59 % for the examination of head and chest-abdomen-pelvis respectively. There was a substantial difference in the image quality when using FBP or SAFIRE (p &lt; 0.05). The noise level dropped significantly during SAFIRE when compared to FBP by 14.25% for head and by 27.60% and for chest-abdomen-pelvis scans. We conclude that automatic exposure control mechanism based on tube current modulation CARE Dose 4D when combined with iterative reconstruction SAFIRE delivers good image quality with low dose for non-enhanced head and chest-abdomen-pelvis scans.","author":[{"dropping-particle":"","family":"Gharbi","given":"Souha","non-dropping-particle":"","parse-names":false,"suffix":""},{"dropping-particle":"","family":"Labidi","given":"Salam","non-dropping-particle":"","parse-names":false,"suffix":""}],"container-title":"2016 7th International Conference on Sciences of Electronics, Technologies of Information and Telecommunications, SETIT 2016","id":"ITEM-1","issued":{"date-parts":[["2017"]]},"page":"220-223","publisher":"IEEE","title":"Radiation dose optimization in computed tomography with current modulation and Iterative Reconstruction","type":"article-journal"},"uris":["http://www.mendeley.com/documents/?uuid=0d57d4fe-f292-4a43-962b-ee5d4cb9a79b"]}],"mendeley":{"formattedCitation":"(Gharbi &amp; Labidi, 2017)","manualFormatting":"Gharbi &amp; Labidi (2017)","plainTextFormattedCitation":"(Gharbi &amp; Labidi, 2017)","previouslyFormattedCitation":"(Gharbi &amp; Labidi, 2017)"},"properties":{"noteIndex":0},"schema":"https://github.com/citation-style-language/schema/raw/master/csl-citation.json"}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 xml:space="preserve">Gharbi et al </w:t>
            </w:r>
            <w:r w:rsidRPr="00FE7240">
              <w:rPr>
                <w:rFonts w:cs="Times New Roman"/>
                <w:b w:val="0"/>
                <w:noProof/>
                <w:szCs w:val="24"/>
                <w:vertAlign w:val="superscript"/>
              </w:rPr>
              <w:t>(33)</w:t>
            </w:r>
            <w:r w:rsidRPr="00FE7240">
              <w:rPr>
                <w:rFonts w:cs="Times New Roman"/>
                <w:szCs w:val="24"/>
              </w:rPr>
              <w:fldChar w:fldCharType="end"/>
            </w:r>
          </w:p>
        </w:tc>
        <w:tc>
          <w:tcPr>
            <w:tcW w:w="1700" w:type="dxa"/>
            <w:shd w:val="clear" w:color="auto" w:fill="auto"/>
            <w:vAlign w:val="center"/>
          </w:tcPr>
          <w:p w14:paraId="3EDFE37A" w14:textId="77777777"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46.79</w:t>
            </w:r>
          </w:p>
        </w:tc>
        <w:tc>
          <w:tcPr>
            <w:tcW w:w="1720" w:type="dxa"/>
            <w:shd w:val="clear" w:color="auto" w:fill="auto"/>
            <w:vAlign w:val="center"/>
          </w:tcPr>
          <w:p w14:paraId="2E26A599" w14:textId="77777777"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837.25</w:t>
            </w:r>
          </w:p>
        </w:tc>
        <w:tc>
          <w:tcPr>
            <w:tcW w:w="3470" w:type="dxa"/>
            <w:shd w:val="clear" w:color="auto" w:fill="auto"/>
            <w:vAlign w:val="center"/>
          </w:tcPr>
          <w:p w14:paraId="2575BCEB" w14:textId="0922CF4B"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w:t>
            </w:r>
          </w:p>
        </w:tc>
      </w:tr>
      <w:tr w:rsidR="00182CD1" w:rsidRPr="00FE7240" w14:paraId="70EF6D80" w14:textId="77777777" w:rsidTr="00550D2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338" w:type="dxa"/>
            <w:shd w:val="clear" w:color="auto" w:fill="auto"/>
            <w:vAlign w:val="center"/>
          </w:tcPr>
          <w:p w14:paraId="187DBEAD" w14:textId="3D5EBF4C" w:rsidR="00182CD1" w:rsidRPr="00FE7240" w:rsidRDefault="00182CD1" w:rsidP="00550D21">
            <w:pPr>
              <w:jc w:val="left"/>
              <w:rPr>
                <w:rFonts w:cs="Times New Roman"/>
                <w:b w:val="0"/>
                <w:szCs w:val="24"/>
              </w:rPr>
            </w:pPr>
            <w:r w:rsidRPr="00FE7240">
              <w:rPr>
                <w:rFonts w:cs="Times New Roman"/>
                <w:szCs w:val="24"/>
              </w:rPr>
              <w:fldChar w:fldCharType="begin" w:fldLock="1"/>
            </w:r>
            <w:r w:rsidRPr="00FE7240">
              <w:rPr>
                <w:rFonts w:cs="Times New Roman"/>
                <w:b w:val="0"/>
                <w:szCs w:val="24"/>
              </w:rPr>
              <w:instrText>ADDIN CSL_CITATION {"citationItems":[{"id":"ITEM-1","itemData":{"author":[{"dropping-particle":"","family":"Janbabanezhad Toori","given":"A.","non-dropping-particle":"","parse-names":false,"suffix":""},{"dropping-particle":"","family":"Shabestani-Monfared","given":"A.","non-dropping-particle":"","parse-names":false,"suffix":""},{"dropping-particle":"","family":"Deevband","given":"M.R.","non-dropping-particle":"","parse-names":false,"suffix":""},{"dropping-particle":"","family":"Nabahati","given":"M.","non-dropping-particle":"","parse-names":false,"suffix":""}],"container-title":"111","id":"ITEM-1","issue":"c","issued":{"date-parts":[["2015"]]},"page":"51-60","title":"Original 1 1 (","type":"article-journal","volume":"0"},"uris":["http://www.mendeley.com/documents/?uuid=cf0a0e95-e16b-4664-a61c-ab504ded256d"]}],"mendeley":{"formattedCitation":"(Janbabanezhad Toori et al., 2015)","manualFormatting":"Toori et al. (2015)","plainTextFormattedCitation":"(Janbabanezhad Toori et al., 2015)","previouslyFormattedCitation":"(Janbabanezhad Toori et al., 2015)"},"properties":{"noteIndex":0},"schema":"https://github.com/citation-style-language/schema/raw/master/csl-citation.json"}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 xml:space="preserve">Toori et al </w:t>
            </w:r>
            <w:r w:rsidRPr="00FE7240">
              <w:rPr>
                <w:rFonts w:cs="Times New Roman"/>
                <w:b w:val="0"/>
                <w:noProof/>
                <w:szCs w:val="24"/>
                <w:vertAlign w:val="superscript"/>
              </w:rPr>
              <w:t>(34)</w:t>
            </w:r>
            <w:r w:rsidRPr="00FE7240">
              <w:rPr>
                <w:rFonts w:cs="Times New Roman"/>
                <w:b w:val="0"/>
                <w:noProof/>
                <w:szCs w:val="24"/>
              </w:rPr>
              <w:t xml:space="preserve"> </w:t>
            </w:r>
            <w:r w:rsidRPr="00FE7240">
              <w:rPr>
                <w:rFonts w:cs="Times New Roman"/>
                <w:szCs w:val="24"/>
              </w:rPr>
              <w:fldChar w:fldCharType="end"/>
            </w:r>
          </w:p>
        </w:tc>
        <w:tc>
          <w:tcPr>
            <w:tcW w:w="1700" w:type="dxa"/>
            <w:shd w:val="clear" w:color="auto" w:fill="auto"/>
            <w:vAlign w:val="center"/>
          </w:tcPr>
          <w:p w14:paraId="2B08AC05" w14:textId="77777777"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w:t>
            </w:r>
          </w:p>
        </w:tc>
        <w:tc>
          <w:tcPr>
            <w:tcW w:w="1720" w:type="dxa"/>
            <w:shd w:val="clear" w:color="auto" w:fill="auto"/>
            <w:vAlign w:val="center"/>
          </w:tcPr>
          <w:p w14:paraId="06BC0600" w14:textId="77777777"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w:t>
            </w:r>
          </w:p>
        </w:tc>
        <w:tc>
          <w:tcPr>
            <w:tcW w:w="3470" w:type="dxa"/>
            <w:shd w:val="clear" w:color="auto" w:fill="auto"/>
            <w:vAlign w:val="center"/>
          </w:tcPr>
          <w:p w14:paraId="645A22A1" w14:textId="3CBB4512"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750.00</w:t>
            </w:r>
          </w:p>
        </w:tc>
      </w:tr>
      <w:tr w:rsidR="00182CD1" w:rsidRPr="00FE7240" w14:paraId="0EF84A50" w14:textId="77777777" w:rsidTr="00550D21">
        <w:trPr>
          <w:trHeight w:val="367"/>
        </w:trPr>
        <w:tc>
          <w:tcPr>
            <w:cnfStyle w:val="001000000000" w:firstRow="0" w:lastRow="0" w:firstColumn="1" w:lastColumn="0" w:oddVBand="0" w:evenVBand="0" w:oddHBand="0" w:evenHBand="0" w:firstRowFirstColumn="0" w:firstRowLastColumn="0" w:lastRowFirstColumn="0" w:lastRowLastColumn="0"/>
            <w:tcW w:w="2338" w:type="dxa"/>
            <w:tcBorders>
              <w:bottom w:val="nil"/>
            </w:tcBorders>
            <w:shd w:val="clear" w:color="auto" w:fill="auto"/>
            <w:vAlign w:val="center"/>
          </w:tcPr>
          <w:p w14:paraId="408A166B" w14:textId="370554BB" w:rsidR="00182CD1" w:rsidRPr="00FE7240" w:rsidRDefault="00182CD1" w:rsidP="00550D21">
            <w:pPr>
              <w:jc w:val="left"/>
              <w:rPr>
                <w:rFonts w:cs="Times New Roman"/>
                <w:szCs w:val="24"/>
              </w:rPr>
            </w:pPr>
            <w:r w:rsidRPr="00FE7240">
              <w:rPr>
                <w:rFonts w:cs="Times New Roman"/>
                <w:szCs w:val="24"/>
              </w:rPr>
              <w:fldChar w:fldCharType="begin" w:fldLock="1"/>
            </w:r>
            <w:r w:rsidRPr="00FE7240">
              <w:rPr>
                <w:rFonts w:cs="Times New Roman"/>
                <w:b w:val="0"/>
                <w:szCs w:val="24"/>
              </w:rPr>
              <w:instrText>ADDIN CSL_CITATION {"citationItems":[{"id":"ITEM-1","itemData":{"DOI":"10.4236/ojmi.2017.71001","ISSN":"2164-2788","abstract":"CT-scan is the most irradiating tool in diagnostic radiology. For 5% - 10% of diagnostic X-ray procedures, it is responsible for 34% of irradiation according to UNSCEAR. Patients radiation protection must therefore be increased during CT-scan procedures. This requires the rigorous application of optimization principle which imposes to have “diagnostic reference levels”. Objective: The aim of this study was to determine the diagnostic reference levels (DRLs) of the four most frequent CT-scans examinations of adults in Cameroon. Material and Method: It was a cross-sectional pilot study carried out from April to September 2015 in five health facilities using CT-scan in Cameroon. The studied variables were: patients age and sex, type of CT-scan examination (cerebral, chest, abdomino-pelvic, lumbar spine), Used of IV contrast (IV−/ IV+), acquisition length, time of tube rotation, voltage (kV), mAs, pitch, thickness of slices, CTDIvol and DLP. For each type of examination, at least 30...","author":[{"dropping-particle":"","family":"Moifo","given":"Boniface","non-dropping-particle":"","parse-names":false,"suffix":""},{"dropping-particle":"","family":"Tapouh","given":"Jean Roger Moulion","non-dropping-particle":"","parse-names":false,"suffix":""},{"dropping-particle":"","family":"Guena","given":"Mathurin Neossi","non-dropping-particle":"","parse-names":false,"suffix":""},{"dropping-particle":"","family":"Ndah","given":"Thierry Ndzana","non-dropping-particle":"","parse-names":false,"suffix":""},{"dropping-particle":"","family":"Samba","given":"Richard Ndi","non-dropping-particle":"","parse-names":false,"suffix":""},{"dropping-particle":"","family":"Simo","given":"Augustin","non-dropping-particle":"","parse-names":false,"suffix":""}],"container-title":"Open Journal of Medical Imaging","id":"ITEM-1","issue":"01","issued":{"date-parts":[["2017","1","25"]]},"page":"1-8","publisher":"Scientific Research Publishing, Inc,","title":"Diagnostic Reference Levels of Adults CT-Scan Imaging in Cameroon: A Pilot Study of Four Commonest CT-Protocols in Five Radiology Departments","type":"article-journal","volume":"07"},"uris":["http://www.mendeley.com/documents/?uuid=cbbda6ca-73f6-3cf0-8e2e-700dfe7dfc6c"]}],"mendeley":{"formattedCitation":"(Moifo et al., 2017)","manualFormatting":"Moifo et al. (2017)","plainTextFormattedCitation":"(Moifo et al., 2017)","previouslyFormattedCitation":"(Moifo et al., 2017)"},"properties":{"noteIndex":0},"schema":"https://github.com/citation-style-language/schema/raw/master/csl-citation.json"}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 xml:space="preserve">Moifo et al </w:t>
            </w:r>
            <w:r w:rsidRPr="00FE7240">
              <w:rPr>
                <w:rFonts w:cs="Times New Roman"/>
                <w:b w:val="0"/>
                <w:noProof/>
                <w:szCs w:val="24"/>
                <w:vertAlign w:val="superscript"/>
              </w:rPr>
              <w:t>(35)</w:t>
            </w:r>
            <w:r w:rsidRPr="00FE7240">
              <w:rPr>
                <w:rFonts w:cs="Times New Roman"/>
                <w:szCs w:val="24"/>
              </w:rPr>
              <w:fldChar w:fldCharType="end"/>
            </w:r>
          </w:p>
        </w:tc>
        <w:tc>
          <w:tcPr>
            <w:tcW w:w="1700" w:type="dxa"/>
            <w:shd w:val="clear" w:color="auto" w:fill="auto"/>
            <w:vAlign w:val="center"/>
          </w:tcPr>
          <w:p w14:paraId="0C8ADD44" w14:textId="62905948"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w:t>
            </w:r>
          </w:p>
        </w:tc>
        <w:tc>
          <w:tcPr>
            <w:tcW w:w="1720" w:type="dxa"/>
            <w:shd w:val="clear" w:color="auto" w:fill="auto"/>
            <w:vAlign w:val="center"/>
          </w:tcPr>
          <w:p w14:paraId="46573DBD" w14:textId="56BE06B5"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w:t>
            </w:r>
          </w:p>
        </w:tc>
        <w:tc>
          <w:tcPr>
            <w:tcW w:w="3470" w:type="dxa"/>
            <w:shd w:val="clear" w:color="auto" w:fill="auto"/>
            <w:vAlign w:val="center"/>
          </w:tcPr>
          <w:p w14:paraId="3ABD65D4" w14:textId="37B2F8E4"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1151.00</w:t>
            </w:r>
          </w:p>
        </w:tc>
      </w:tr>
      <w:tr w:rsidR="00182CD1" w:rsidRPr="00FE7240" w14:paraId="4194C961" w14:textId="77777777" w:rsidTr="00550D21">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2338" w:type="dxa"/>
            <w:shd w:val="clear" w:color="auto" w:fill="auto"/>
            <w:vAlign w:val="center"/>
          </w:tcPr>
          <w:p w14:paraId="1E23F3F1" w14:textId="76DD9907" w:rsidR="00182CD1" w:rsidRPr="00FE7240" w:rsidRDefault="00182CD1" w:rsidP="00550D21">
            <w:pPr>
              <w:jc w:val="left"/>
              <w:rPr>
                <w:rFonts w:cs="Times New Roman"/>
                <w:b w:val="0"/>
                <w:bCs w:val="0"/>
                <w:szCs w:val="24"/>
              </w:rPr>
            </w:pPr>
            <w:r w:rsidRPr="00FE7240">
              <w:rPr>
                <w:rFonts w:cs="Times New Roman"/>
                <w:szCs w:val="24"/>
              </w:rPr>
              <w:fldChar w:fldCharType="begin" w:fldLock="1"/>
            </w:r>
            <w:r w:rsidRPr="00FE7240">
              <w:rPr>
                <w:rFonts w:cs="Times New Roman"/>
                <w:b w:val="0"/>
                <w:szCs w:val="24"/>
              </w:rPr>
              <w:instrText>ADDIN CSL_CITATION {"citationItems":[{"id":"ITEM-1","itemData":{"DOI":"10.1007/s13246-015-0388-8","abstract":"In order to establish diagnostic reference levels (DRLs) for multi-detector computed tomography (MDCT), four routine CT examinations were identified and a computer program was developed to collect data from 19 MDCT scanners in Iran. Mean values of Volume computed tomography dose index (CTDI vol) and dose-length product (DLP) in each site were calculated and the DRLs were defined as the 75th percentile of the distribution of the CTDI vol /DLP values for each examination. In terms of DLP, the DRLs of adult age group are 700, 290, 330, and 550 mGy cm for the Brain, Sinus, Chest, and Abdomen and Pelvis protocols, respectively. Although DRLs of this study are comparable to other international DRLs and in most cases are less than the international reference values, the great extent of dose distributions indicates that the CT imaging procedures in Iran should be optimized by applying diagnostic reference levels in order to decrease the radiation dose to patient undergoing CT examination.","author":[{"dropping-particle":"","family":"Najafi","given":"Mohsen","non-dropping-particle":"","parse-names":false,"suffix":""},{"dropping-particle":"","family":"Mohammad","given":"•","non-dropping-particle":"","parse-names":false,"suffix":""},{"dropping-particle":"","family":"Deevband","given":"Reza","non-dropping-particle":"","parse-names":false,"suffix":""},{"dropping-particle":"","family":"Ahmadi","given":"Mohsen","non-dropping-particle":"","parse-names":false,"suffix":""},{"dropping-particle":"","family":"Kardan","given":"Reza","non-dropping-particle":"","parse-names":false,"suffix":""}],"id":"ITEM-1","issued":{"date-parts":[["0"]]},"title":"Establishment of diagnostic reference levels for common multi-detector computed tomography examinations in Iran","type":"article-journal"},"uris":["http://www.mendeley.com/documents/?uuid=dca5a46a-956c-3078-8d9a-27010df5702e"]}],"mendeley":{"formattedCitation":"(Najafi et al., n.d.)","manualFormatting":"Najafi et al. (2015)","plainTextFormattedCitation":"(Najafi et al., n.d.)","previouslyFormattedCitation":"(Najafi et al., n.d.)"},"properties":{"noteIndex":0},"schema":"https://github.com/citation-style-language/schema/raw/master/csl-citation.json"}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 xml:space="preserve">Najafi et al </w:t>
            </w:r>
            <w:r w:rsidRPr="00FE7240">
              <w:rPr>
                <w:rFonts w:cs="Times New Roman"/>
                <w:b w:val="0"/>
                <w:noProof/>
                <w:szCs w:val="24"/>
                <w:vertAlign w:val="superscript"/>
              </w:rPr>
              <w:t>(36)</w:t>
            </w:r>
            <w:r w:rsidRPr="00FE7240">
              <w:rPr>
                <w:rFonts w:cs="Times New Roman"/>
                <w:szCs w:val="24"/>
              </w:rPr>
              <w:fldChar w:fldCharType="end"/>
            </w:r>
          </w:p>
        </w:tc>
        <w:tc>
          <w:tcPr>
            <w:tcW w:w="1700" w:type="dxa"/>
            <w:shd w:val="clear" w:color="auto" w:fill="auto"/>
            <w:vAlign w:val="center"/>
          </w:tcPr>
          <w:p w14:paraId="645213C1" w14:textId="77777777"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w:t>
            </w:r>
          </w:p>
        </w:tc>
        <w:tc>
          <w:tcPr>
            <w:tcW w:w="1720" w:type="dxa"/>
            <w:shd w:val="clear" w:color="auto" w:fill="auto"/>
            <w:vAlign w:val="center"/>
          </w:tcPr>
          <w:p w14:paraId="3BCCBD96" w14:textId="77777777"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w:t>
            </w:r>
          </w:p>
        </w:tc>
        <w:tc>
          <w:tcPr>
            <w:tcW w:w="3470" w:type="dxa"/>
            <w:shd w:val="clear" w:color="auto" w:fill="auto"/>
            <w:vAlign w:val="center"/>
          </w:tcPr>
          <w:p w14:paraId="5454502E" w14:textId="38EB1C61"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700.00</w:t>
            </w:r>
          </w:p>
        </w:tc>
      </w:tr>
      <w:tr w:rsidR="00182CD1" w:rsidRPr="00FE7240" w14:paraId="0817D759" w14:textId="77777777" w:rsidTr="00550D21">
        <w:trPr>
          <w:trHeight w:val="351"/>
        </w:trPr>
        <w:tc>
          <w:tcPr>
            <w:cnfStyle w:val="001000000000" w:firstRow="0" w:lastRow="0" w:firstColumn="1" w:lastColumn="0" w:oddVBand="0" w:evenVBand="0" w:oddHBand="0" w:evenHBand="0" w:firstRowFirstColumn="0" w:firstRowLastColumn="0" w:lastRowFirstColumn="0" w:lastRowLastColumn="0"/>
            <w:tcW w:w="2338" w:type="dxa"/>
            <w:shd w:val="clear" w:color="auto" w:fill="auto"/>
            <w:vAlign w:val="center"/>
          </w:tcPr>
          <w:p w14:paraId="4B55D483" w14:textId="43F5BD1C" w:rsidR="00182CD1" w:rsidRPr="00FE7240" w:rsidRDefault="00182CD1" w:rsidP="00550D21">
            <w:pPr>
              <w:jc w:val="left"/>
              <w:rPr>
                <w:rFonts w:cs="Times New Roman"/>
                <w:szCs w:val="24"/>
              </w:rPr>
            </w:pPr>
            <w:r w:rsidRPr="00FE7240">
              <w:rPr>
                <w:rFonts w:cs="Times New Roman"/>
                <w:szCs w:val="24"/>
              </w:rPr>
              <w:fldChar w:fldCharType="begin" w:fldLock="1"/>
            </w:r>
            <w:r w:rsidRPr="00FE7240">
              <w:rPr>
                <w:rFonts w:cs="Times New Roman"/>
                <w:b w:val="0"/>
                <w:szCs w:val="24"/>
              </w:rPr>
              <w:instrText>ADDIN CSL_CITATION {"citationItems":[{"id":"ITEM-1","itemData":{"DOI":"10.1007/s00330-003-1883-y","abstract":"Multi-slice (MS) technology increases the efficacy of CT procedures and offers new promising applications. The expanding use of MSCT, however, may result in an increase in both frequency of procedures and levels of patient exposure. It was, therefore, the aim of this study to gain an overview of MSCT examinations conducted in Germany in 2001. All MSCT facilities were requested to provide information about 14 standard examinations with respect to scan parameters and frequency. Based on this data, dosimet-ric quantities were estimated using an experimentally validated formalism. Results are compared with those of a previous survey for single-slice (SS) spiral CT scanners. According to the data provided for 39 dual-and 73 quad-slice systems, the average annual number of patients examined at MSCT is markedly higher than that examined at SSCT scanners (5500 vs 3500). The average effective dose to patients was changed from 7.4 mSv at single-slice to 5.5 mSv and 8.1 mSv at dual-and quad-slice scanners, respectively. There is a considerable potential for dose reduction at quad-slice systems by an optimisation of scan protocols and better education of the personnel. To avoid an increase in the collective effective dose from CT procedures , a clear medical justification is required in each case.","author":[{"dropping-particle":"","family":"Brix","given":"G","non-dropping-particle":"","parse-names":false,"suffix":""},{"dropping-particle":"","family":"Nagel","given":"H D","non-dropping-particle":"","parse-names":false,"suffix":""},{"dropping-particle":"","family":"Stamm","given":"G","non-dropping-particle":"","parse-names":false,"suffix":""},{"dropping-particle":"","family":"Veit","given":"R","non-dropping-particle":"","parse-names":false,"suffix":""},{"dropping-particle":"","family":"Lechel","given":"U","non-dropping-particle":"","parse-names":false,"suffix":""},{"dropping-particle":"","family":"Griebel","given":"J","non-dropping-particle":"","parse-names":false,"suffix":""},{"dropping-particle":"","family":"Galanski","given":"M","non-dropping-particle":"","parse-names":false,"suffix":""}],"id":"ITEM-1","issued":{"date-parts":[["2003"]]},"title":"Keywords Multi-slice spiral CT · Frequency of procedures · Radiation exposure · Nationwide survey · Recommendations for dose reduction Radiation exposure in multi-slice versus single-slice spiral CT: results of a nationwide survey","type":"article-journal"},"uris":["http://www.mendeley.com/documents/?uuid=8514f838-3a6c-3646-a28b-9c7c05f5f6e1"]}],"mendeley":{"formattedCitation":"(Brix et al., 2003)","manualFormatting":"Brix et al. (2003)","plainTextFormattedCitation":"(Brix et al., 2003)","previouslyFormattedCitation":"(Brix et al., 2003)"},"properties":{"noteIndex":0},"schema":"https://github.com/citation-style-language/schema/raw/master/csl-citation.json"}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 xml:space="preserve">Brix et al </w:t>
            </w:r>
            <w:r w:rsidRPr="00FE7240">
              <w:rPr>
                <w:rFonts w:cs="Times New Roman"/>
                <w:b w:val="0"/>
                <w:noProof/>
                <w:szCs w:val="24"/>
                <w:vertAlign w:val="superscript"/>
              </w:rPr>
              <w:t>(42)</w:t>
            </w:r>
            <w:r w:rsidRPr="00FE7240">
              <w:rPr>
                <w:rFonts w:cs="Times New Roman"/>
                <w:szCs w:val="24"/>
              </w:rPr>
              <w:fldChar w:fldCharType="end"/>
            </w:r>
          </w:p>
        </w:tc>
        <w:tc>
          <w:tcPr>
            <w:tcW w:w="1700" w:type="dxa"/>
            <w:shd w:val="clear" w:color="auto" w:fill="auto"/>
            <w:vAlign w:val="center"/>
          </w:tcPr>
          <w:p w14:paraId="36C6892C" w14:textId="1382D323"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60.60</w:t>
            </w:r>
          </w:p>
        </w:tc>
        <w:tc>
          <w:tcPr>
            <w:tcW w:w="1720" w:type="dxa"/>
            <w:shd w:val="clear" w:color="auto" w:fill="auto"/>
            <w:vAlign w:val="center"/>
          </w:tcPr>
          <w:p w14:paraId="79891FD1" w14:textId="1CEAA615"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1016.00</w:t>
            </w:r>
          </w:p>
        </w:tc>
        <w:tc>
          <w:tcPr>
            <w:tcW w:w="3470" w:type="dxa"/>
            <w:shd w:val="clear" w:color="auto" w:fill="auto"/>
            <w:vAlign w:val="center"/>
          </w:tcPr>
          <w:p w14:paraId="5806632F" w14:textId="4906588F" w:rsidR="00182CD1" w:rsidRPr="00FE7240" w:rsidRDefault="00182CD1" w:rsidP="00550D21">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FE7240">
              <w:rPr>
                <w:rFonts w:cs="Times New Roman"/>
                <w:szCs w:val="24"/>
              </w:rPr>
              <w:t>-</w:t>
            </w:r>
          </w:p>
        </w:tc>
      </w:tr>
      <w:tr w:rsidR="00182CD1" w:rsidRPr="00FE7240" w14:paraId="49A00E60" w14:textId="77777777" w:rsidTr="00550D21">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338" w:type="dxa"/>
            <w:shd w:val="clear" w:color="auto" w:fill="auto"/>
            <w:vAlign w:val="center"/>
          </w:tcPr>
          <w:p w14:paraId="585F8689" w14:textId="4564BC47" w:rsidR="00182CD1" w:rsidRPr="00FE7240" w:rsidRDefault="00182CD1" w:rsidP="00550D21">
            <w:pPr>
              <w:jc w:val="left"/>
              <w:rPr>
                <w:rFonts w:cs="Times New Roman"/>
                <w:szCs w:val="24"/>
              </w:rPr>
            </w:pPr>
            <w:r w:rsidRPr="00FE7240">
              <w:rPr>
                <w:rFonts w:cs="Times New Roman"/>
                <w:szCs w:val="24"/>
              </w:rPr>
              <w:fldChar w:fldCharType="begin" w:fldLock="1"/>
            </w:r>
            <w:r w:rsidRPr="00FE7240">
              <w:rPr>
                <w:rFonts w:cs="Times New Roman"/>
                <w:b w:val="0"/>
                <w:szCs w:val="24"/>
              </w:rPr>
              <w:instrText>ADDIN CSL_CITATION {"citationItems":[{"id":"ITEM-1","itemData":{"abstract":"Attention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explainability.","author":[{"dropping-particle":"","family":"International Commission on Radiation Protection","given":"","non-dropping-particle":"","parse-names":false,"suffix":""}],"id":"ITEM-1","issued":{"date-parts":[["0"]]},"page":"148-162","title":"Annals of the ICRP: Radiologocal Protection and Safety in Medicine","type":"article-journal","volume":"148"},"uris":["http://www.mendeley.com/documents/?uuid=fc2c33ee-696a-4288-88ca-9e6cae7544f4"]}],"mendeley":{"formattedCitation":"(International Commission on Radiation Protection, n.d.)","manualFormatting":"ICRP 73","plainTextFormattedCitation":"(International Commission on Radiation Protection, n.d.)","previouslyFormattedCitation":"(International Commission on Radiation Protection, n.d.)"},"properties":{"noteIndex":0},"schema":"https://github.com/citation-style-language/schema/raw/master/csl-citation.json"}</w:instrText>
            </w:r>
            <w:r w:rsidRPr="00FE7240">
              <w:rPr>
                <w:rFonts w:cs="Times New Roman"/>
                <w:szCs w:val="24"/>
              </w:rPr>
              <w:fldChar w:fldCharType="separate"/>
            </w:r>
            <w:r w:rsidRPr="00FE7240">
              <w:rPr>
                <w:rFonts w:cs="Times New Roman"/>
                <w:b w:val="0"/>
                <w:noProof/>
                <w:szCs w:val="24"/>
              </w:rPr>
              <w:t>ICRP 73</w:t>
            </w:r>
            <w:r w:rsidRPr="00FE7240">
              <w:rPr>
                <w:rFonts w:cs="Times New Roman"/>
                <w:szCs w:val="24"/>
              </w:rPr>
              <w:fldChar w:fldCharType="end"/>
            </w:r>
            <w:r w:rsidRPr="00FE7240">
              <w:rPr>
                <w:rFonts w:cs="Times New Roman"/>
                <w:szCs w:val="24"/>
              </w:rPr>
              <w:t xml:space="preserve"> </w:t>
            </w:r>
            <w:r w:rsidRPr="00FE7240">
              <w:rPr>
                <w:rFonts w:cs="Times New Roman"/>
                <w:b w:val="0"/>
                <w:bCs w:val="0"/>
                <w:szCs w:val="24"/>
                <w:vertAlign w:val="superscript"/>
              </w:rPr>
              <w:t>(43)</w:t>
            </w:r>
          </w:p>
        </w:tc>
        <w:tc>
          <w:tcPr>
            <w:tcW w:w="1700" w:type="dxa"/>
            <w:shd w:val="clear" w:color="auto" w:fill="auto"/>
            <w:vAlign w:val="center"/>
          </w:tcPr>
          <w:p w14:paraId="63B91693" w14:textId="38E68D3D"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w:t>
            </w:r>
          </w:p>
        </w:tc>
        <w:tc>
          <w:tcPr>
            <w:tcW w:w="1720" w:type="dxa"/>
            <w:shd w:val="clear" w:color="auto" w:fill="auto"/>
            <w:vAlign w:val="center"/>
          </w:tcPr>
          <w:p w14:paraId="4EA3F951" w14:textId="7FC5338D"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w:t>
            </w:r>
          </w:p>
        </w:tc>
        <w:tc>
          <w:tcPr>
            <w:tcW w:w="3470" w:type="dxa"/>
            <w:shd w:val="clear" w:color="auto" w:fill="auto"/>
            <w:vAlign w:val="center"/>
          </w:tcPr>
          <w:p w14:paraId="3D498C81" w14:textId="5F848E39" w:rsidR="00182CD1" w:rsidRPr="00FE7240" w:rsidRDefault="00182CD1" w:rsidP="00550D21">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FE7240">
              <w:rPr>
                <w:rFonts w:cs="Times New Roman"/>
                <w:szCs w:val="24"/>
              </w:rPr>
              <w:t>1050.00</w:t>
            </w:r>
          </w:p>
        </w:tc>
      </w:tr>
    </w:tbl>
    <w:p w14:paraId="15EA7067" w14:textId="77777777" w:rsidR="00B57C72" w:rsidRPr="00FE7240" w:rsidRDefault="00DD33FE" w:rsidP="00550D21">
      <w:pPr>
        <w:spacing w:line="240" w:lineRule="auto"/>
        <w:rPr>
          <w:rFonts w:cs="Times New Roman"/>
          <w:szCs w:val="24"/>
        </w:rPr>
      </w:pPr>
      <w:r w:rsidRPr="00FE7240">
        <w:rPr>
          <w:rFonts w:cs="Times New Roman"/>
          <w:b/>
          <w:bCs/>
          <w:szCs w:val="24"/>
        </w:rPr>
        <w:t xml:space="preserve">- </w:t>
      </w:r>
      <w:r w:rsidR="004D09FB" w:rsidRPr="00FE7240">
        <w:rPr>
          <w:rFonts w:cs="Times New Roman"/>
          <w:b/>
          <w:bCs/>
          <w:szCs w:val="24"/>
        </w:rPr>
        <w:t xml:space="preserve">= </w:t>
      </w:r>
      <w:proofErr w:type="spellStart"/>
      <w:r w:rsidRPr="00FE7240">
        <w:rPr>
          <w:rFonts w:cs="Times New Roman"/>
          <w:szCs w:val="24"/>
        </w:rPr>
        <w:t>No</w:t>
      </w:r>
      <w:proofErr w:type="spellEnd"/>
      <w:r w:rsidRPr="00FE7240">
        <w:rPr>
          <w:rFonts w:cs="Times New Roman"/>
          <w:szCs w:val="24"/>
        </w:rPr>
        <w:t xml:space="preserve"> available data given in the publication</w:t>
      </w:r>
    </w:p>
    <w:p w14:paraId="164D3AD4" w14:textId="77777777" w:rsidR="00BE320B" w:rsidRDefault="00BE320B" w:rsidP="00BE320B">
      <w:pPr>
        <w:pStyle w:val="Heading2"/>
        <w:spacing w:before="0" w:after="0" w:line="240" w:lineRule="auto"/>
      </w:pPr>
    </w:p>
    <w:p w14:paraId="546EF9ED" w14:textId="43723309" w:rsidR="00334F8C" w:rsidRPr="00FE7240" w:rsidRDefault="00934CC7" w:rsidP="00334F8C">
      <w:pPr>
        <w:pStyle w:val="Heading2"/>
        <w:spacing w:before="0" w:after="0" w:line="480" w:lineRule="auto"/>
      </w:pPr>
      <w:r>
        <w:t>3.</w:t>
      </w:r>
      <w:r w:rsidR="0057144D">
        <w:t>2</w:t>
      </w:r>
      <w:r>
        <w:t>.</w:t>
      </w:r>
      <w:r>
        <w:tab/>
      </w:r>
      <w:r w:rsidR="00334F8C" w:rsidRPr="00FE7240">
        <w:t xml:space="preserve">Dose </w:t>
      </w:r>
      <w:r w:rsidR="00DE3FDB" w:rsidRPr="00FE7240">
        <w:t>optimization of routine protocol for head scans</w:t>
      </w:r>
    </w:p>
    <w:p w14:paraId="7AA09600" w14:textId="77777777" w:rsidR="0057144D" w:rsidRDefault="0057144D" w:rsidP="0042736E">
      <w:pPr>
        <w:spacing w:line="480" w:lineRule="auto"/>
        <w:ind w:firstLine="720"/>
        <w:rPr>
          <w:rFonts w:cs="Times New Roman"/>
          <w:szCs w:val="24"/>
        </w:rPr>
      </w:pPr>
      <w:r w:rsidRPr="0057144D">
        <w:rPr>
          <w:rFonts w:cs="Times New Roman"/>
          <w:szCs w:val="24"/>
        </w:rPr>
        <w:t>Eight phantom head CT images were assessed to determine the image quality and mean dose descriptor values were obtained for different exposure parameters (Table 4). Image A was obtained using the mean routine adult CT head parameters with a DLP of 1699.60 mGy cm. A DLP of 1037.30 mGy cm was obtained from scanning Image B with the same tube potential (120.00 kV) and pitch (0.66) but with a reduced tube current of 200.00 mA. Images C and D were acquired with the same tube current and pitch as Image A, but with reduced tube potentials of 100.00 kV and 80.00 kV respectively, resulting in DPL of 1013.80 mGy cm (Image C) and 553.80 mGy cm (Image D). Image E was acquired with the same scan parameters utilized in the study except that a higher pitch of 0.84 was used, yielding a DLP of 792.90 mGy cm. Other phantom Images F, G and H were obtained using different tube potentials of 120.00 kV, 100.00 kV and 80.00 kV respectively with the AEC standard (Sure Exp. 3D) switched on. The resulting DLP values were 1227.70 mGy cm, 1176.00 mGy cm and 778.80 mGy cm, respectively.</w:t>
      </w:r>
    </w:p>
    <w:p w14:paraId="3D81998D" w14:textId="5F347605" w:rsidR="00334F8C" w:rsidRPr="00FE7240" w:rsidRDefault="00A15E60" w:rsidP="0042736E">
      <w:pPr>
        <w:spacing w:line="480" w:lineRule="auto"/>
        <w:ind w:firstLine="720"/>
        <w:rPr>
          <w:rFonts w:cs="Times New Roman"/>
          <w:szCs w:val="24"/>
        </w:rPr>
      </w:pPr>
      <w:r>
        <w:rPr>
          <w:rFonts w:cs="Times New Roman"/>
          <w:szCs w:val="24"/>
        </w:rPr>
        <w:t>I</w:t>
      </w:r>
      <w:r w:rsidR="00F0562A" w:rsidRPr="00FE7240">
        <w:rPr>
          <w:rFonts w:cs="Times New Roman"/>
          <w:szCs w:val="24"/>
        </w:rPr>
        <w:t>n accordance with the Rose model criteria</w:t>
      </w:r>
      <w:r w:rsidR="005648F5">
        <w:rPr>
          <w:rFonts w:cs="Times New Roman"/>
          <w:szCs w:val="24"/>
        </w:rPr>
        <w:t xml:space="preserve"> </w:t>
      </w:r>
      <w:r w:rsidR="00B83D49">
        <w:rPr>
          <w:rFonts w:cs="Times New Roman"/>
          <w:szCs w:val="24"/>
        </w:rPr>
        <w:t>(Burgess, 1999; Hsieh et</w:t>
      </w:r>
      <w:r w:rsidR="00134038">
        <w:rPr>
          <w:rFonts w:cs="Times New Roman"/>
          <w:szCs w:val="24"/>
        </w:rPr>
        <w:t xml:space="preserve"> al., </w:t>
      </w:r>
      <w:r w:rsidR="00B83D49">
        <w:rPr>
          <w:rFonts w:cs="Times New Roman"/>
          <w:szCs w:val="24"/>
        </w:rPr>
        <w:t>2022</w:t>
      </w:r>
      <w:proofErr w:type="gramStart"/>
      <w:r w:rsidR="00B83D49">
        <w:rPr>
          <w:rFonts w:cs="Times New Roman"/>
          <w:szCs w:val="24"/>
        </w:rPr>
        <w:t>)</w:t>
      </w:r>
      <w:r>
        <w:rPr>
          <w:rFonts w:cs="Times New Roman"/>
          <w:szCs w:val="24"/>
        </w:rPr>
        <w:t xml:space="preserve">, </w:t>
      </w:r>
      <w:r w:rsidRPr="00A15E60">
        <w:rPr>
          <w:rFonts w:cs="Times New Roman"/>
          <w:szCs w:val="24"/>
        </w:rPr>
        <w:t xml:space="preserve"> </w:t>
      </w:r>
      <w:r w:rsidR="00B83D49" w:rsidRPr="00B83D49">
        <w:rPr>
          <w:rFonts w:cs="Times New Roman"/>
          <w:szCs w:val="24"/>
        </w:rPr>
        <w:t>a</w:t>
      </w:r>
      <w:proofErr w:type="gramEnd"/>
      <w:r w:rsidR="00B83D49" w:rsidRPr="00B83D49">
        <w:rPr>
          <w:rFonts w:cs="Times New Roman"/>
          <w:szCs w:val="24"/>
        </w:rPr>
        <w:t xml:space="preserve"> signal must be five standard deviations </w:t>
      </w:r>
      <w:r w:rsidR="00C12A2D">
        <w:rPr>
          <w:rFonts w:cs="Times New Roman"/>
          <w:szCs w:val="24"/>
        </w:rPr>
        <w:t>from</w:t>
      </w:r>
      <w:r w:rsidR="00B83D49" w:rsidRPr="00B83D49">
        <w:rPr>
          <w:rFonts w:cs="Times New Roman"/>
          <w:szCs w:val="24"/>
        </w:rPr>
        <w:t xml:space="preserve"> </w:t>
      </w:r>
      <w:r w:rsidR="00C12A2D">
        <w:rPr>
          <w:rFonts w:cs="Times New Roman"/>
          <w:szCs w:val="24"/>
        </w:rPr>
        <w:t xml:space="preserve">the </w:t>
      </w:r>
      <w:r w:rsidR="00B83D49" w:rsidRPr="00B83D49">
        <w:rPr>
          <w:rFonts w:cs="Times New Roman"/>
          <w:szCs w:val="24"/>
        </w:rPr>
        <w:t>above background to be detectable</w:t>
      </w:r>
      <w:r w:rsidR="00B83D49">
        <w:rPr>
          <w:rFonts w:cs="Times New Roman"/>
          <w:szCs w:val="24"/>
        </w:rPr>
        <w:t xml:space="preserve">. This means that </w:t>
      </w:r>
      <w:r>
        <w:rPr>
          <w:rFonts w:cs="Times New Roman"/>
          <w:szCs w:val="24"/>
        </w:rPr>
        <w:t>d</w:t>
      </w:r>
      <w:r w:rsidRPr="00FE7240">
        <w:rPr>
          <w:rFonts w:cs="Times New Roman"/>
          <w:szCs w:val="24"/>
        </w:rPr>
        <w:t>iagnostic images with SNR &gt; 5 are adjudged as h</w:t>
      </w:r>
      <w:r>
        <w:rPr>
          <w:rFonts w:cs="Times New Roman"/>
          <w:szCs w:val="24"/>
        </w:rPr>
        <w:t>aving acceptable image quality</w:t>
      </w:r>
      <w:r w:rsidR="00F0562A" w:rsidRPr="00FE7240">
        <w:rPr>
          <w:rFonts w:cs="Times New Roman"/>
          <w:szCs w:val="24"/>
        </w:rPr>
        <w:t>.</w:t>
      </w:r>
      <w:r w:rsidR="00DD741A" w:rsidRPr="00FE7240">
        <w:rPr>
          <w:rFonts w:cs="Times New Roman"/>
          <w:szCs w:val="24"/>
        </w:rPr>
        <w:t xml:space="preserve"> In this study, the calculated SNRs for all the phantom images at the different parameters exceeded 5 except </w:t>
      </w:r>
      <w:r w:rsidR="00C12A2D">
        <w:rPr>
          <w:rFonts w:cs="Times New Roman"/>
          <w:szCs w:val="24"/>
        </w:rPr>
        <w:t xml:space="preserve">for </w:t>
      </w:r>
      <w:r w:rsidR="00DD741A" w:rsidRPr="00FE7240">
        <w:rPr>
          <w:rFonts w:cs="Times New Roman"/>
          <w:szCs w:val="24"/>
        </w:rPr>
        <w:t xml:space="preserve">Images D, E and H. The highest SNR of 6.88 was found for Image A, which was acquired with the routine scan protocol for adult head CT. A reduced tube current of 200.00 mA for Image B resulted in reduced SNR of 5.25. Also, using reduced tube potentials of 100.00 kV and 80.00 kV </w:t>
      </w:r>
      <w:r>
        <w:rPr>
          <w:rFonts w:cs="Times New Roman"/>
          <w:szCs w:val="24"/>
        </w:rPr>
        <w:t xml:space="preserve">for </w:t>
      </w:r>
      <w:r w:rsidR="00DD741A" w:rsidRPr="00FE7240">
        <w:rPr>
          <w:rFonts w:cs="Times New Roman"/>
          <w:szCs w:val="24"/>
        </w:rPr>
        <w:t xml:space="preserve">Images C and D resulted in reduced SNR values of 5.49 and 3.50 respectively. Accordingly, Image D was </w:t>
      </w:r>
      <w:r w:rsidR="00134038">
        <w:rPr>
          <w:rFonts w:cs="Times New Roman"/>
          <w:szCs w:val="24"/>
        </w:rPr>
        <w:t>declared</w:t>
      </w:r>
      <w:r w:rsidR="00DD741A" w:rsidRPr="00FE7240">
        <w:rPr>
          <w:rFonts w:cs="Times New Roman"/>
          <w:szCs w:val="24"/>
        </w:rPr>
        <w:t xml:space="preserve"> unfit for diagnostic purposes. An increased pitch factor of 0.84 </w:t>
      </w:r>
      <w:r>
        <w:rPr>
          <w:rFonts w:cs="Times New Roman"/>
          <w:szCs w:val="24"/>
        </w:rPr>
        <w:t>for</w:t>
      </w:r>
      <w:r w:rsidR="00DD741A" w:rsidRPr="00FE7240">
        <w:rPr>
          <w:rFonts w:cs="Times New Roman"/>
          <w:szCs w:val="24"/>
        </w:rPr>
        <w:t xml:space="preserve"> image E </w:t>
      </w:r>
      <w:r>
        <w:rPr>
          <w:rFonts w:cs="Times New Roman"/>
          <w:szCs w:val="24"/>
        </w:rPr>
        <w:t xml:space="preserve">resulted </w:t>
      </w:r>
      <w:r w:rsidR="00134038">
        <w:rPr>
          <w:rFonts w:cs="Times New Roman"/>
          <w:szCs w:val="24"/>
        </w:rPr>
        <w:t>in a</w:t>
      </w:r>
      <w:r>
        <w:rPr>
          <w:rFonts w:cs="Times New Roman"/>
          <w:szCs w:val="24"/>
        </w:rPr>
        <w:t xml:space="preserve">n SNR of 4.9 and hence </w:t>
      </w:r>
      <w:r w:rsidR="00DD741A" w:rsidRPr="00FE7240">
        <w:rPr>
          <w:rFonts w:cs="Times New Roman"/>
          <w:szCs w:val="24"/>
        </w:rPr>
        <w:t>was also regarded as unfit for diagnostic purposes. Images F, G</w:t>
      </w:r>
      <w:r w:rsidR="00DE350C">
        <w:rPr>
          <w:rFonts w:cs="Times New Roman"/>
          <w:szCs w:val="24"/>
        </w:rPr>
        <w:t>,</w:t>
      </w:r>
      <w:r w:rsidR="00DD741A" w:rsidRPr="00FE7240">
        <w:rPr>
          <w:rFonts w:cs="Times New Roman"/>
          <w:szCs w:val="24"/>
        </w:rPr>
        <w:t xml:space="preserve"> and H were obtained with the AEC switched on which yielded SNRs of 6.11, 5.62</w:t>
      </w:r>
      <w:r w:rsidR="00DE350C">
        <w:rPr>
          <w:rFonts w:cs="Times New Roman"/>
          <w:szCs w:val="24"/>
        </w:rPr>
        <w:t xml:space="preserve">, </w:t>
      </w:r>
      <w:r w:rsidR="00DD741A" w:rsidRPr="00FE7240">
        <w:rPr>
          <w:rFonts w:cs="Times New Roman"/>
          <w:szCs w:val="24"/>
        </w:rPr>
        <w:t xml:space="preserve">and 4.63 respectively. </w:t>
      </w:r>
    </w:p>
    <w:p w14:paraId="603EBCF6" w14:textId="78F379EF" w:rsidR="00DD33FE" w:rsidRPr="00FE7240" w:rsidRDefault="00DD33FE" w:rsidP="00334F8C">
      <w:pPr>
        <w:spacing w:line="480" w:lineRule="auto"/>
        <w:rPr>
          <w:rFonts w:cs="Times New Roman"/>
          <w:szCs w:val="24"/>
        </w:rPr>
        <w:sectPr w:rsidR="00DD33FE" w:rsidRPr="00FE7240" w:rsidSect="00993951">
          <w:footerReference w:type="default" r:id="rId10"/>
          <w:pgSz w:w="11906" w:h="16838"/>
          <w:pgMar w:top="1440" w:right="1440" w:bottom="1440" w:left="1440" w:header="708" w:footer="708" w:gutter="0"/>
          <w:pgNumType w:start="1"/>
          <w:cols w:space="708"/>
          <w:docGrid w:linePitch="360"/>
        </w:sectPr>
      </w:pPr>
    </w:p>
    <w:bookmarkEnd w:id="5"/>
    <w:p w14:paraId="6CCFCDCC" w14:textId="77777777" w:rsidR="00F25802" w:rsidRPr="00FE7240" w:rsidRDefault="00F25802" w:rsidP="00C16566">
      <w:pPr>
        <w:spacing w:line="240" w:lineRule="auto"/>
        <w:rPr>
          <w:rFonts w:cs="Times New Roman"/>
          <w:b/>
          <w:bCs/>
          <w:szCs w:val="24"/>
        </w:rPr>
      </w:pPr>
    </w:p>
    <w:p w14:paraId="2FFD9E14" w14:textId="3BC57F10" w:rsidR="005D1DA7" w:rsidRPr="00FE7240" w:rsidRDefault="002602DD" w:rsidP="005D1DA7">
      <w:pPr>
        <w:spacing w:line="480" w:lineRule="auto"/>
        <w:rPr>
          <w:rFonts w:cs="Times New Roman"/>
          <w:b/>
          <w:bCs/>
          <w:szCs w:val="24"/>
        </w:rPr>
      </w:pPr>
      <w:r w:rsidRPr="00FE7240">
        <w:rPr>
          <w:rFonts w:cs="Times New Roman"/>
          <w:b/>
          <w:bCs/>
          <w:szCs w:val="24"/>
        </w:rPr>
        <w:t>Table 4</w:t>
      </w:r>
      <w:r w:rsidR="005D1DA7" w:rsidRPr="00FE7240">
        <w:rPr>
          <w:rFonts w:cs="Times New Roman"/>
          <w:b/>
          <w:bCs/>
          <w:szCs w:val="24"/>
        </w:rPr>
        <w:t xml:space="preserve">: Mean </w:t>
      </w:r>
      <w:r w:rsidR="0064190A" w:rsidRPr="00FE7240">
        <w:rPr>
          <w:rFonts w:cs="Times New Roman"/>
          <w:b/>
          <w:bCs/>
          <w:szCs w:val="24"/>
        </w:rPr>
        <w:t xml:space="preserve">phantom </w:t>
      </w:r>
      <w:r w:rsidR="005D1DA7" w:rsidRPr="00FE7240">
        <w:rPr>
          <w:rFonts w:cs="Times New Roman"/>
          <w:b/>
          <w:bCs/>
          <w:szCs w:val="24"/>
        </w:rPr>
        <w:t>dose descriptor values</w:t>
      </w:r>
      <w:r w:rsidR="007D39DA">
        <w:rPr>
          <w:rFonts w:cs="Times New Roman"/>
          <w:b/>
          <w:bCs/>
          <w:szCs w:val="24"/>
        </w:rPr>
        <w:t xml:space="preserve">, </w:t>
      </w:r>
      <w:proofErr w:type="gramStart"/>
      <w:r w:rsidR="007D39DA">
        <w:rPr>
          <w:rFonts w:cs="Times New Roman"/>
          <w:b/>
          <w:bCs/>
          <w:szCs w:val="24"/>
        </w:rPr>
        <w:t>SNR</w:t>
      </w:r>
      <w:r w:rsidR="005D1DA7" w:rsidRPr="00FE7240">
        <w:rPr>
          <w:rFonts w:cs="Times New Roman"/>
          <w:b/>
          <w:bCs/>
          <w:szCs w:val="24"/>
        </w:rPr>
        <w:t xml:space="preserve"> </w:t>
      </w:r>
      <w:r w:rsidR="007D39DA">
        <w:rPr>
          <w:rFonts w:cs="Times New Roman"/>
          <w:b/>
          <w:bCs/>
          <w:szCs w:val="24"/>
        </w:rPr>
        <w:t xml:space="preserve"> and</w:t>
      </w:r>
      <w:proofErr w:type="gramEnd"/>
      <w:r w:rsidR="007D39DA">
        <w:rPr>
          <w:rFonts w:cs="Times New Roman"/>
          <w:b/>
          <w:bCs/>
          <w:szCs w:val="24"/>
        </w:rPr>
        <w:t xml:space="preserve"> subjective assessment of images obtained with</w:t>
      </w:r>
      <w:r w:rsidR="005D1DA7" w:rsidRPr="00FE7240">
        <w:rPr>
          <w:rFonts w:cs="Times New Roman"/>
          <w:b/>
          <w:bCs/>
          <w:szCs w:val="24"/>
        </w:rPr>
        <w:t xml:space="preserve"> </w:t>
      </w:r>
      <w:r w:rsidR="0064190A" w:rsidRPr="00FE7240">
        <w:rPr>
          <w:rFonts w:cs="Times New Roman"/>
          <w:b/>
          <w:bCs/>
          <w:szCs w:val="24"/>
        </w:rPr>
        <w:t>different exposure parameters</w:t>
      </w:r>
    </w:p>
    <w:tbl>
      <w:tblPr>
        <w:tblW w:w="15348" w:type="dxa"/>
        <w:jc w:val="center"/>
        <w:shd w:val="clear" w:color="auto" w:fill="FFFFFF" w:themeFill="background1"/>
        <w:tblLook w:val="04A0" w:firstRow="1" w:lastRow="0" w:firstColumn="1" w:lastColumn="0" w:noHBand="0" w:noVBand="1"/>
      </w:tblPr>
      <w:tblGrid>
        <w:gridCol w:w="1469"/>
        <w:gridCol w:w="1291"/>
        <w:gridCol w:w="1550"/>
        <w:gridCol w:w="1579"/>
        <w:gridCol w:w="1234"/>
        <w:gridCol w:w="1539"/>
        <w:gridCol w:w="1520"/>
        <w:gridCol w:w="1395"/>
        <w:gridCol w:w="1224"/>
        <w:gridCol w:w="1224"/>
        <w:gridCol w:w="1323"/>
      </w:tblGrid>
      <w:tr w:rsidR="00003820" w:rsidRPr="00FE7240" w14:paraId="21DD85F0" w14:textId="7CF0885A" w:rsidTr="00003820">
        <w:trPr>
          <w:trHeight w:val="626"/>
          <w:jc w:val="center"/>
        </w:trPr>
        <w:tc>
          <w:tcPr>
            <w:tcW w:w="1479" w:type="dxa"/>
            <w:tcBorders>
              <w:top w:val="double" w:sz="4" w:space="0" w:color="auto"/>
              <w:bottom w:val="double" w:sz="4" w:space="0" w:color="auto"/>
            </w:tcBorders>
            <w:shd w:val="clear" w:color="auto" w:fill="FFFFFF" w:themeFill="background1"/>
          </w:tcPr>
          <w:p w14:paraId="2FA63331" w14:textId="77777777" w:rsidR="00003820" w:rsidRPr="00FE7240" w:rsidRDefault="00003820" w:rsidP="00CF5081">
            <w:pPr>
              <w:jc w:val="center"/>
              <w:rPr>
                <w:rFonts w:cs="Times New Roman"/>
                <w:szCs w:val="24"/>
              </w:rPr>
            </w:pPr>
            <w:bookmarkStart w:id="6" w:name="_Hlk78973768"/>
            <w:r w:rsidRPr="00FE7240">
              <w:rPr>
                <w:rFonts w:cs="Times New Roman"/>
                <w:szCs w:val="24"/>
              </w:rPr>
              <w:t>Image ID</w:t>
            </w:r>
          </w:p>
        </w:tc>
        <w:tc>
          <w:tcPr>
            <w:tcW w:w="1300" w:type="dxa"/>
            <w:tcBorders>
              <w:top w:val="double" w:sz="4" w:space="0" w:color="auto"/>
              <w:bottom w:val="double" w:sz="4" w:space="0" w:color="auto"/>
            </w:tcBorders>
            <w:shd w:val="clear" w:color="auto" w:fill="auto"/>
          </w:tcPr>
          <w:p w14:paraId="18F53A4B" w14:textId="3B1B0531" w:rsidR="00003820" w:rsidRPr="00FE7240" w:rsidRDefault="00003820" w:rsidP="00CF5081">
            <w:pPr>
              <w:jc w:val="center"/>
              <w:rPr>
                <w:rFonts w:cs="Times New Roman"/>
                <w:b/>
                <w:bCs/>
                <w:szCs w:val="24"/>
              </w:rPr>
            </w:pPr>
            <w:r w:rsidRPr="00FE7240">
              <w:rPr>
                <w:rFonts w:cs="Times New Roman"/>
                <w:szCs w:val="24"/>
              </w:rPr>
              <w:t>SL</w:t>
            </w:r>
          </w:p>
          <w:p w14:paraId="1606B50C" w14:textId="414DFE8F" w:rsidR="00003820" w:rsidRPr="00FE7240" w:rsidRDefault="00003820" w:rsidP="00CF5081">
            <w:pPr>
              <w:jc w:val="center"/>
              <w:rPr>
                <w:rFonts w:cs="Times New Roman"/>
                <w:szCs w:val="24"/>
              </w:rPr>
            </w:pPr>
            <w:r w:rsidRPr="00FE7240">
              <w:rPr>
                <w:rFonts w:cs="Times New Roman"/>
                <w:szCs w:val="24"/>
              </w:rPr>
              <w:t>(cm)</w:t>
            </w:r>
          </w:p>
        </w:tc>
        <w:tc>
          <w:tcPr>
            <w:tcW w:w="1560" w:type="dxa"/>
            <w:tcBorders>
              <w:top w:val="double" w:sz="4" w:space="0" w:color="auto"/>
              <w:bottom w:val="double" w:sz="4" w:space="0" w:color="auto"/>
            </w:tcBorders>
            <w:shd w:val="clear" w:color="auto" w:fill="FFFFFF" w:themeFill="background1"/>
          </w:tcPr>
          <w:p w14:paraId="1A5C4376" w14:textId="07AEB37C" w:rsidR="00003820" w:rsidRPr="00FE7240" w:rsidRDefault="00003820" w:rsidP="00CF5081">
            <w:pPr>
              <w:jc w:val="center"/>
              <w:rPr>
                <w:rFonts w:cs="Times New Roman"/>
                <w:szCs w:val="24"/>
              </w:rPr>
            </w:pPr>
            <w:r w:rsidRPr="00FE7240">
              <w:rPr>
                <w:rFonts w:cs="Times New Roman"/>
                <w:szCs w:val="24"/>
              </w:rPr>
              <w:t>Tube voltage (kV)</w:t>
            </w:r>
          </w:p>
        </w:tc>
        <w:tc>
          <w:tcPr>
            <w:tcW w:w="1590" w:type="dxa"/>
            <w:tcBorders>
              <w:top w:val="double" w:sz="4" w:space="0" w:color="auto"/>
              <w:bottom w:val="double" w:sz="4" w:space="0" w:color="auto"/>
            </w:tcBorders>
            <w:shd w:val="clear" w:color="auto" w:fill="FFFFFF" w:themeFill="background1"/>
          </w:tcPr>
          <w:p w14:paraId="542857B0" w14:textId="77777777" w:rsidR="00003820" w:rsidRPr="00FE7240" w:rsidRDefault="00003820" w:rsidP="00CF5081">
            <w:pPr>
              <w:jc w:val="center"/>
              <w:rPr>
                <w:rFonts w:cs="Times New Roman"/>
                <w:szCs w:val="24"/>
              </w:rPr>
            </w:pPr>
            <w:r w:rsidRPr="00FE7240">
              <w:rPr>
                <w:rFonts w:cs="Times New Roman"/>
                <w:szCs w:val="24"/>
              </w:rPr>
              <w:t xml:space="preserve">Tube current </w:t>
            </w:r>
          </w:p>
          <w:p w14:paraId="6094BEE3" w14:textId="77777777" w:rsidR="00003820" w:rsidRPr="00FE7240" w:rsidRDefault="00003820" w:rsidP="00CF5081">
            <w:pPr>
              <w:jc w:val="center"/>
              <w:rPr>
                <w:rFonts w:cs="Times New Roman"/>
                <w:szCs w:val="24"/>
              </w:rPr>
            </w:pPr>
            <w:r w:rsidRPr="00FE7240">
              <w:rPr>
                <w:rFonts w:cs="Times New Roman"/>
                <w:szCs w:val="24"/>
              </w:rPr>
              <w:t>mA</w:t>
            </w:r>
          </w:p>
        </w:tc>
        <w:tc>
          <w:tcPr>
            <w:tcW w:w="1243" w:type="dxa"/>
            <w:tcBorders>
              <w:top w:val="double" w:sz="4" w:space="0" w:color="auto"/>
              <w:bottom w:val="double" w:sz="4" w:space="0" w:color="auto"/>
            </w:tcBorders>
            <w:shd w:val="clear" w:color="auto" w:fill="FFFFFF" w:themeFill="background1"/>
          </w:tcPr>
          <w:p w14:paraId="456BED12" w14:textId="77777777" w:rsidR="00003820" w:rsidRPr="00FE7240" w:rsidRDefault="00003820" w:rsidP="00CF5081">
            <w:pPr>
              <w:jc w:val="center"/>
              <w:rPr>
                <w:rFonts w:cs="Times New Roman"/>
                <w:szCs w:val="24"/>
              </w:rPr>
            </w:pPr>
            <w:r w:rsidRPr="00FE7240">
              <w:rPr>
                <w:rFonts w:cs="Times New Roman"/>
                <w:szCs w:val="24"/>
              </w:rPr>
              <w:t>Pitch</w:t>
            </w:r>
          </w:p>
        </w:tc>
        <w:tc>
          <w:tcPr>
            <w:tcW w:w="1548" w:type="dxa"/>
            <w:tcBorders>
              <w:top w:val="double" w:sz="4" w:space="0" w:color="auto"/>
              <w:bottom w:val="double" w:sz="4" w:space="0" w:color="auto"/>
            </w:tcBorders>
            <w:shd w:val="clear" w:color="auto" w:fill="FFFFFF" w:themeFill="background1"/>
          </w:tcPr>
          <w:p w14:paraId="6A5E4AE1" w14:textId="77777777" w:rsidR="00003820" w:rsidRPr="00FE7240" w:rsidRDefault="00003820" w:rsidP="00CF5081">
            <w:pPr>
              <w:jc w:val="center"/>
              <w:rPr>
                <w:rFonts w:cs="Times New Roman"/>
                <w:b/>
                <w:bCs/>
                <w:szCs w:val="24"/>
              </w:rPr>
            </w:pPr>
            <w:r w:rsidRPr="00FE7240">
              <w:rPr>
                <w:rFonts w:cs="Times New Roman"/>
                <w:szCs w:val="24"/>
              </w:rPr>
              <w:t>CTDI</w:t>
            </w:r>
            <w:r w:rsidRPr="00FE7240">
              <w:rPr>
                <w:rFonts w:cs="Times New Roman"/>
                <w:szCs w:val="24"/>
                <w:vertAlign w:val="subscript"/>
              </w:rPr>
              <w:t>vol</w:t>
            </w:r>
          </w:p>
          <w:p w14:paraId="5872A6E0" w14:textId="18780727" w:rsidR="00003820" w:rsidRPr="00FE7240" w:rsidRDefault="00003820" w:rsidP="00CF5081">
            <w:pPr>
              <w:jc w:val="center"/>
              <w:rPr>
                <w:rFonts w:cs="Times New Roman"/>
                <w:szCs w:val="24"/>
              </w:rPr>
            </w:pPr>
            <w:r w:rsidRPr="00FE7240">
              <w:rPr>
                <w:rFonts w:cs="Times New Roman"/>
                <w:szCs w:val="24"/>
              </w:rPr>
              <w:t>(mGy)</w:t>
            </w:r>
          </w:p>
        </w:tc>
        <w:tc>
          <w:tcPr>
            <w:tcW w:w="1525" w:type="dxa"/>
            <w:tcBorders>
              <w:top w:val="double" w:sz="4" w:space="0" w:color="auto"/>
              <w:bottom w:val="double" w:sz="4" w:space="0" w:color="auto"/>
            </w:tcBorders>
            <w:shd w:val="clear" w:color="auto" w:fill="FFFFFF" w:themeFill="background1"/>
          </w:tcPr>
          <w:p w14:paraId="40CF4860" w14:textId="77777777" w:rsidR="00003820" w:rsidRPr="00FE7240" w:rsidRDefault="00003820" w:rsidP="00CF5081">
            <w:pPr>
              <w:jc w:val="center"/>
              <w:rPr>
                <w:rFonts w:cs="Times New Roman"/>
                <w:b/>
                <w:bCs/>
                <w:szCs w:val="24"/>
              </w:rPr>
            </w:pPr>
            <w:r w:rsidRPr="00FE7240">
              <w:rPr>
                <w:rFonts w:cs="Times New Roman"/>
                <w:szCs w:val="24"/>
              </w:rPr>
              <w:t>DLP</w:t>
            </w:r>
          </w:p>
          <w:p w14:paraId="4178C953" w14:textId="49E1A412" w:rsidR="00003820" w:rsidRPr="00FE7240" w:rsidRDefault="00003820" w:rsidP="00CF5081">
            <w:pPr>
              <w:jc w:val="center"/>
              <w:rPr>
                <w:rFonts w:cs="Times New Roman"/>
                <w:szCs w:val="24"/>
              </w:rPr>
            </w:pPr>
            <w:r w:rsidRPr="00FE7240">
              <w:rPr>
                <w:rFonts w:cs="Times New Roman"/>
                <w:szCs w:val="24"/>
              </w:rPr>
              <w:t>(mGy.cm)</w:t>
            </w:r>
          </w:p>
        </w:tc>
        <w:tc>
          <w:tcPr>
            <w:tcW w:w="1404" w:type="dxa"/>
            <w:tcBorders>
              <w:top w:val="double" w:sz="4" w:space="0" w:color="auto"/>
              <w:bottom w:val="double" w:sz="4" w:space="0" w:color="auto"/>
            </w:tcBorders>
            <w:shd w:val="clear" w:color="auto" w:fill="FFFFFF" w:themeFill="background1"/>
          </w:tcPr>
          <w:p w14:paraId="34BE0447" w14:textId="118D7AFE" w:rsidR="00003820" w:rsidRPr="00550D21" w:rsidRDefault="00247394" w:rsidP="00CF5081">
            <w:pPr>
              <w:jc w:val="center"/>
              <w:rPr>
                <w:rFonts w:cs="Times New Roman"/>
                <w:b/>
                <w:bCs/>
                <w:strike/>
                <w:color w:val="FF0000"/>
                <w:szCs w:val="24"/>
              </w:rPr>
            </w:pPr>
            <w:proofErr w:type="spellStart"/>
            <w:r w:rsidRPr="00AD6C82">
              <w:rPr>
                <w:rFonts w:cs="Times New Roman"/>
                <w:szCs w:val="24"/>
              </w:rPr>
              <w:t>D</w:t>
            </w:r>
            <w:r w:rsidRPr="00AD6C82">
              <w:rPr>
                <w:rFonts w:cs="Times New Roman"/>
                <w:i/>
                <w:iCs/>
                <w:szCs w:val="24"/>
                <w:vertAlign w:val="subscript"/>
              </w:rPr>
              <w:t>eff</w:t>
            </w:r>
            <w:proofErr w:type="spellEnd"/>
          </w:p>
          <w:p w14:paraId="51D048D9" w14:textId="07BA341F" w:rsidR="00003820" w:rsidRPr="00FE7240" w:rsidRDefault="00003820" w:rsidP="00CF5081">
            <w:pPr>
              <w:jc w:val="center"/>
              <w:rPr>
                <w:rFonts w:cs="Times New Roman"/>
                <w:szCs w:val="24"/>
              </w:rPr>
            </w:pPr>
            <w:r w:rsidRPr="00FE7240">
              <w:rPr>
                <w:rFonts w:cs="Times New Roman"/>
                <w:szCs w:val="24"/>
              </w:rPr>
              <w:t>(mSv)</w:t>
            </w:r>
          </w:p>
        </w:tc>
        <w:tc>
          <w:tcPr>
            <w:tcW w:w="1233" w:type="dxa"/>
            <w:tcBorders>
              <w:top w:val="double" w:sz="4" w:space="0" w:color="auto"/>
              <w:bottom w:val="double" w:sz="4" w:space="0" w:color="auto"/>
            </w:tcBorders>
            <w:shd w:val="clear" w:color="auto" w:fill="FFFFFF" w:themeFill="background1"/>
          </w:tcPr>
          <w:p w14:paraId="3E87828D" w14:textId="77777777" w:rsidR="00003820" w:rsidRPr="00FE7240" w:rsidRDefault="00003820" w:rsidP="00CF5081">
            <w:pPr>
              <w:jc w:val="center"/>
              <w:rPr>
                <w:rFonts w:cs="Times New Roman"/>
                <w:szCs w:val="24"/>
              </w:rPr>
            </w:pPr>
            <w:r w:rsidRPr="00FE7240">
              <w:rPr>
                <w:rFonts w:cs="Times New Roman"/>
                <w:szCs w:val="24"/>
              </w:rPr>
              <w:t>AEC</w:t>
            </w:r>
          </w:p>
        </w:tc>
        <w:tc>
          <w:tcPr>
            <w:tcW w:w="1233" w:type="dxa"/>
            <w:tcBorders>
              <w:top w:val="double" w:sz="4" w:space="0" w:color="auto"/>
              <w:bottom w:val="double" w:sz="4" w:space="0" w:color="auto"/>
            </w:tcBorders>
            <w:shd w:val="clear" w:color="auto" w:fill="FFFFFF" w:themeFill="background1"/>
          </w:tcPr>
          <w:p w14:paraId="6FA82D44" w14:textId="77777777" w:rsidR="00003820" w:rsidRPr="00FE7240" w:rsidRDefault="00003820" w:rsidP="00CF5081">
            <w:pPr>
              <w:jc w:val="center"/>
              <w:rPr>
                <w:rFonts w:cs="Times New Roman"/>
                <w:szCs w:val="24"/>
              </w:rPr>
            </w:pPr>
            <w:r w:rsidRPr="00FE7240">
              <w:rPr>
                <w:rFonts w:cs="Times New Roman"/>
                <w:szCs w:val="24"/>
              </w:rPr>
              <w:t>SNR</w:t>
            </w:r>
          </w:p>
        </w:tc>
        <w:tc>
          <w:tcPr>
            <w:tcW w:w="1233" w:type="dxa"/>
            <w:tcBorders>
              <w:top w:val="double" w:sz="4" w:space="0" w:color="auto"/>
              <w:bottom w:val="double" w:sz="4" w:space="0" w:color="auto"/>
            </w:tcBorders>
            <w:shd w:val="clear" w:color="auto" w:fill="FFFFFF" w:themeFill="background1"/>
          </w:tcPr>
          <w:p w14:paraId="48C6255D" w14:textId="2167E02F" w:rsidR="00003820" w:rsidRDefault="00003820" w:rsidP="00CF5081">
            <w:pPr>
              <w:jc w:val="center"/>
              <w:rPr>
                <w:rFonts w:cs="Times New Roman"/>
                <w:szCs w:val="24"/>
              </w:rPr>
            </w:pPr>
            <w:r>
              <w:rPr>
                <w:rFonts w:cs="Times New Roman"/>
                <w:szCs w:val="24"/>
              </w:rPr>
              <w:t>Radiologist</w:t>
            </w:r>
          </w:p>
          <w:p w14:paraId="32ABE799" w14:textId="7BB41047" w:rsidR="00003820" w:rsidRPr="00FE7240" w:rsidRDefault="00247394" w:rsidP="00CF5081">
            <w:pPr>
              <w:jc w:val="center"/>
              <w:rPr>
                <w:rFonts w:cs="Times New Roman"/>
                <w:szCs w:val="24"/>
              </w:rPr>
            </w:pPr>
            <w:r>
              <w:rPr>
                <w:rFonts w:cs="Times New Roman"/>
                <w:szCs w:val="24"/>
              </w:rPr>
              <w:t>q</w:t>
            </w:r>
            <w:r w:rsidR="00003820" w:rsidRPr="00044533">
              <w:rPr>
                <w:rFonts w:cs="Times New Roman"/>
                <w:szCs w:val="24"/>
              </w:rPr>
              <w:t>uality</w:t>
            </w:r>
            <w:r w:rsidR="00003820">
              <w:rPr>
                <w:rFonts w:cs="Times New Roman"/>
                <w:szCs w:val="24"/>
              </w:rPr>
              <w:t xml:space="preserve"> assessment comment </w:t>
            </w:r>
          </w:p>
        </w:tc>
      </w:tr>
      <w:tr w:rsidR="00003820" w:rsidRPr="00FE7240" w14:paraId="5E67A927" w14:textId="07E098A6" w:rsidTr="00003820">
        <w:trPr>
          <w:trHeight w:val="613"/>
          <w:jc w:val="center"/>
        </w:trPr>
        <w:tc>
          <w:tcPr>
            <w:tcW w:w="1479" w:type="dxa"/>
            <w:tcBorders>
              <w:top w:val="double" w:sz="4" w:space="0" w:color="auto"/>
            </w:tcBorders>
            <w:shd w:val="clear" w:color="auto" w:fill="FFFFFF" w:themeFill="background1"/>
          </w:tcPr>
          <w:p w14:paraId="4A6801F5" w14:textId="2AB8EB42" w:rsidR="00003820" w:rsidRPr="00FE7240" w:rsidRDefault="00003820" w:rsidP="00CF5081">
            <w:pPr>
              <w:jc w:val="center"/>
              <w:rPr>
                <w:rFonts w:cs="Times New Roman"/>
                <w:szCs w:val="24"/>
              </w:rPr>
            </w:pPr>
            <w:r w:rsidRPr="00FE7240">
              <w:rPr>
                <w:rFonts w:cs="Times New Roman"/>
                <w:szCs w:val="24"/>
              </w:rPr>
              <w:t>A</w:t>
            </w:r>
          </w:p>
        </w:tc>
        <w:tc>
          <w:tcPr>
            <w:tcW w:w="1300" w:type="dxa"/>
            <w:tcBorders>
              <w:top w:val="double" w:sz="4" w:space="0" w:color="auto"/>
            </w:tcBorders>
            <w:shd w:val="clear" w:color="auto" w:fill="FFFFFF" w:themeFill="background1"/>
          </w:tcPr>
          <w:p w14:paraId="131FEF92" w14:textId="73816727" w:rsidR="00003820" w:rsidRPr="00FE7240" w:rsidRDefault="00003820" w:rsidP="00CF5081">
            <w:pPr>
              <w:jc w:val="center"/>
              <w:rPr>
                <w:rFonts w:cs="Times New Roman"/>
                <w:szCs w:val="24"/>
              </w:rPr>
            </w:pPr>
            <w:r w:rsidRPr="00FE7240">
              <w:rPr>
                <w:rFonts w:cs="Times New Roman"/>
                <w:szCs w:val="24"/>
              </w:rPr>
              <w:t>18.00</w:t>
            </w:r>
          </w:p>
        </w:tc>
        <w:tc>
          <w:tcPr>
            <w:tcW w:w="1560" w:type="dxa"/>
            <w:tcBorders>
              <w:top w:val="double" w:sz="4" w:space="0" w:color="auto"/>
            </w:tcBorders>
            <w:shd w:val="clear" w:color="auto" w:fill="FFFFFF" w:themeFill="background1"/>
          </w:tcPr>
          <w:p w14:paraId="4B36662A" w14:textId="242CBC65" w:rsidR="00003820" w:rsidRPr="00FE7240" w:rsidRDefault="00003820" w:rsidP="00CF5081">
            <w:pPr>
              <w:jc w:val="center"/>
              <w:rPr>
                <w:rFonts w:cs="Times New Roman"/>
                <w:szCs w:val="24"/>
              </w:rPr>
            </w:pPr>
            <w:r w:rsidRPr="00FE7240">
              <w:rPr>
                <w:rFonts w:cs="Times New Roman"/>
                <w:szCs w:val="24"/>
              </w:rPr>
              <w:t>120.00</w:t>
            </w:r>
          </w:p>
        </w:tc>
        <w:tc>
          <w:tcPr>
            <w:tcW w:w="1590" w:type="dxa"/>
            <w:tcBorders>
              <w:top w:val="double" w:sz="4" w:space="0" w:color="auto"/>
            </w:tcBorders>
            <w:shd w:val="clear" w:color="auto" w:fill="FFFFFF" w:themeFill="background1"/>
          </w:tcPr>
          <w:p w14:paraId="00FA46F5" w14:textId="2F277E67" w:rsidR="00003820" w:rsidRPr="00FE7240" w:rsidRDefault="00003820" w:rsidP="00CF5081">
            <w:pPr>
              <w:jc w:val="center"/>
              <w:rPr>
                <w:rFonts w:cs="Times New Roman"/>
                <w:szCs w:val="24"/>
              </w:rPr>
            </w:pPr>
            <w:r w:rsidRPr="00FE7240">
              <w:rPr>
                <w:rFonts w:cs="Times New Roman"/>
                <w:szCs w:val="24"/>
              </w:rPr>
              <w:t>300.00</w:t>
            </w:r>
          </w:p>
        </w:tc>
        <w:tc>
          <w:tcPr>
            <w:tcW w:w="1243" w:type="dxa"/>
            <w:tcBorders>
              <w:top w:val="double" w:sz="4" w:space="0" w:color="auto"/>
            </w:tcBorders>
            <w:shd w:val="clear" w:color="auto" w:fill="FFFFFF" w:themeFill="background1"/>
          </w:tcPr>
          <w:p w14:paraId="1C80D57C" w14:textId="5B7C3643" w:rsidR="00003820" w:rsidRPr="00FE7240" w:rsidRDefault="00003820" w:rsidP="00CF5081">
            <w:pPr>
              <w:jc w:val="center"/>
              <w:rPr>
                <w:rFonts w:cs="Times New Roman"/>
                <w:szCs w:val="24"/>
              </w:rPr>
            </w:pPr>
            <w:r w:rsidRPr="00FE7240">
              <w:rPr>
                <w:rFonts w:cs="Times New Roman"/>
                <w:szCs w:val="24"/>
              </w:rPr>
              <w:t>0.66</w:t>
            </w:r>
          </w:p>
        </w:tc>
        <w:tc>
          <w:tcPr>
            <w:tcW w:w="1548" w:type="dxa"/>
            <w:tcBorders>
              <w:top w:val="double" w:sz="4" w:space="0" w:color="auto"/>
            </w:tcBorders>
            <w:shd w:val="clear" w:color="auto" w:fill="FFFFFF" w:themeFill="background1"/>
          </w:tcPr>
          <w:p w14:paraId="158ABD88" w14:textId="3A227F66" w:rsidR="00003820" w:rsidRPr="00FE7240" w:rsidRDefault="00003820" w:rsidP="00CF5081">
            <w:pPr>
              <w:jc w:val="center"/>
              <w:rPr>
                <w:rFonts w:cs="Times New Roman"/>
                <w:szCs w:val="24"/>
              </w:rPr>
            </w:pPr>
            <w:r w:rsidRPr="00FE7240">
              <w:rPr>
                <w:rFonts w:cs="Times New Roman"/>
                <w:szCs w:val="24"/>
              </w:rPr>
              <w:t>86.00</w:t>
            </w:r>
          </w:p>
        </w:tc>
        <w:tc>
          <w:tcPr>
            <w:tcW w:w="1525" w:type="dxa"/>
            <w:tcBorders>
              <w:top w:val="double" w:sz="4" w:space="0" w:color="auto"/>
            </w:tcBorders>
            <w:shd w:val="clear" w:color="auto" w:fill="FFFFFF" w:themeFill="background1"/>
          </w:tcPr>
          <w:p w14:paraId="0695D454" w14:textId="61910A19" w:rsidR="00003820" w:rsidRPr="00FE7240" w:rsidRDefault="00003820" w:rsidP="00CF5081">
            <w:pPr>
              <w:jc w:val="center"/>
              <w:rPr>
                <w:rFonts w:cs="Times New Roman"/>
                <w:szCs w:val="24"/>
              </w:rPr>
            </w:pPr>
            <w:r w:rsidRPr="00FE7240">
              <w:rPr>
                <w:rFonts w:cs="Times New Roman"/>
                <w:szCs w:val="24"/>
              </w:rPr>
              <w:t>1699.60</w:t>
            </w:r>
          </w:p>
        </w:tc>
        <w:tc>
          <w:tcPr>
            <w:tcW w:w="1404" w:type="dxa"/>
            <w:tcBorders>
              <w:top w:val="double" w:sz="4" w:space="0" w:color="auto"/>
            </w:tcBorders>
            <w:shd w:val="clear" w:color="auto" w:fill="FFFFFF" w:themeFill="background1"/>
          </w:tcPr>
          <w:p w14:paraId="3CFF420A" w14:textId="77777777" w:rsidR="00003820" w:rsidRPr="00FE7240" w:rsidRDefault="00003820" w:rsidP="00CF5081">
            <w:pPr>
              <w:jc w:val="center"/>
              <w:rPr>
                <w:rFonts w:cs="Times New Roman"/>
                <w:szCs w:val="24"/>
              </w:rPr>
            </w:pPr>
            <w:r w:rsidRPr="00FE7240">
              <w:rPr>
                <w:rFonts w:cs="Times New Roman"/>
                <w:szCs w:val="24"/>
              </w:rPr>
              <w:t>3.91</w:t>
            </w:r>
          </w:p>
        </w:tc>
        <w:tc>
          <w:tcPr>
            <w:tcW w:w="1233" w:type="dxa"/>
            <w:tcBorders>
              <w:top w:val="double" w:sz="4" w:space="0" w:color="auto"/>
            </w:tcBorders>
            <w:shd w:val="clear" w:color="auto" w:fill="FFFFFF" w:themeFill="background1"/>
          </w:tcPr>
          <w:p w14:paraId="27955F93" w14:textId="77777777" w:rsidR="00003820" w:rsidRPr="00FE7240" w:rsidRDefault="00003820" w:rsidP="00CF5081">
            <w:pPr>
              <w:jc w:val="center"/>
              <w:rPr>
                <w:rFonts w:cs="Times New Roman"/>
                <w:szCs w:val="24"/>
              </w:rPr>
            </w:pPr>
            <w:r w:rsidRPr="00FE7240">
              <w:rPr>
                <w:rFonts w:cs="Times New Roman"/>
                <w:szCs w:val="24"/>
              </w:rPr>
              <w:t>No</w:t>
            </w:r>
          </w:p>
        </w:tc>
        <w:tc>
          <w:tcPr>
            <w:tcW w:w="1233" w:type="dxa"/>
            <w:tcBorders>
              <w:top w:val="double" w:sz="4" w:space="0" w:color="auto"/>
            </w:tcBorders>
            <w:shd w:val="clear" w:color="auto" w:fill="FFFFFF" w:themeFill="background1"/>
          </w:tcPr>
          <w:p w14:paraId="288055C8" w14:textId="77777777" w:rsidR="00003820" w:rsidRPr="00FE7240" w:rsidRDefault="00003820" w:rsidP="00CF5081">
            <w:pPr>
              <w:jc w:val="center"/>
              <w:rPr>
                <w:rFonts w:cs="Times New Roman"/>
                <w:szCs w:val="24"/>
              </w:rPr>
            </w:pPr>
            <w:r w:rsidRPr="00FE7240">
              <w:rPr>
                <w:rFonts w:cs="Times New Roman"/>
                <w:szCs w:val="24"/>
              </w:rPr>
              <w:t>6.88</w:t>
            </w:r>
          </w:p>
        </w:tc>
        <w:tc>
          <w:tcPr>
            <w:tcW w:w="1233" w:type="dxa"/>
            <w:tcBorders>
              <w:top w:val="double" w:sz="4" w:space="0" w:color="auto"/>
            </w:tcBorders>
            <w:shd w:val="clear" w:color="auto" w:fill="FFFFFF" w:themeFill="background1"/>
          </w:tcPr>
          <w:p w14:paraId="4E4CD765" w14:textId="04A995BF" w:rsidR="00003820" w:rsidRPr="00FE7240" w:rsidRDefault="00003820" w:rsidP="00CF5081">
            <w:pPr>
              <w:jc w:val="center"/>
              <w:rPr>
                <w:rFonts w:cs="Times New Roman"/>
                <w:szCs w:val="24"/>
              </w:rPr>
            </w:pPr>
            <w:r>
              <w:rPr>
                <w:rFonts w:cs="Times New Roman"/>
                <w:szCs w:val="24"/>
              </w:rPr>
              <w:t>Good</w:t>
            </w:r>
          </w:p>
        </w:tc>
      </w:tr>
      <w:tr w:rsidR="00003820" w:rsidRPr="00FE7240" w14:paraId="5B5BCB95" w14:textId="74F01548" w:rsidTr="00003820">
        <w:trPr>
          <w:trHeight w:val="693"/>
          <w:jc w:val="center"/>
        </w:trPr>
        <w:tc>
          <w:tcPr>
            <w:tcW w:w="1479" w:type="dxa"/>
            <w:shd w:val="clear" w:color="auto" w:fill="FFFFFF" w:themeFill="background1"/>
          </w:tcPr>
          <w:p w14:paraId="49D132A8" w14:textId="77777777" w:rsidR="00003820" w:rsidRPr="00FE7240" w:rsidRDefault="00003820" w:rsidP="00CF5081">
            <w:pPr>
              <w:jc w:val="center"/>
              <w:rPr>
                <w:rFonts w:cs="Times New Roman"/>
                <w:szCs w:val="24"/>
              </w:rPr>
            </w:pPr>
            <w:r w:rsidRPr="00FE7240">
              <w:rPr>
                <w:rFonts w:cs="Times New Roman"/>
                <w:szCs w:val="24"/>
              </w:rPr>
              <w:t>B</w:t>
            </w:r>
          </w:p>
        </w:tc>
        <w:tc>
          <w:tcPr>
            <w:tcW w:w="1300" w:type="dxa"/>
            <w:shd w:val="clear" w:color="auto" w:fill="FFFFFF" w:themeFill="background1"/>
          </w:tcPr>
          <w:p w14:paraId="799129AD" w14:textId="5D0D9A95" w:rsidR="00003820" w:rsidRPr="00FE7240" w:rsidRDefault="00003820" w:rsidP="00CF5081">
            <w:pPr>
              <w:jc w:val="center"/>
              <w:rPr>
                <w:rFonts w:cs="Times New Roman"/>
                <w:szCs w:val="24"/>
              </w:rPr>
            </w:pPr>
            <w:r w:rsidRPr="00FE7240">
              <w:rPr>
                <w:rFonts w:cs="Times New Roman"/>
                <w:szCs w:val="24"/>
              </w:rPr>
              <w:t>18.00</w:t>
            </w:r>
          </w:p>
        </w:tc>
        <w:tc>
          <w:tcPr>
            <w:tcW w:w="1560" w:type="dxa"/>
            <w:shd w:val="clear" w:color="auto" w:fill="FFFFFF" w:themeFill="background1"/>
          </w:tcPr>
          <w:p w14:paraId="50F8B919" w14:textId="19C2DFA0" w:rsidR="00003820" w:rsidRPr="00FE7240" w:rsidRDefault="00003820" w:rsidP="00CF5081">
            <w:pPr>
              <w:jc w:val="center"/>
              <w:rPr>
                <w:rFonts w:cs="Times New Roman"/>
                <w:szCs w:val="24"/>
              </w:rPr>
            </w:pPr>
            <w:r w:rsidRPr="00FE7240">
              <w:rPr>
                <w:rFonts w:cs="Times New Roman"/>
                <w:szCs w:val="24"/>
              </w:rPr>
              <w:t>120.00</w:t>
            </w:r>
          </w:p>
        </w:tc>
        <w:tc>
          <w:tcPr>
            <w:tcW w:w="1590" w:type="dxa"/>
            <w:shd w:val="clear" w:color="auto" w:fill="FFFFFF" w:themeFill="background1"/>
          </w:tcPr>
          <w:p w14:paraId="70E1D99B" w14:textId="041DE6F9" w:rsidR="00003820" w:rsidRPr="00FE7240" w:rsidRDefault="00003820" w:rsidP="00CF5081">
            <w:pPr>
              <w:jc w:val="center"/>
              <w:rPr>
                <w:rFonts w:cs="Times New Roman"/>
                <w:szCs w:val="24"/>
              </w:rPr>
            </w:pPr>
            <w:r w:rsidRPr="00FE7240">
              <w:rPr>
                <w:rFonts w:cs="Times New Roman"/>
                <w:szCs w:val="24"/>
              </w:rPr>
              <w:t>200.00</w:t>
            </w:r>
          </w:p>
        </w:tc>
        <w:tc>
          <w:tcPr>
            <w:tcW w:w="1243" w:type="dxa"/>
            <w:shd w:val="clear" w:color="auto" w:fill="FFFFFF" w:themeFill="background1"/>
          </w:tcPr>
          <w:p w14:paraId="2366143C" w14:textId="4703143C" w:rsidR="00003820" w:rsidRPr="00FE7240" w:rsidRDefault="00003820" w:rsidP="00CF5081">
            <w:pPr>
              <w:jc w:val="center"/>
              <w:rPr>
                <w:rFonts w:cs="Times New Roman"/>
                <w:szCs w:val="24"/>
              </w:rPr>
            </w:pPr>
            <w:r w:rsidRPr="00FE7240">
              <w:rPr>
                <w:rFonts w:cs="Times New Roman"/>
                <w:szCs w:val="24"/>
              </w:rPr>
              <w:t>0.66</w:t>
            </w:r>
          </w:p>
        </w:tc>
        <w:tc>
          <w:tcPr>
            <w:tcW w:w="1548" w:type="dxa"/>
            <w:shd w:val="clear" w:color="auto" w:fill="FFFFFF" w:themeFill="background1"/>
          </w:tcPr>
          <w:p w14:paraId="1E22FE44" w14:textId="587E3DF3" w:rsidR="00003820" w:rsidRPr="00FE7240" w:rsidRDefault="00003820" w:rsidP="00CF5081">
            <w:pPr>
              <w:jc w:val="center"/>
              <w:rPr>
                <w:rFonts w:cs="Times New Roman"/>
                <w:szCs w:val="24"/>
              </w:rPr>
            </w:pPr>
            <w:r w:rsidRPr="00FE7240">
              <w:rPr>
                <w:rFonts w:cs="Times New Roman"/>
                <w:szCs w:val="24"/>
              </w:rPr>
              <w:t>52.50</w:t>
            </w:r>
          </w:p>
        </w:tc>
        <w:tc>
          <w:tcPr>
            <w:tcW w:w="1525" w:type="dxa"/>
            <w:shd w:val="clear" w:color="auto" w:fill="FFFFFF" w:themeFill="background1"/>
          </w:tcPr>
          <w:p w14:paraId="3F814095" w14:textId="143D5513" w:rsidR="00003820" w:rsidRPr="00FE7240" w:rsidRDefault="00003820" w:rsidP="00CF5081">
            <w:pPr>
              <w:jc w:val="center"/>
              <w:rPr>
                <w:rFonts w:cs="Times New Roman"/>
                <w:szCs w:val="24"/>
              </w:rPr>
            </w:pPr>
            <w:r w:rsidRPr="00FE7240">
              <w:rPr>
                <w:rFonts w:cs="Times New Roman"/>
                <w:szCs w:val="24"/>
              </w:rPr>
              <w:t>1037.30</w:t>
            </w:r>
          </w:p>
        </w:tc>
        <w:tc>
          <w:tcPr>
            <w:tcW w:w="1404" w:type="dxa"/>
            <w:shd w:val="clear" w:color="auto" w:fill="FFFFFF" w:themeFill="background1"/>
          </w:tcPr>
          <w:p w14:paraId="5C9771B7" w14:textId="77777777" w:rsidR="00003820" w:rsidRPr="00FE7240" w:rsidRDefault="00003820" w:rsidP="00CF5081">
            <w:pPr>
              <w:jc w:val="center"/>
              <w:rPr>
                <w:rFonts w:cs="Times New Roman"/>
                <w:szCs w:val="24"/>
              </w:rPr>
            </w:pPr>
            <w:r w:rsidRPr="00FE7240">
              <w:rPr>
                <w:rFonts w:cs="Times New Roman"/>
                <w:szCs w:val="24"/>
              </w:rPr>
              <w:t>2.39</w:t>
            </w:r>
          </w:p>
        </w:tc>
        <w:tc>
          <w:tcPr>
            <w:tcW w:w="1233" w:type="dxa"/>
            <w:shd w:val="clear" w:color="auto" w:fill="FFFFFF" w:themeFill="background1"/>
          </w:tcPr>
          <w:p w14:paraId="38F24E4D" w14:textId="77777777" w:rsidR="00003820" w:rsidRPr="00FE7240" w:rsidRDefault="00003820" w:rsidP="00CF5081">
            <w:pPr>
              <w:jc w:val="center"/>
              <w:rPr>
                <w:rFonts w:cs="Times New Roman"/>
                <w:szCs w:val="24"/>
              </w:rPr>
            </w:pPr>
            <w:r w:rsidRPr="00FE7240">
              <w:rPr>
                <w:rFonts w:cs="Times New Roman"/>
                <w:szCs w:val="24"/>
              </w:rPr>
              <w:t>No</w:t>
            </w:r>
          </w:p>
        </w:tc>
        <w:tc>
          <w:tcPr>
            <w:tcW w:w="1233" w:type="dxa"/>
            <w:shd w:val="clear" w:color="auto" w:fill="FFFFFF" w:themeFill="background1"/>
          </w:tcPr>
          <w:p w14:paraId="42B2AB20" w14:textId="77777777" w:rsidR="00003820" w:rsidRPr="00FE7240" w:rsidRDefault="00003820" w:rsidP="00CF5081">
            <w:pPr>
              <w:jc w:val="center"/>
              <w:rPr>
                <w:rFonts w:cs="Times New Roman"/>
                <w:szCs w:val="24"/>
              </w:rPr>
            </w:pPr>
            <w:r w:rsidRPr="00FE7240">
              <w:rPr>
                <w:rFonts w:cs="Times New Roman"/>
                <w:szCs w:val="24"/>
              </w:rPr>
              <w:t>5.25</w:t>
            </w:r>
          </w:p>
        </w:tc>
        <w:tc>
          <w:tcPr>
            <w:tcW w:w="1233" w:type="dxa"/>
            <w:shd w:val="clear" w:color="auto" w:fill="FFFFFF" w:themeFill="background1"/>
          </w:tcPr>
          <w:p w14:paraId="396D51F5" w14:textId="207C0121" w:rsidR="00003820" w:rsidRPr="00FE7240" w:rsidRDefault="00003820" w:rsidP="00CF5081">
            <w:pPr>
              <w:jc w:val="center"/>
              <w:rPr>
                <w:rFonts w:cs="Times New Roman"/>
                <w:szCs w:val="24"/>
              </w:rPr>
            </w:pPr>
            <w:r>
              <w:rPr>
                <w:rFonts w:cs="Times New Roman"/>
                <w:szCs w:val="24"/>
              </w:rPr>
              <w:t>Good</w:t>
            </w:r>
          </w:p>
        </w:tc>
      </w:tr>
      <w:tr w:rsidR="00003820" w:rsidRPr="00FE7240" w14:paraId="42028AB1" w14:textId="31EE05F0" w:rsidTr="00003820">
        <w:trPr>
          <w:trHeight w:val="659"/>
          <w:jc w:val="center"/>
        </w:trPr>
        <w:tc>
          <w:tcPr>
            <w:tcW w:w="1479" w:type="dxa"/>
            <w:shd w:val="clear" w:color="auto" w:fill="FFFFFF" w:themeFill="background1"/>
          </w:tcPr>
          <w:p w14:paraId="6B9DEE9D" w14:textId="77777777" w:rsidR="00003820" w:rsidRPr="00FE7240" w:rsidRDefault="00003820" w:rsidP="00CF5081">
            <w:pPr>
              <w:jc w:val="center"/>
              <w:rPr>
                <w:rFonts w:cs="Times New Roman"/>
                <w:szCs w:val="24"/>
              </w:rPr>
            </w:pPr>
            <w:r w:rsidRPr="00FE7240">
              <w:rPr>
                <w:rFonts w:cs="Times New Roman"/>
                <w:szCs w:val="24"/>
              </w:rPr>
              <w:t>C</w:t>
            </w:r>
          </w:p>
        </w:tc>
        <w:tc>
          <w:tcPr>
            <w:tcW w:w="1300" w:type="dxa"/>
            <w:shd w:val="clear" w:color="auto" w:fill="FFFFFF" w:themeFill="background1"/>
          </w:tcPr>
          <w:p w14:paraId="24D7F4EC" w14:textId="560D63D0" w:rsidR="00003820" w:rsidRPr="00FE7240" w:rsidRDefault="00003820" w:rsidP="00CF5081">
            <w:pPr>
              <w:jc w:val="center"/>
              <w:rPr>
                <w:rFonts w:cs="Times New Roman"/>
                <w:szCs w:val="24"/>
              </w:rPr>
            </w:pPr>
            <w:r w:rsidRPr="00FE7240">
              <w:rPr>
                <w:rFonts w:cs="Times New Roman"/>
                <w:szCs w:val="24"/>
              </w:rPr>
              <w:t>18.00</w:t>
            </w:r>
          </w:p>
        </w:tc>
        <w:tc>
          <w:tcPr>
            <w:tcW w:w="1560" w:type="dxa"/>
            <w:shd w:val="clear" w:color="auto" w:fill="FFFFFF" w:themeFill="background1"/>
          </w:tcPr>
          <w:p w14:paraId="0BDBCD31" w14:textId="7EB98AAA" w:rsidR="00003820" w:rsidRPr="00FE7240" w:rsidRDefault="00003820" w:rsidP="00CF5081">
            <w:pPr>
              <w:jc w:val="center"/>
              <w:rPr>
                <w:rFonts w:cs="Times New Roman"/>
                <w:szCs w:val="24"/>
              </w:rPr>
            </w:pPr>
            <w:r w:rsidRPr="00FE7240">
              <w:rPr>
                <w:rFonts w:cs="Times New Roman"/>
                <w:szCs w:val="24"/>
              </w:rPr>
              <w:t>100.00</w:t>
            </w:r>
          </w:p>
        </w:tc>
        <w:tc>
          <w:tcPr>
            <w:tcW w:w="1590" w:type="dxa"/>
            <w:shd w:val="clear" w:color="auto" w:fill="FFFFFF" w:themeFill="background1"/>
          </w:tcPr>
          <w:p w14:paraId="0A5B80E9" w14:textId="415241E4" w:rsidR="00003820" w:rsidRPr="00FE7240" w:rsidRDefault="00003820" w:rsidP="00CF5081">
            <w:pPr>
              <w:jc w:val="center"/>
              <w:rPr>
                <w:rFonts w:cs="Times New Roman"/>
                <w:szCs w:val="24"/>
              </w:rPr>
            </w:pPr>
            <w:r w:rsidRPr="00FE7240">
              <w:rPr>
                <w:rFonts w:cs="Times New Roman"/>
                <w:szCs w:val="24"/>
              </w:rPr>
              <w:t>300.00</w:t>
            </w:r>
          </w:p>
        </w:tc>
        <w:tc>
          <w:tcPr>
            <w:tcW w:w="1243" w:type="dxa"/>
            <w:shd w:val="clear" w:color="auto" w:fill="FFFFFF" w:themeFill="background1"/>
          </w:tcPr>
          <w:p w14:paraId="736D0F48" w14:textId="0A81AF48" w:rsidR="00003820" w:rsidRPr="00FE7240" w:rsidRDefault="00003820" w:rsidP="00CF5081">
            <w:pPr>
              <w:jc w:val="center"/>
              <w:rPr>
                <w:rFonts w:cs="Times New Roman"/>
                <w:szCs w:val="24"/>
              </w:rPr>
            </w:pPr>
            <w:r w:rsidRPr="00FE7240">
              <w:rPr>
                <w:rFonts w:cs="Times New Roman"/>
                <w:szCs w:val="24"/>
              </w:rPr>
              <w:t>0.66</w:t>
            </w:r>
          </w:p>
        </w:tc>
        <w:tc>
          <w:tcPr>
            <w:tcW w:w="1548" w:type="dxa"/>
            <w:shd w:val="clear" w:color="auto" w:fill="FFFFFF" w:themeFill="background1"/>
          </w:tcPr>
          <w:p w14:paraId="39F0368A" w14:textId="7E1B8191" w:rsidR="00003820" w:rsidRPr="00FE7240" w:rsidRDefault="00003820" w:rsidP="00CF5081">
            <w:pPr>
              <w:jc w:val="center"/>
              <w:rPr>
                <w:rFonts w:cs="Times New Roman"/>
                <w:szCs w:val="24"/>
              </w:rPr>
            </w:pPr>
            <w:r w:rsidRPr="00FE7240">
              <w:rPr>
                <w:rFonts w:cs="Times New Roman"/>
                <w:szCs w:val="24"/>
              </w:rPr>
              <w:t>51.30</w:t>
            </w:r>
          </w:p>
        </w:tc>
        <w:tc>
          <w:tcPr>
            <w:tcW w:w="1525" w:type="dxa"/>
            <w:shd w:val="clear" w:color="auto" w:fill="FFFFFF" w:themeFill="background1"/>
          </w:tcPr>
          <w:p w14:paraId="4F692FDD" w14:textId="0FF57446" w:rsidR="00003820" w:rsidRPr="00FE7240" w:rsidRDefault="00003820" w:rsidP="00CF5081">
            <w:pPr>
              <w:jc w:val="center"/>
              <w:rPr>
                <w:rFonts w:cs="Times New Roman"/>
                <w:szCs w:val="24"/>
              </w:rPr>
            </w:pPr>
            <w:bookmarkStart w:id="7" w:name="_Hlk120139812"/>
            <w:r w:rsidRPr="00FE7240">
              <w:rPr>
                <w:rFonts w:cs="Times New Roman"/>
                <w:szCs w:val="24"/>
              </w:rPr>
              <w:t>1013.80</w:t>
            </w:r>
            <w:bookmarkEnd w:id="7"/>
          </w:p>
        </w:tc>
        <w:tc>
          <w:tcPr>
            <w:tcW w:w="1404" w:type="dxa"/>
            <w:shd w:val="clear" w:color="auto" w:fill="FFFFFF" w:themeFill="background1"/>
          </w:tcPr>
          <w:p w14:paraId="115E0210" w14:textId="77777777" w:rsidR="00003820" w:rsidRPr="00FE7240" w:rsidRDefault="00003820" w:rsidP="00CF5081">
            <w:pPr>
              <w:jc w:val="center"/>
              <w:rPr>
                <w:rFonts w:cs="Times New Roman"/>
                <w:szCs w:val="24"/>
              </w:rPr>
            </w:pPr>
            <w:r w:rsidRPr="00FE7240">
              <w:rPr>
                <w:rFonts w:cs="Times New Roman"/>
                <w:szCs w:val="24"/>
              </w:rPr>
              <w:t>2.33</w:t>
            </w:r>
          </w:p>
        </w:tc>
        <w:tc>
          <w:tcPr>
            <w:tcW w:w="1233" w:type="dxa"/>
            <w:shd w:val="clear" w:color="auto" w:fill="FFFFFF" w:themeFill="background1"/>
          </w:tcPr>
          <w:p w14:paraId="5E81CBF2" w14:textId="77777777" w:rsidR="00003820" w:rsidRPr="00FE7240" w:rsidRDefault="00003820" w:rsidP="00CF5081">
            <w:pPr>
              <w:jc w:val="center"/>
              <w:rPr>
                <w:rFonts w:cs="Times New Roman"/>
                <w:szCs w:val="24"/>
              </w:rPr>
            </w:pPr>
            <w:r w:rsidRPr="00FE7240">
              <w:rPr>
                <w:rFonts w:cs="Times New Roman"/>
                <w:szCs w:val="24"/>
              </w:rPr>
              <w:t>No</w:t>
            </w:r>
          </w:p>
        </w:tc>
        <w:tc>
          <w:tcPr>
            <w:tcW w:w="1233" w:type="dxa"/>
            <w:shd w:val="clear" w:color="auto" w:fill="FFFFFF" w:themeFill="background1"/>
          </w:tcPr>
          <w:p w14:paraId="3479DC3B" w14:textId="77777777" w:rsidR="00003820" w:rsidRPr="00FE7240" w:rsidRDefault="00003820" w:rsidP="00CF5081">
            <w:pPr>
              <w:jc w:val="center"/>
              <w:rPr>
                <w:rFonts w:cs="Times New Roman"/>
                <w:szCs w:val="24"/>
              </w:rPr>
            </w:pPr>
            <w:r w:rsidRPr="00FE7240">
              <w:rPr>
                <w:rFonts w:cs="Times New Roman"/>
                <w:szCs w:val="24"/>
              </w:rPr>
              <w:t>5.49</w:t>
            </w:r>
          </w:p>
        </w:tc>
        <w:tc>
          <w:tcPr>
            <w:tcW w:w="1233" w:type="dxa"/>
            <w:shd w:val="clear" w:color="auto" w:fill="FFFFFF" w:themeFill="background1"/>
          </w:tcPr>
          <w:p w14:paraId="13668B2D" w14:textId="364A9785" w:rsidR="00003820" w:rsidRPr="00FE7240" w:rsidRDefault="00003820" w:rsidP="00CF5081">
            <w:pPr>
              <w:jc w:val="center"/>
              <w:rPr>
                <w:rFonts w:cs="Times New Roman"/>
                <w:szCs w:val="24"/>
              </w:rPr>
            </w:pPr>
            <w:r>
              <w:rPr>
                <w:rFonts w:cs="Times New Roman"/>
                <w:szCs w:val="24"/>
              </w:rPr>
              <w:t>Good</w:t>
            </w:r>
          </w:p>
        </w:tc>
      </w:tr>
      <w:tr w:rsidR="00003820" w:rsidRPr="00FE7240" w14:paraId="3355C2FE" w14:textId="5FF5FFA8" w:rsidTr="00003820">
        <w:trPr>
          <w:trHeight w:val="689"/>
          <w:jc w:val="center"/>
        </w:trPr>
        <w:tc>
          <w:tcPr>
            <w:tcW w:w="1479" w:type="dxa"/>
            <w:shd w:val="clear" w:color="auto" w:fill="FFFFFF" w:themeFill="background1"/>
          </w:tcPr>
          <w:p w14:paraId="768F782C" w14:textId="77777777" w:rsidR="00003820" w:rsidRPr="00FE7240" w:rsidRDefault="00003820" w:rsidP="00CF5081">
            <w:pPr>
              <w:jc w:val="center"/>
              <w:rPr>
                <w:rFonts w:cs="Times New Roman"/>
                <w:szCs w:val="24"/>
              </w:rPr>
            </w:pPr>
            <w:r w:rsidRPr="00FE7240">
              <w:rPr>
                <w:rFonts w:cs="Times New Roman"/>
                <w:szCs w:val="24"/>
              </w:rPr>
              <w:t>D</w:t>
            </w:r>
          </w:p>
        </w:tc>
        <w:tc>
          <w:tcPr>
            <w:tcW w:w="1300" w:type="dxa"/>
            <w:shd w:val="clear" w:color="auto" w:fill="FFFFFF" w:themeFill="background1"/>
          </w:tcPr>
          <w:p w14:paraId="790221F2" w14:textId="3777E1CC" w:rsidR="00003820" w:rsidRPr="00FE7240" w:rsidRDefault="00003820" w:rsidP="00CF5081">
            <w:pPr>
              <w:jc w:val="center"/>
              <w:rPr>
                <w:rFonts w:cs="Times New Roman"/>
                <w:szCs w:val="24"/>
              </w:rPr>
            </w:pPr>
            <w:r w:rsidRPr="00FE7240">
              <w:rPr>
                <w:rFonts w:cs="Times New Roman"/>
                <w:szCs w:val="24"/>
              </w:rPr>
              <w:t>18.00</w:t>
            </w:r>
          </w:p>
        </w:tc>
        <w:tc>
          <w:tcPr>
            <w:tcW w:w="1560" w:type="dxa"/>
            <w:shd w:val="clear" w:color="auto" w:fill="FFFFFF" w:themeFill="background1"/>
          </w:tcPr>
          <w:p w14:paraId="61DD4BC1" w14:textId="2AA0E859" w:rsidR="00003820" w:rsidRPr="00FE7240" w:rsidRDefault="00003820" w:rsidP="00CF5081">
            <w:pPr>
              <w:jc w:val="center"/>
              <w:rPr>
                <w:rFonts w:cs="Times New Roman"/>
                <w:szCs w:val="24"/>
              </w:rPr>
            </w:pPr>
            <w:r w:rsidRPr="00FE7240">
              <w:rPr>
                <w:rFonts w:cs="Times New Roman"/>
                <w:szCs w:val="24"/>
              </w:rPr>
              <w:t>80.00</w:t>
            </w:r>
          </w:p>
        </w:tc>
        <w:tc>
          <w:tcPr>
            <w:tcW w:w="1590" w:type="dxa"/>
            <w:shd w:val="clear" w:color="auto" w:fill="FFFFFF" w:themeFill="background1"/>
          </w:tcPr>
          <w:p w14:paraId="01B01B49" w14:textId="285938E0" w:rsidR="00003820" w:rsidRPr="00FE7240" w:rsidRDefault="00003820" w:rsidP="00CF5081">
            <w:pPr>
              <w:jc w:val="center"/>
              <w:rPr>
                <w:rFonts w:cs="Times New Roman"/>
                <w:szCs w:val="24"/>
              </w:rPr>
            </w:pPr>
            <w:r w:rsidRPr="00FE7240">
              <w:rPr>
                <w:rFonts w:cs="Times New Roman"/>
                <w:szCs w:val="24"/>
              </w:rPr>
              <w:t>300.00</w:t>
            </w:r>
          </w:p>
        </w:tc>
        <w:tc>
          <w:tcPr>
            <w:tcW w:w="1243" w:type="dxa"/>
            <w:shd w:val="clear" w:color="auto" w:fill="FFFFFF" w:themeFill="background1"/>
          </w:tcPr>
          <w:p w14:paraId="5C136FC6" w14:textId="2EA69323" w:rsidR="00003820" w:rsidRPr="00FE7240" w:rsidRDefault="00003820" w:rsidP="00CF5081">
            <w:pPr>
              <w:jc w:val="center"/>
              <w:rPr>
                <w:rFonts w:cs="Times New Roman"/>
                <w:szCs w:val="24"/>
              </w:rPr>
            </w:pPr>
            <w:r w:rsidRPr="00FE7240">
              <w:rPr>
                <w:rFonts w:cs="Times New Roman"/>
                <w:szCs w:val="24"/>
              </w:rPr>
              <w:t>0.66</w:t>
            </w:r>
          </w:p>
        </w:tc>
        <w:tc>
          <w:tcPr>
            <w:tcW w:w="1548" w:type="dxa"/>
            <w:shd w:val="clear" w:color="auto" w:fill="FFFFFF" w:themeFill="background1"/>
          </w:tcPr>
          <w:p w14:paraId="70B3D7DF" w14:textId="1614346B" w:rsidR="00003820" w:rsidRPr="00FE7240" w:rsidRDefault="00003820" w:rsidP="00CF5081">
            <w:pPr>
              <w:jc w:val="center"/>
              <w:rPr>
                <w:rFonts w:cs="Times New Roman"/>
                <w:szCs w:val="24"/>
              </w:rPr>
            </w:pPr>
            <w:r w:rsidRPr="00FE7240">
              <w:rPr>
                <w:rFonts w:cs="Times New Roman"/>
                <w:szCs w:val="24"/>
              </w:rPr>
              <w:t>28.00</w:t>
            </w:r>
          </w:p>
        </w:tc>
        <w:tc>
          <w:tcPr>
            <w:tcW w:w="1525" w:type="dxa"/>
            <w:shd w:val="clear" w:color="auto" w:fill="FFFFFF" w:themeFill="background1"/>
          </w:tcPr>
          <w:p w14:paraId="3E6D67CB" w14:textId="567A6803" w:rsidR="00003820" w:rsidRPr="00FE7240" w:rsidRDefault="00003820" w:rsidP="00CF5081">
            <w:pPr>
              <w:jc w:val="center"/>
              <w:rPr>
                <w:rFonts w:cs="Times New Roman"/>
                <w:szCs w:val="24"/>
              </w:rPr>
            </w:pPr>
            <w:r w:rsidRPr="00FE7240">
              <w:rPr>
                <w:rFonts w:cs="Times New Roman"/>
                <w:szCs w:val="24"/>
              </w:rPr>
              <w:t>553.80</w:t>
            </w:r>
          </w:p>
        </w:tc>
        <w:tc>
          <w:tcPr>
            <w:tcW w:w="1404" w:type="dxa"/>
            <w:shd w:val="clear" w:color="auto" w:fill="FFFFFF" w:themeFill="background1"/>
          </w:tcPr>
          <w:p w14:paraId="0633B23D" w14:textId="77777777" w:rsidR="00003820" w:rsidRPr="00FE7240" w:rsidRDefault="00003820" w:rsidP="00CF5081">
            <w:pPr>
              <w:jc w:val="center"/>
              <w:rPr>
                <w:rFonts w:cs="Times New Roman"/>
                <w:szCs w:val="24"/>
              </w:rPr>
            </w:pPr>
            <w:r w:rsidRPr="00FE7240">
              <w:rPr>
                <w:rFonts w:cs="Times New Roman"/>
                <w:szCs w:val="24"/>
              </w:rPr>
              <w:t>1.27</w:t>
            </w:r>
          </w:p>
        </w:tc>
        <w:tc>
          <w:tcPr>
            <w:tcW w:w="1233" w:type="dxa"/>
            <w:shd w:val="clear" w:color="auto" w:fill="FFFFFF" w:themeFill="background1"/>
          </w:tcPr>
          <w:p w14:paraId="08497953" w14:textId="77777777" w:rsidR="00003820" w:rsidRPr="00FE7240" w:rsidRDefault="00003820" w:rsidP="00CF5081">
            <w:pPr>
              <w:jc w:val="center"/>
              <w:rPr>
                <w:rFonts w:cs="Times New Roman"/>
                <w:szCs w:val="24"/>
              </w:rPr>
            </w:pPr>
            <w:r w:rsidRPr="00FE7240">
              <w:rPr>
                <w:rFonts w:cs="Times New Roman"/>
                <w:szCs w:val="24"/>
              </w:rPr>
              <w:t>No</w:t>
            </w:r>
          </w:p>
        </w:tc>
        <w:tc>
          <w:tcPr>
            <w:tcW w:w="1233" w:type="dxa"/>
            <w:shd w:val="clear" w:color="auto" w:fill="FFFFFF" w:themeFill="background1"/>
          </w:tcPr>
          <w:p w14:paraId="05C00A3F" w14:textId="7D99EC8A" w:rsidR="00003820" w:rsidRPr="00FE7240" w:rsidRDefault="00003820" w:rsidP="00CF5081">
            <w:pPr>
              <w:jc w:val="center"/>
              <w:rPr>
                <w:rFonts w:cs="Times New Roman"/>
                <w:szCs w:val="24"/>
              </w:rPr>
            </w:pPr>
            <w:r w:rsidRPr="00FE7240">
              <w:rPr>
                <w:rFonts w:cs="Times New Roman"/>
                <w:szCs w:val="24"/>
              </w:rPr>
              <w:t>3.50</w:t>
            </w:r>
          </w:p>
        </w:tc>
        <w:tc>
          <w:tcPr>
            <w:tcW w:w="1233" w:type="dxa"/>
            <w:shd w:val="clear" w:color="auto" w:fill="FFFFFF" w:themeFill="background1"/>
          </w:tcPr>
          <w:p w14:paraId="7B5DC6B7" w14:textId="134F3898" w:rsidR="00003820" w:rsidRPr="00FE7240" w:rsidRDefault="00003820" w:rsidP="00CF5081">
            <w:pPr>
              <w:jc w:val="center"/>
              <w:rPr>
                <w:rFonts w:cs="Times New Roman"/>
                <w:szCs w:val="24"/>
              </w:rPr>
            </w:pPr>
            <w:r>
              <w:rPr>
                <w:rFonts w:cs="Times New Roman"/>
                <w:szCs w:val="24"/>
              </w:rPr>
              <w:t>Bad</w:t>
            </w:r>
          </w:p>
        </w:tc>
      </w:tr>
      <w:tr w:rsidR="00003820" w:rsidRPr="00FE7240" w14:paraId="13EB0A85" w14:textId="579D4FE4" w:rsidTr="00003820">
        <w:trPr>
          <w:trHeight w:val="671"/>
          <w:jc w:val="center"/>
        </w:trPr>
        <w:tc>
          <w:tcPr>
            <w:tcW w:w="1479" w:type="dxa"/>
            <w:shd w:val="clear" w:color="auto" w:fill="FFFFFF" w:themeFill="background1"/>
          </w:tcPr>
          <w:p w14:paraId="7C265546" w14:textId="77777777" w:rsidR="00003820" w:rsidRPr="00FE7240" w:rsidRDefault="00003820" w:rsidP="00CF5081">
            <w:pPr>
              <w:jc w:val="center"/>
              <w:rPr>
                <w:rFonts w:cs="Times New Roman"/>
                <w:szCs w:val="24"/>
              </w:rPr>
            </w:pPr>
            <w:r w:rsidRPr="00FE7240">
              <w:rPr>
                <w:rFonts w:cs="Times New Roman"/>
                <w:szCs w:val="24"/>
              </w:rPr>
              <w:t>E</w:t>
            </w:r>
          </w:p>
        </w:tc>
        <w:tc>
          <w:tcPr>
            <w:tcW w:w="1300" w:type="dxa"/>
            <w:shd w:val="clear" w:color="auto" w:fill="FFFFFF" w:themeFill="background1"/>
          </w:tcPr>
          <w:p w14:paraId="65A257D0" w14:textId="38BFC6DC" w:rsidR="00003820" w:rsidRPr="00FE7240" w:rsidRDefault="00003820" w:rsidP="00CF5081">
            <w:pPr>
              <w:jc w:val="center"/>
              <w:rPr>
                <w:rFonts w:cs="Times New Roman"/>
                <w:szCs w:val="24"/>
              </w:rPr>
            </w:pPr>
            <w:r w:rsidRPr="00FE7240">
              <w:rPr>
                <w:rFonts w:cs="Times New Roman"/>
                <w:szCs w:val="24"/>
              </w:rPr>
              <w:t>18.00</w:t>
            </w:r>
          </w:p>
        </w:tc>
        <w:tc>
          <w:tcPr>
            <w:tcW w:w="1560" w:type="dxa"/>
            <w:shd w:val="clear" w:color="auto" w:fill="FFFFFF" w:themeFill="background1"/>
          </w:tcPr>
          <w:p w14:paraId="200FAA4B" w14:textId="7C3A7D03" w:rsidR="00003820" w:rsidRPr="00FE7240" w:rsidRDefault="00003820" w:rsidP="00CF5081">
            <w:pPr>
              <w:jc w:val="center"/>
              <w:rPr>
                <w:rFonts w:cs="Times New Roman"/>
                <w:szCs w:val="24"/>
              </w:rPr>
            </w:pPr>
            <w:r w:rsidRPr="00FE7240">
              <w:rPr>
                <w:rFonts w:cs="Times New Roman"/>
                <w:szCs w:val="24"/>
              </w:rPr>
              <w:t>100.00</w:t>
            </w:r>
          </w:p>
        </w:tc>
        <w:tc>
          <w:tcPr>
            <w:tcW w:w="1590" w:type="dxa"/>
            <w:shd w:val="clear" w:color="auto" w:fill="FFFFFF" w:themeFill="background1"/>
          </w:tcPr>
          <w:p w14:paraId="1404D006" w14:textId="230287A8" w:rsidR="00003820" w:rsidRPr="00FE7240" w:rsidRDefault="00003820" w:rsidP="00CF5081">
            <w:pPr>
              <w:jc w:val="center"/>
              <w:rPr>
                <w:rFonts w:cs="Times New Roman"/>
                <w:szCs w:val="24"/>
              </w:rPr>
            </w:pPr>
            <w:r w:rsidRPr="00FE7240">
              <w:rPr>
                <w:rFonts w:cs="Times New Roman"/>
                <w:szCs w:val="24"/>
              </w:rPr>
              <w:t>300.00</w:t>
            </w:r>
          </w:p>
        </w:tc>
        <w:tc>
          <w:tcPr>
            <w:tcW w:w="1243" w:type="dxa"/>
            <w:shd w:val="clear" w:color="auto" w:fill="FFFFFF" w:themeFill="background1"/>
          </w:tcPr>
          <w:p w14:paraId="17AD2251" w14:textId="3E8CDF84" w:rsidR="00003820" w:rsidRPr="00FE7240" w:rsidRDefault="00003820" w:rsidP="00CF5081">
            <w:pPr>
              <w:jc w:val="center"/>
              <w:rPr>
                <w:rFonts w:cs="Times New Roman"/>
                <w:szCs w:val="24"/>
              </w:rPr>
            </w:pPr>
            <w:r w:rsidRPr="00FE7240">
              <w:rPr>
                <w:rFonts w:cs="Times New Roman"/>
                <w:szCs w:val="24"/>
              </w:rPr>
              <w:t>0.84</w:t>
            </w:r>
          </w:p>
        </w:tc>
        <w:tc>
          <w:tcPr>
            <w:tcW w:w="1548" w:type="dxa"/>
            <w:shd w:val="clear" w:color="auto" w:fill="FFFFFF" w:themeFill="background1"/>
          </w:tcPr>
          <w:p w14:paraId="680A3060" w14:textId="202B9A34" w:rsidR="00003820" w:rsidRPr="00FE7240" w:rsidRDefault="00003820" w:rsidP="00CF5081">
            <w:pPr>
              <w:jc w:val="center"/>
              <w:rPr>
                <w:rFonts w:cs="Times New Roman"/>
                <w:szCs w:val="24"/>
              </w:rPr>
            </w:pPr>
            <w:r w:rsidRPr="00FE7240">
              <w:rPr>
                <w:rFonts w:cs="Times New Roman"/>
                <w:szCs w:val="24"/>
              </w:rPr>
              <w:t>39.90</w:t>
            </w:r>
          </w:p>
        </w:tc>
        <w:tc>
          <w:tcPr>
            <w:tcW w:w="1525" w:type="dxa"/>
            <w:shd w:val="clear" w:color="auto" w:fill="FFFFFF" w:themeFill="background1"/>
          </w:tcPr>
          <w:p w14:paraId="69EEC07E" w14:textId="30F518FA" w:rsidR="00003820" w:rsidRPr="00FE7240" w:rsidRDefault="00003820" w:rsidP="00CF5081">
            <w:pPr>
              <w:jc w:val="center"/>
              <w:rPr>
                <w:rFonts w:cs="Times New Roman"/>
                <w:szCs w:val="24"/>
              </w:rPr>
            </w:pPr>
            <w:r w:rsidRPr="00FE7240">
              <w:rPr>
                <w:rFonts w:cs="Times New Roman"/>
                <w:szCs w:val="24"/>
              </w:rPr>
              <w:t>792.90</w:t>
            </w:r>
          </w:p>
        </w:tc>
        <w:tc>
          <w:tcPr>
            <w:tcW w:w="1404" w:type="dxa"/>
            <w:shd w:val="clear" w:color="auto" w:fill="FFFFFF" w:themeFill="background1"/>
          </w:tcPr>
          <w:p w14:paraId="075B9804" w14:textId="77777777" w:rsidR="00003820" w:rsidRPr="00FE7240" w:rsidRDefault="00003820" w:rsidP="00CF5081">
            <w:pPr>
              <w:jc w:val="center"/>
              <w:rPr>
                <w:rFonts w:cs="Times New Roman"/>
                <w:szCs w:val="24"/>
              </w:rPr>
            </w:pPr>
            <w:r w:rsidRPr="00FE7240">
              <w:rPr>
                <w:rFonts w:cs="Times New Roman"/>
                <w:szCs w:val="24"/>
              </w:rPr>
              <w:t>1.82</w:t>
            </w:r>
          </w:p>
        </w:tc>
        <w:tc>
          <w:tcPr>
            <w:tcW w:w="1233" w:type="dxa"/>
            <w:shd w:val="clear" w:color="auto" w:fill="FFFFFF" w:themeFill="background1"/>
          </w:tcPr>
          <w:p w14:paraId="5FE376B1" w14:textId="77777777" w:rsidR="00003820" w:rsidRPr="00FE7240" w:rsidRDefault="00003820" w:rsidP="00CF5081">
            <w:pPr>
              <w:jc w:val="center"/>
              <w:rPr>
                <w:rFonts w:cs="Times New Roman"/>
                <w:szCs w:val="24"/>
              </w:rPr>
            </w:pPr>
            <w:r w:rsidRPr="00FE7240">
              <w:rPr>
                <w:rFonts w:cs="Times New Roman"/>
                <w:szCs w:val="24"/>
              </w:rPr>
              <w:t>No</w:t>
            </w:r>
          </w:p>
        </w:tc>
        <w:tc>
          <w:tcPr>
            <w:tcW w:w="1233" w:type="dxa"/>
            <w:shd w:val="clear" w:color="auto" w:fill="FFFFFF" w:themeFill="background1"/>
          </w:tcPr>
          <w:p w14:paraId="344D48B5" w14:textId="3A843960" w:rsidR="00003820" w:rsidRPr="00FE7240" w:rsidRDefault="00003820" w:rsidP="00CF5081">
            <w:pPr>
              <w:jc w:val="center"/>
              <w:rPr>
                <w:rFonts w:cs="Times New Roman"/>
                <w:szCs w:val="24"/>
              </w:rPr>
            </w:pPr>
            <w:r w:rsidRPr="00FE7240">
              <w:rPr>
                <w:rFonts w:cs="Times New Roman"/>
                <w:szCs w:val="24"/>
              </w:rPr>
              <w:t>4.96</w:t>
            </w:r>
          </w:p>
        </w:tc>
        <w:tc>
          <w:tcPr>
            <w:tcW w:w="1233" w:type="dxa"/>
            <w:shd w:val="clear" w:color="auto" w:fill="FFFFFF" w:themeFill="background1"/>
          </w:tcPr>
          <w:p w14:paraId="490ECFF2" w14:textId="3ED9E85D" w:rsidR="00003820" w:rsidRPr="00FE7240" w:rsidRDefault="007D39DA" w:rsidP="00003820">
            <w:pPr>
              <w:rPr>
                <w:rFonts w:cs="Times New Roman"/>
                <w:szCs w:val="24"/>
              </w:rPr>
            </w:pPr>
            <w:r>
              <w:rPr>
                <w:rFonts w:cs="Times New Roman"/>
                <w:szCs w:val="24"/>
              </w:rPr>
              <w:t xml:space="preserve">      Bad</w:t>
            </w:r>
          </w:p>
        </w:tc>
      </w:tr>
      <w:tr w:rsidR="00003820" w:rsidRPr="00FE7240" w14:paraId="52F8A09A" w14:textId="584C42E4" w:rsidTr="00003820">
        <w:trPr>
          <w:trHeight w:val="657"/>
          <w:jc w:val="center"/>
        </w:trPr>
        <w:tc>
          <w:tcPr>
            <w:tcW w:w="1479" w:type="dxa"/>
            <w:shd w:val="clear" w:color="auto" w:fill="FFFFFF" w:themeFill="background1"/>
          </w:tcPr>
          <w:p w14:paraId="3AFF3DB9" w14:textId="77777777" w:rsidR="00003820" w:rsidRPr="00FE7240" w:rsidRDefault="00003820" w:rsidP="00CF5081">
            <w:pPr>
              <w:jc w:val="center"/>
              <w:rPr>
                <w:rFonts w:cs="Times New Roman"/>
                <w:szCs w:val="24"/>
              </w:rPr>
            </w:pPr>
            <w:r w:rsidRPr="00FE7240">
              <w:rPr>
                <w:rFonts w:cs="Times New Roman"/>
                <w:szCs w:val="24"/>
              </w:rPr>
              <w:t>F</w:t>
            </w:r>
          </w:p>
        </w:tc>
        <w:tc>
          <w:tcPr>
            <w:tcW w:w="1300" w:type="dxa"/>
            <w:shd w:val="clear" w:color="auto" w:fill="FFFFFF" w:themeFill="background1"/>
          </w:tcPr>
          <w:p w14:paraId="6CEFBEE4" w14:textId="3BA88BDE" w:rsidR="00003820" w:rsidRPr="00FE7240" w:rsidRDefault="00003820" w:rsidP="00CF5081">
            <w:pPr>
              <w:jc w:val="center"/>
              <w:rPr>
                <w:rFonts w:cs="Times New Roman"/>
                <w:szCs w:val="24"/>
              </w:rPr>
            </w:pPr>
            <w:r w:rsidRPr="00FE7240">
              <w:rPr>
                <w:rFonts w:cs="Times New Roman"/>
                <w:szCs w:val="24"/>
              </w:rPr>
              <w:t>18.00</w:t>
            </w:r>
          </w:p>
        </w:tc>
        <w:tc>
          <w:tcPr>
            <w:tcW w:w="1560" w:type="dxa"/>
            <w:shd w:val="clear" w:color="auto" w:fill="FFFFFF" w:themeFill="background1"/>
          </w:tcPr>
          <w:p w14:paraId="447B251E" w14:textId="40E9057F" w:rsidR="00003820" w:rsidRPr="00FE7240" w:rsidRDefault="00003820" w:rsidP="00CF5081">
            <w:pPr>
              <w:jc w:val="center"/>
              <w:rPr>
                <w:rFonts w:cs="Times New Roman"/>
                <w:szCs w:val="24"/>
              </w:rPr>
            </w:pPr>
            <w:r w:rsidRPr="00FE7240">
              <w:rPr>
                <w:rFonts w:cs="Times New Roman"/>
                <w:szCs w:val="24"/>
              </w:rPr>
              <w:t>120.00</w:t>
            </w:r>
          </w:p>
        </w:tc>
        <w:tc>
          <w:tcPr>
            <w:tcW w:w="1590" w:type="dxa"/>
            <w:shd w:val="clear" w:color="auto" w:fill="FFFFFF" w:themeFill="background1"/>
          </w:tcPr>
          <w:p w14:paraId="434BC624" w14:textId="71E4CF4C" w:rsidR="00003820" w:rsidRPr="00FE7240" w:rsidRDefault="00003820" w:rsidP="00CF5081">
            <w:pPr>
              <w:jc w:val="center"/>
              <w:rPr>
                <w:rFonts w:cs="Times New Roman"/>
                <w:szCs w:val="24"/>
              </w:rPr>
            </w:pPr>
            <w:r w:rsidRPr="00FE7240">
              <w:rPr>
                <w:rFonts w:cs="Times New Roman"/>
                <w:szCs w:val="24"/>
              </w:rPr>
              <w:t>124.00</w:t>
            </w:r>
          </w:p>
        </w:tc>
        <w:tc>
          <w:tcPr>
            <w:tcW w:w="1243" w:type="dxa"/>
            <w:shd w:val="clear" w:color="auto" w:fill="FFFFFF" w:themeFill="background1"/>
          </w:tcPr>
          <w:p w14:paraId="4CFD2F8A" w14:textId="480DF0FF" w:rsidR="00003820" w:rsidRPr="00FE7240" w:rsidRDefault="00003820" w:rsidP="00CF5081">
            <w:pPr>
              <w:jc w:val="center"/>
              <w:rPr>
                <w:rFonts w:cs="Times New Roman"/>
                <w:szCs w:val="24"/>
              </w:rPr>
            </w:pPr>
            <w:r w:rsidRPr="00FE7240">
              <w:rPr>
                <w:rFonts w:cs="Times New Roman"/>
                <w:szCs w:val="24"/>
              </w:rPr>
              <w:t>0.66</w:t>
            </w:r>
          </w:p>
        </w:tc>
        <w:tc>
          <w:tcPr>
            <w:tcW w:w="1548" w:type="dxa"/>
            <w:shd w:val="clear" w:color="auto" w:fill="FFFFFF" w:themeFill="background1"/>
          </w:tcPr>
          <w:p w14:paraId="2815A085" w14:textId="43C7929C" w:rsidR="00003820" w:rsidRPr="00FE7240" w:rsidRDefault="00003820" w:rsidP="00CF5081">
            <w:pPr>
              <w:jc w:val="center"/>
              <w:rPr>
                <w:rFonts w:cs="Times New Roman"/>
                <w:szCs w:val="24"/>
              </w:rPr>
            </w:pPr>
            <w:r w:rsidRPr="00FE7240">
              <w:rPr>
                <w:rFonts w:cs="Times New Roman"/>
                <w:szCs w:val="24"/>
              </w:rPr>
              <w:t>62.10</w:t>
            </w:r>
          </w:p>
        </w:tc>
        <w:tc>
          <w:tcPr>
            <w:tcW w:w="1525" w:type="dxa"/>
            <w:shd w:val="clear" w:color="auto" w:fill="FFFFFF" w:themeFill="background1"/>
          </w:tcPr>
          <w:p w14:paraId="60BBCA8F" w14:textId="45CBF926" w:rsidR="00003820" w:rsidRPr="00FE7240" w:rsidRDefault="00003820" w:rsidP="00CF5081">
            <w:pPr>
              <w:jc w:val="center"/>
              <w:rPr>
                <w:rFonts w:cs="Times New Roman"/>
                <w:szCs w:val="24"/>
              </w:rPr>
            </w:pPr>
            <w:r w:rsidRPr="00FE7240">
              <w:rPr>
                <w:rFonts w:cs="Times New Roman"/>
                <w:szCs w:val="24"/>
              </w:rPr>
              <w:t>1227.70</w:t>
            </w:r>
          </w:p>
        </w:tc>
        <w:tc>
          <w:tcPr>
            <w:tcW w:w="1404" w:type="dxa"/>
            <w:shd w:val="clear" w:color="auto" w:fill="FFFFFF" w:themeFill="background1"/>
          </w:tcPr>
          <w:p w14:paraId="1F56AB4A" w14:textId="77777777" w:rsidR="00003820" w:rsidRPr="00FE7240" w:rsidRDefault="00003820" w:rsidP="00CF5081">
            <w:pPr>
              <w:jc w:val="center"/>
              <w:rPr>
                <w:rFonts w:cs="Times New Roman"/>
                <w:szCs w:val="24"/>
              </w:rPr>
            </w:pPr>
            <w:r w:rsidRPr="00FE7240">
              <w:rPr>
                <w:rFonts w:cs="Times New Roman"/>
                <w:szCs w:val="24"/>
              </w:rPr>
              <w:t>2.82</w:t>
            </w:r>
          </w:p>
        </w:tc>
        <w:tc>
          <w:tcPr>
            <w:tcW w:w="1233" w:type="dxa"/>
            <w:shd w:val="clear" w:color="auto" w:fill="FFFFFF" w:themeFill="background1"/>
          </w:tcPr>
          <w:p w14:paraId="5AF5F978" w14:textId="77777777" w:rsidR="00003820" w:rsidRPr="00FE7240" w:rsidRDefault="00003820" w:rsidP="00CF5081">
            <w:pPr>
              <w:jc w:val="center"/>
              <w:rPr>
                <w:rFonts w:cs="Times New Roman"/>
                <w:szCs w:val="24"/>
              </w:rPr>
            </w:pPr>
            <w:r w:rsidRPr="00FE7240">
              <w:rPr>
                <w:rFonts w:cs="Times New Roman"/>
                <w:szCs w:val="24"/>
              </w:rPr>
              <w:t>Yes</w:t>
            </w:r>
          </w:p>
        </w:tc>
        <w:tc>
          <w:tcPr>
            <w:tcW w:w="1233" w:type="dxa"/>
            <w:shd w:val="clear" w:color="auto" w:fill="FFFFFF" w:themeFill="background1"/>
          </w:tcPr>
          <w:p w14:paraId="2970444A" w14:textId="77777777" w:rsidR="00003820" w:rsidRPr="00FE7240" w:rsidRDefault="00003820" w:rsidP="00CF5081">
            <w:pPr>
              <w:jc w:val="center"/>
              <w:rPr>
                <w:rFonts w:cs="Times New Roman"/>
                <w:szCs w:val="24"/>
              </w:rPr>
            </w:pPr>
            <w:r w:rsidRPr="00FE7240">
              <w:rPr>
                <w:rFonts w:cs="Times New Roman"/>
                <w:szCs w:val="24"/>
              </w:rPr>
              <w:t>6.11</w:t>
            </w:r>
          </w:p>
        </w:tc>
        <w:tc>
          <w:tcPr>
            <w:tcW w:w="1233" w:type="dxa"/>
            <w:shd w:val="clear" w:color="auto" w:fill="FFFFFF" w:themeFill="background1"/>
          </w:tcPr>
          <w:p w14:paraId="00AF05B7" w14:textId="0F88980C" w:rsidR="00003820" w:rsidRPr="00FE7240" w:rsidRDefault="00003820" w:rsidP="00CF5081">
            <w:pPr>
              <w:jc w:val="center"/>
              <w:rPr>
                <w:rFonts w:cs="Times New Roman"/>
                <w:szCs w:val="24"/>
              </w:rPr>
            </w:pPr>
            <w:r>
              <w:rPr>
                <w:rFonts w:cs="Times New Roman"/>
                <w:szCs w:val="24"/>
              </w:rPr>
              <w:t>Good</w:t>
            </w:r>
          </w:p>
        </w:tc>
      </w:tr>
      <w:tr w:rsidR="00003820" w:rsidRPr="00FE7240" w14:paraId="326094CA" w14:textId="557AEBA3" w:rsidTr="00003820">
        <w:trPr>
          <w:trHeight w:val="689"/>
          <w:jc w:val="center"/>
        </w:trPr>
        <w:tc>
          <w:tcPr>
            <w:tcW w:w="1479" w:type="dxa"/>
            <w:shd w:val="clear" w:color="auto" w:fill="FFFFFF" w:themeFill="background1"/>
          </w:tcPr>
          <w:p w14:paraId="273605FE" w14:textId="77777777" w:rsidR="00003820" w:rsidRPr="00FE7240" w:rsidRDefault="00003820" w:rsidP="00CF5081">
            <w:pPr>
              <w:jc w:val="center"/>
              <w:rPr>
                <w:rFonts w:cs="Times New Roman"/>
                <w:szCs w:val="24"/>
              </w:rPr>
            </w:pPr>
            <w:r w:rsidRPr="00FE7240">
              <w:rPr>
                <w:rFonts w:cs="Times New Roman"/>
                <w:szCs w:val="24"/>
              </w:rPr>
              <w:t>G</w:t>
            </w:r>
          </w:p>
        </w:tc>
        <w:tc>
          <w:tcPr>
            <w:tcW w:w="1300" w:type="dxa"/>
            <w:shd w:val="clear" w:color="auto" w:fill="FFFFFF" w:themeFill="background1"/>
          </w:tcPr>
          <w:p w14:paraId="5E90B724" w14:textId="113B7F6B" w:rsidR="00003820" w:rsidRPr="00FE7240" w:rsidRDefault="00003820" w:rsidP="00CF5081">
            <w:pPr>
              <w:jc w:val="center"/>
              <w:rPr>
                <w:rFonts w:cs="Times New Roman"/>
                <w:szCs w:val="24"/>
              </w:rPr>
            </w:pPr>
            <w:r w:rsidRPr="00FE7240">
              <w:rPr>
                <w:rFonts w:cs="Times New Roman"/>
                <w:szCs w:val="24"/>
              </w:rPr>
              <w:t>18.00</w:t>
            </w:r>
          </w:p>
        </w:tc>
        <w:tc>
          <w:tcPr>
            <w:tcW w:w="1560" w:type="dxa"/>
            <w:shd w:val="clear" w:color="auto" w:fill="FFFFFF" w:themeFill="background1"/>
          </w:tcPr>
          <w:p w14:paraId="70CEC00F" w14:textId="204F3697" w:rsidR="00003820" w:rsidRPr="00FE7240" w:rsidRDefault="00003820" w:rsidP="00CF5081">
            <w:pPr>
              <w:jc w:val="center"/>
              <w:rPr>
                <w:rFonts w:cs="Times New Roman"/>
                <w:szCs w:val="24"/>
              </w:rPr>
            </w:pPr>
            <w:r w:rsidRPr="00FE7240">
              <w:rPr>
                <w:rFonts w:cs="Times New Roman"/>
                <w:szCs w:val="24"/>
              </w:rPr>
              <w:t>100.00</w:t>
            </w:r>
          </w:p>
        </w:tc>
        <w:tc>
          <w:tcPr>
            <w:tcW w:w="1590" w:type="dxa"/>
            <w:shd w:val="clear" w:color="auto" w:fill="FFFFFF" w:themeFill="background1"/>
          </w:tcPr>
          <w:p w14:paraId="46AAF370" w14:textId="1F45ADAA" w:rsidR="00003820" w:rsidRPr="00FE7240" w:rsidRDefault="00003820" w:rsidP="00CF5081">
            <w:pPr>
              <w:jc w:val="center"/>
              <w:rPr>
                <w:rFonts w:cs="Times New Roman"/>
                <w:szCs w:val="24"/>
              </w:rPr>
            </w:pPr>
            <w:r w:rsidRPr="00FE7240">
              <w:rPr>
                <w:rFonts w:cs="Times New Roman"/>
                <w:szCs w:val="24"/>
              </w:rPr>
              <w:t>191.00</w:t>
            </w:r>
          </w:p>
        </w:tc>
        <w:tc>
          <w:tcPr>
            <w:tcW w:w="1243" w:type="dxa"/>
            <w:shd w:val="clear" w:color="auto" w:fill="FFFFFF" w:themeFill="background1"/>
          </w:tcPr>
          <w:p w14:paraId="2749F06C" w14:textId="67E2CA4A" w:rsidR="00003820" w:rsidRPr="00FE7240" w:rsidRDefault="00003820" w:rsidP="00CF5081">
            <w:pPr>
              <w:jc w:val="center"/>
              <w:rPr>
                <w:rFonts w:cs="Times New Roman"/>
                <w:szCs w:val="24"/>
              </w:rPr>
            </w:pPr>
            <w:r w:rsidRPr="00FE7240">
              <w:rPr>
                <w:rFonts w:cs="Times New Roman"/>
                <w:szCs w:val="24"/>
              </w:rPr>
              <w:t>0.66</w:t>
            </w:r>
          </w:p>
        </w:tc>
        <w:tc>
          <w:tcPr>
            <w:tcW w:w="1548" w:type="dxa"/>
            <w:shd w:val="clear" w:color="auto" w:fill="FFFFFF" w:themeFill="background1"/>
          </w:tcPr>
          <w:p w14:paraId="5A9925D1" w14:textId="5A503CB8" w:rsidR="00003820" w:rsidRPr="00FE7240" w:rsidRDefault="00003820" w:rsidP="00CF5081">
            <w:pPr>
              <w:jc w:val="center"/>
              <w:rPr>
                <w:rFonts w:cs="Times New Roman"/>
                <w:szCs w:val="24"/>
              </w:rPr>
            </w:pPr>
            <w:r w:rsidRPr="00FE7240">
              <w:rPr>
                <w:rFonts w:cs="Times New Roman"/>
                <w:szCs w:val="24"/>
              </w:rPr>
              <w:t>59.50</w:t>
            </w:r>
          </w:p>
        </w:tc>
        <w:tc>
          <w:tcPr>
            <w:tcW w:w="1525" w:type="dxa"/>
            <w:shd w:val="clear" w:color="auto" w:fill="FFFFFF" w:themeFill="background1"/>
          </w:tcPr>
          <w:p w14:paraId="404CA0D0" w14:textId="3D2207D6" w:rsidR="00003820" w:rsidRPr="00FE7240" w:rsidRDefault="00003820" w:rsidP="00CF5081">
            <w:pPr>
              <w:jc w:val="center"/>
              <w:rPr>
                <w:rFonts w:cs="Times New Roman"/>
                <w:szCs w:val="24"/>
              </w:rPr>
            </w:pPr>
            <w:r w:rsidRPr="00FE7240">
              <w:rPr>
                <w:rFonts w:cs="Times New Roman"/>
                <w:szCs w:val="24"/>
              </w:rPr>
              <w:t>1176.00</w:t>
            </w:r>
          </w:p>
        </w:tc>
        <w:tc>
          <w:tcPr>
            <w:tcW w:w="1404" w:type="dxa"/>
            <w:shd w:val="clear" w:color="auto" w:fill="FFFFFF" w:themeFill="background1"/>
          </w:tcPr>
          <w:p w14:paraId="56C215E4" w14:textId="0BAE5875" w:rsidR="00003820" w:rsidRPr="00FE7240" w:rsidRDefault="00003820" w:rsidP="00CF5081">
            <w:pPr>
              <w:jc w:val="center"/>
              <w:rPr>
                <w:rFonts w:cs="Times New Roman"/>
                <w:szCs w:val="24"/>
              </w:rPr>
            </w:pPr>
            <w:r w:rsidRPr="00FE7240">
              <w:rPr>
                <w:rFonts w:cs="Times New Roman"/>
                <w:szCs w:val="24"/>
              </w:rPr>
              <w:t>2.70</w:t>
            </w:r>
          </w:p>
        </w:tc>
        <w:tc>
          <w:tcPr>
            <w:tcW w:w="1233" w:type="dxa"/>
            <w:shd w:val="clear" w:color="auto" w:fill="FFFFFF" w:themeFill="background1"/>
          </w:tcPr>
          <w:p w14:paraId="6ECEACDC" w14:textId="77777777" w:rsidR="00003820" w:rsidRPr="00FE7240" w:rsidRDefault="00003820" w:rsidP="00CF5081">
            <w:pPr>
              <w:jc w:val="center"/>
              <w:rPr>
                <w:rFonts w:cs="Times New Roman"/>
                <w:szCs w:val="24"/>
              </w:rPr>
            </w:pPr>
            <w:r w:rsidRPr="00FE7240">
              <w:rPr>
                <w:rFonts w:cs="Times New Roman"/>
                <w:szCs w:val="24"/>
              </w:rPr>
              <w:t>Yes</w:t>
            </w:r>
          </w:p>
        </w:tc>
        <w:tc>
          <w:tcPr>
            <w:tcW w:w="1233" w:type="dxa"/>
            <w:shd w:val="clear" w:color="auto" w:fill="FFFFFF" w:themeFill="background1"/>
          </w:tcPr>
          <w:p w14:paraId="09CA5662" w14:textId="77777777" w:rsidR="00003820" w:rsidRPr="00FE7240" w:rsidRDefault="00003820" w:rsidP="00CF5081">
            <w:pPr>
              <w:jc w:val="center"/>
              <w:rPr>
                <w:rFonts w:cs="Times New Roman"/>
                <w:szCs w:val="24"/>
              </w:rPr>
            </w:pPr>
            <w:r w:rsidRPr="00FE7240">
              <w:rPr>
                <w:rFonts w:cs="Times New Roman"/>
                <w:szCs w:val="24"/>
              </w:rPr>
              <w:t>5.62</w:t>
            </w:r>
          </w:p>
        </w:tc>
        <w:tc>
          <w:tcPr>
            <w:tcW w:w="1233" w:type="dxa"/>
            <w:shd w:val="clear" w:color="auto" w:fill="FFFFFF" w:themeFill="background1"/>
          </w:tcPr>
          <w:p w14:paraId="67AEA1DB" w14:textId="2E931FD6" w:rsidR="00003820" w:rsidRPr="00FE7240" w:rsidRDefault="007D39DA" w:rsidP="00CF5081">
            <w:pPr>
              <w:jc w:val="center"/>
              <w:rPr>
                <w:rFonts w:cs="Times New Roman"/>
                <w:szCs w:val="24"/>
              </w:rPr>
            </w:pPr>
            <w:r>
              <w:rPr>
                <w:rFonts w:cs="Times New Roman"/>
                <w:szCs w:val="24"/>
              </w:rPr>
              <w:t>Good</w:t>
            </w:r>
          </w:p>
        </w:tc>
      </w:tr>
      <w:tr w:rsidR="00003820" w:rsidRPr="00FE7240" w14:paraId="625F2EE9" w14:textId="31844B77" w:rsidTr="00003820">
        <w:trPr>
          <w:trHeight w:val="419"/>
          <w:jc w:val="center"/>
        </w:trPr>
        <w:tc>
          <w:tcPr>
            <w:tcW w:w="1479" w:type="dxa"/>
            <w:tcBorders>
              <w:bottom w:val="triple" w:sz="4" w:space="0" w:color="auto"/>
            </w:tcBorders>
            <w:shd w:val="clear" w:color="auto" w:fill="FFFFFF" w:themeFill="background1"/>
          </w:tcPr>
          <w:p w14:paraId="3E38E326" w14:textId="77777777" w:rsidR="00003820" w:rsidRPr="00FE7240" w:rsidRDefault="00003820" w:rsidP="00CF5081">
            <w:pPr>
              <w:jc w:val="center"/>
              <w:rPr>
                <w:rFonts w:cs="Times New Roman"/>
                <w:szCs w:val="24"/>
              </w:rPr>
            </w:pPr>
            <w:r w:rsidRPr="00FE7240">
              <w:rPr>
                <w:rFonts w:cs="Times New Roman"/>
                <w:szCs w:val="24"/>
              </w:rPr>
              <w:t>H</w:t>
            </w:r>
          </w:p>
        </w:tc>
        <w:tc>
          <w:tcPr>
            <w:tcW w:w="1300" w:type="dxa"/>
            <w:tcBorders>
              <w:bottom w:val="triple" w:sz="4" w:space="0" w:color="auto"/>
            </w:tcBorders>
            <w:shd w:val="clear" w:color="auto" w:fill="FFFFFF" w:themeFill="background1"/>
          </w:tcPr>
          <w:p w14:paraId="276EF383" w14:textId="37C0E5BD" w:rsidR="00003820" w:rsidRPr="00FE7240" w:rsidRDefault="00003820" w:rsidP="00CF5081">
            <w:pPr>
              <w:jc w:val="center"/>
              <w:rPr>
                <w:rFonts w:cs="Times New Roman"/>
                <w:szCs w:val="24"/>
              </w:rPr>
            </w:pPr>
            <w:r w:rsidRPr="00FE7240">
              <w:rPr>
                <w:rFonts w:cs="Times New Roman"/>
                <w:szCs w:val="24"/>
              </w:rPr>
              <w:t>18.00</w:t>
            </w:r>
          </w:p>
        </w:tc>
        <w:tc>
          <w:tcPr>
            <w:tcW w:w="1560" w:type="dxa"/>
            <w:tcBorders>
              <w:bottom w:val="triple" w:sz="4" w:space="0" w:color="auto"/>
            </w:tcBorders>
            <w:shd w:val="clear" w:color="auto" w:fill="FFFFFF" w:themeFill="background1"/>
          </w:tcPr>
          <w:p w14:paraId="66809FBC" w14:textId="3F814CB1" w:rsidR="00003820" w:rsidRPr="00FE7240" w:rsidRDefault="00003820" w:rsidP="00CF5081">
            <w:pPr>
              <w:jc w:val="center"/>
              <w:rPr>
                <w:rFonts w:cs="Times New Roman"/>
                <w:szCs w:val="24"/>
              </w:rPr>
            </w:pPr>
            <w:r w:rsidRPr="00FE7240">
              <w:rPr>
                <w:rFonts w:cs="Times New Roman"/>
                <w:szCs w:val="24"/>
              </w:rPr>
              <w:t>80.00</w:t>
            </w:r>
          </w:p>
        </w:tc>
        <w:tc>
          <w:tcPr>
            <w:tcW w:w="1590" w:type="dxa"/>
            <w:tcBorders>
              <w:bottom w:val="triple" w:sz="4" w:space="0" w:color="auto"/>
            </w:tcBorders>
            <w:shd w:val="clear" w:color="auto" w:fill="FFFFFF" w:themeFill="background1"/>
          </w:tcPr>
          <w:p w14:paraId="6F7CE382" w14:textId="6681BF27" w:rsidR="00003820" w:rsidRPr="00FE7240" w:rsidRDefault="00003820" w:rsidP="00CF5081">
            <w:pPr>
              <w:jc w:val="center"/>
              <w:rPr>
                <w:rFonts w:cs="Times New Roman"/>
                <w:szCs w:val="24"/>
              </w:rPr>
            </w:pPr>
            <w:r w:rsidRPr="00FE7240">
              <w:rPr>
                <w:rFonts w:cs="Times New Roman"/>
                <w:szCs w:val="24"/>
              </w:rPr>
              <w:t>315.00</w:t>
            </w:r>
          </w:p>
        </w:tc>
        <w:tc>
          <w:tcPr>
            <w:tcW w:w="1243" w:type="dxa"/>
            <w:tcBorders>
              <w:bottom w:val="triple" w:sz="4" w:space="0" w:color="auto"/>
            </w:tcBorders>
            <w:shd w:val="clear" w:color="auto" w:fill="FFFFFF" w:themeFill="background1"/>
          </w:tcPr>
          <w:p w14:paraId="2530E7DE" w14:textId="03451C1B" w:rsidR="00003820" w:rsidRPr="00FE7240" w:rsidRDefault="00003820" w:rsidP="00CF5081">
            <w:pPr>
              <w:jc w:val="center"/>
              <w:rPr>
                <w:rFonts w:cs="Times New Roman"/>
                <w:szCs w:val="24"/>
              </w:rPr>
            </w:pPr>
            <w:r w:rsidRPr="00FE7240">
              <w:rPr>
                <w:rFonts w:cs="Times New Roman"/>
                <w:szCs w:val="24"/>
              </w:rPr>
              <w:t>0.66</w:t>
            </w:r>
          </w:p>
        </w:tc>
        <w:tc>
          <w:tcPr>
            <w:tcW w:w="1548" w:type="dxa"/>
            <w:tcBorders>
              <w:bottom w:val="triple" w:sz="4" w:space="0" w:color="auto"/>
            </w:tcBorders>
            <w:shd w:val="clear" w:color="auto" w:fill="FFFFFF" w:themeFill="background1"/>
          </w:tcPr>
          <w:p w14:paraId="603BEA04" w14:textId="533634B6" w:rsidR="00003820" w:rsidRPr="00FE7240" w:rsidRDefault="00003820" w:rsidP="00CF5081">
            <w:pPr>
              <w:jc w:val="center"/>
              <w:rPr>
                <w:rFonts w:cs="Times New Roman"/>
                <w:szCs w:val="24"/>
              </w:rPr>
            </w:pPr>
            <w:r w:rsidRPr="00FE7240">
              <w:rPr>
                <w:rFonts w:cs="Times New Roman"/>
                <w:szCs w:val="24"/>
              </w:rPr>
              <w:t>39.40</w:t>
            </w:r>
          </w:p>
        </w:tc>
        <w:tc>
          <w:tcPr>
            <w:tcW w:w="1525" w:type="dxa"/>
            <w:tcBorders>
              <w:bottom w:val="triple" w:sz="4" w:space="0" w:color="auto"/>
            </w:tcBorders>
            <w:shd w:val="clear" w:color="auto" w:fill="FFFFFF" w:themeFill="background1"/>
          </w:tcPr>
          <w:p w14:paraId="758D8865" w14:textId="5D937F32" w:rsidR="00003820" w:rsidRPr="00FE7240" w:rsidRDefault="00003820" w:rsidP="00CF5081">
            <w:pPr>
              <w:jc w:val="center"/>
              <w:rPr>
                <w:rFonts w:cs="Times New Roman"/>
                <w:szCs w:val="24"/>
              </w:rPr>
            </w:pPr>
            <w:r w:rsidRPr="00FE7240">
              <w:rPr>
                <w:rFonts w:cs="Times New Roman"/>
                <w:szCs w:val="24"/>
              </w:rPr>
              <w:t>778.80</w:t>
            </w:r>
          </w:p>
        </w:tc>
        <w:tc>
          <w:tcPr>
            <w:tcW w:w="1404" w:type="dxa"/>
            <w:tcBorders>
              <w:bottom w:val="triple" w:sz="4" w:space="0" w:color="auto"/>
            </w:tcBorders>
            <w:shd w:val="clear" w:color="auto" w:fill="FFFFFF" w:themeFill="background1"/>
          </w:tcPr>
          <w:p w14:paraId="51B68EF0" w14:textId="77777777" w:rsidR="00003820" w:rsidRPr="00FE7240" w:rsidRDefault="00003820" w:rsidP="00CF5081">
            <w:pPr>
              <w:jc w:val="center"/>
              <w:rPr>
                <w:rFonts w:cs="Times New Roman"/>
                <w:szCs w:val="24"/>
              </w:rPr>
            </w:pPr>
            <w:r w:rsidRPr="00FE7240">
              <w:rPr>
                <w:rFonts w:cs="Times New Roman"/>
                <w:szCs w:val="24"/>
              </w:rPr>
              <w:t>1.79</w:t>
            </w:r>
          </w:p>
        </w:tc>
        <w:tc>
          <w:tcPr>
            <w:tcW w:w="1233" w:type="dxa"/>
            <w:tcBorders>
              <w:bottom w:val="triple" w:sz="4" w:space="0" w:color="auto"/>
            </w:tcBorders>
            <w:shd w:val="clear" w:color="auto" w:fill="FFFFFF" w:themeFill="background1"/>
          </w:tcPr>
          <w:p w14:paraId="63967DF4" w14:textId="77777777" w:rsidR="00003820" w:rsidRPr="00FE7240" w:rsidRDefault="00003820" w:rsidP="00CF5081">
            <w:pPr>
              <w:jc w:val="center"/>
              <w:rPr>
                <w:rFonts w:cs="Times New Roman"/>
                <w:szCs w:val="24"/>
              </w:rPr>
            </w:pPr>
            <w:r w:rsidRPr="00FE7240">
              <w:rPr>
                <w:rFonts w:cs="Times New Roman"/>
                <w:szCs w:val="24"/>
              </w:rPr>
              <w:t>Yes</w:t>
            </w:r>
          </w:p>
        </w:tc>
        <w:tc>
          <w:tcPr>
            <w:tcW w:w="1233" w:type="dxa"/>
            <w:tcBorders>
              <w:bottom w:val="triple" w:sz="4" w:space="0" w:color="auto"/>
            </w:tcBorders>
            <w:shd w:val="clear" w:color="auto" w:fill="FFFFFF" w:themeFill="background1"/>
          </w:tcPr>
          <w:p w14:paraId="1F6AE1A5" w14:textId="77777777" w:rsidR="00003820" w:rsidRPr="00FE7240" w:rsidRDefault="00003820" w:rsidP="00CF5081">
            <w:pPr>
              <w:jc w:val="center"/>
              <w:rPr>
                <w:rFonts w:cs="Times New Roman"/>
                <w:szCs w:val="24"/>
              </w:rPr>
            </w:pPr>
            <w:r w:rsidRPr="00FE7240">
              <w:rPr>
                <w:rFonts w:cs="Times New Roman"/>
                <w:szCs w:val="24"/>
              </w:rPr>
              <w:t>4.63</w:t>
            </w:r>
          </w:p>
        </w:tc>
        <w:tc>
          <w:tcPr>
            <w:tcW w:w="1233" w:type="dxa"/>
            <w:tcBorders>
              <w:bottom w:val="triple" w:sz="4" w:space="0" w:color="auto"/>
            </w:tcBorders>
            <w:shd w:val="clear" w:color="auto" w:fill="FFFFFF" w:themeFill="background1"/>
          </w:tcPr>
          <w:p w14:paraId="3B4FE634" w14:textId="2281E589" w:rsidR="00003820" w:rsidRPr="00FE7240" w:rsidRDefault="007D39DA" w:rsidP="00CF5081">
            <w:pPr>
              <w:jc w:val="center"/>
              <w:rPr>
                <w:rFonts w:cs="Times New Roman"/>
                <w:szCs w:val="24"/>
              </w:rPr>
            </w:pPr>
            <w:r>
              <w:rPr>
                <w:rFonts w:cs="Times New Roman"/>
                <w:szCs w:val="24"/>
              </w:rPr>
              <w:t>Bad</w:t>
            </w:r>
          </w:p>
        </w:tc>
      </w:tr>
      <w:bookmarkEnd w:id="6"/>
    </w:tbl>
    <w:p w14:paraId="183293D1" w14:textId="464068B4" w:rsidR="005D1DA7" w:rsidRPr="00FE7240" w:rsidRDefault="005D1DA7" w:rsidP="005D1DA7">
      <w:pPr>
        <w:spacing w:line="480" w:lineRule="auto"/>
        <w:rPr>
          <w:rFonts w:cs="Times New Roman"/>
          <w:szCs w:val="24"/>
        </w:rPr>
        <w:sectPr w:rsidR="005D1DA7" w:rsidRPr="00FE7240" w:rsidSect="006E1D0A">
          <w:footerReference w:type="default" r:id="rId11"/>
          <w:pgSz w:w="16838" w:h="11906" w:orient="landscape"/>
          <w:pgMar w:top="1440" w:right="1440" w:bottom="1440" w:left="1440" w:header="706" w:footer="706" w:gutter="0"/>
          <w:cols w:space="708"/>
          <w:docGrid w:linePitch="360"/>
        </w:sectPr>
      </w:pPr>
    </w:p>
    <w:p w14:paraId="6A8B1504" w14:textId="04D84472" w:rsidR="00122E52" w:rsidRDefault="0042736E" w:rsidP="0042736E">
      <w:pPr>
        <w:pStyle w:val="Heading2"/>
        <w:spacing w:before="0" w:after="0" w:line="480" w:lineRule="auto"/>
        <w:rPr>
          <w:rStyle w:val="FooterChar"/>
          <w:b w:val="0"/>
          <w:bCs/>
        </w:rPr>
      </w:pPr>
      <w:bookmarkStart w:id="8" w:name="_Toc82774837"/>
      <w:r w:rsidRPr="00FE7240">
        <w:rPr>
          <w:rStyle w:val="FooterChar"/>
          <w:b w:val="0"/>
          <w:bCs/>
        </w:rPr>
        <w:t xml:space="preserve">A comparison of </w:t>
      </w:r>
      <w:r w:rsidR="009C04F5">
        <w:rPr>
          <w:rStyle w:val="FooterChar"/>
          <w:b w:val="0"/>
          <w:bCs/>
        </w:rPr>
        <w:t xml:space="preserve">DLP and SNR as well as </w:t>
      </w:r>
      <w:r w:rsidRPr="00FE7240">
        <w:rPr>
          <w:rStyle w:val="FooterChar"/>
          <w:b w:val="0"/>
          <w:bCs/>
        </w:rPr>
        <w:t xml:space="preserve">the </w:t>
      </w:r>
      <w:proofErr w:type="spellStart"/>
      <w:proofErr w:type="gramStart"/>
      <w:r w:rsidRPr="00FE7240">
        <w:rPr>
          <w:rFonts w:cs="Times New Roman"/>
          <w:b w:val="0"/>
          <w:i/>
          <w:szCs w:val="24"/>
        </w:rPr>
        <w:t>D</w:t>
      </w:r>
      <w:r w:rsidRPr="00FE7240">
        <w:rPr>
          <w:rFonts w:cs="Times New Roman"/>
          <w:b w:val="0"/>
          <w:i/>
          <w:szCs w:val="24"/>
          <w:vertAlign w:val="subscript"/>
        </w:rPr>
        <w:t>eff</w:t>
      </w:r>
      <w:proofErr w:type="spellEnd"/>
      <w:r w:rsidR="007C53C0">
        <w:rPr>
          <w:rFonts w:cs="Times New Roman"/>
          <w:b w:val="0"/>
          <w:i/>
          <w:szCs w:val="24"/>
          <w:vertAlign w:val="subscript"/>
        </w:rPr>
        <w:t xml:space="preserve">  </w:t>
      </w:r>
      <w:r w:rsidRPr="00FE7240">
        <w:rPr>
          <w:rFonts w:cs="Times New Roman"/>
          <w:b w:val="0"/>
          <w:szCs w:val="24"/>
        </w:rPr>
        <w:t>and</w:t>
      </w:r>
      <w:proofErr w:type="gramEnd"/>
      <w:r w:rsidRPr="00FE7240">
        <w:rPr>
          <w:rFonts w:cs="Times New Roman"/>
          <w:b w:val="0"/>
          <w:szCs w:val="24"/>
        </w:rPr>
        <w:t xml:space="preserve"> SNR of </w:t>
      </w:r>
      <w:proofErr w:type="spellStart"/>
      <w:r w:rsidRPr="00FE7240">
        <w:rPr>
          <w:rFonts w:cs="Times New Roman"/>
          <w:b w:val="0"/>
          <w:szCs w:val="24"/>
        </w:rPr>
        <w:t>the</w:t>
      </w:r>
      <w:r w:rsidR="009C04F5">
        <w:rPr>
          <w:rFonts w:cs="Times New Roman"/>
          <w:b w:val="0"/>
          <w:szCs w:val="24"/>
        </w:rPr>
        <w:t>various</w:t>
      </w:r>
      <w:proofErr w:type="spellEnd"/>
      <w:r w:rsidR="009C04F5">
        <w:rPr>
          <w:rFonts w:cs="Times New Roman"/>
          <w:b w:val="0"/>
          <w:szCs w:val="24"/>
        </w:rPr>
        <w:t xml:space="preserve"> </w:t>
      </w:r>
      <w:r w:rsidR="005B304A">
        <w:rPr>
          <w:rFonts w:cs="Times New Roman"/>
          <w:b w:val="0"/>
          <w:szCs w:val="24"/>
        </w:rPr>
        <w:t>studie</w:t>
      </w:r>
      <w:r w:rsidR="00952E3D">
        <w:rPr>
          <w:rFonts w:cs="Times New Roman"/>
          <w:b w:val="0"/>
          <w:szCs w:val="24"/>
        </w:rPr>
        <w:t>d</w:t>
      </w:r>
      <w:r w:rsidR="005B304A">
        <w:rPr>
          <w:rFonts w:cs="Times New Roman"/>
          <w:b w:val="0"/>
          <w:szCs w:val="24"/>
        </w:rPr>
        <w:t xml:space="preserve"> </w:t>
      </w:r>
      <w:r w:rsidRPr="00FE7240">
        <w:rPr>
          <w:rFonts w:cs="Times New Roman"/>
          <w:b w:val="0"/>
          <w:szCs w:val="24"/>
        </w:rPr>
        <w:t>protocols</w:t>
      </w:r>
      <w:r w:rsidRPr="00FE7240">
        <w:rPr>
          <w:rFonts w:cs="Times New Roman"/>
          <w:szCs w:val="24"/>
        </w:rPr>
        <w:t xml:space="preserve"> </w:t>
      </w:r>
      <w:r w:rsidRPr="00FE7240">
        <w:rPr>
          <w:rStyle w:val="FooterChar"/>
          <w:b w:val="0"/>
          <w:bCs/>
        </w:rPr>
        <w:t xml:space="preserve">for head </w:t>
      </w:r>
      <w:r w:rsidR="006E1D0A" w:rsidRPr="00FE7240">
        <w:rPr>
          <w:rStyle w:val="FooterChar"/>
          <w:b w:val="0"/>
          <w:bCs/>
        </w:rPr>
        <w:t>CT</w:t>
      </w:r>
      <w:bookmarkEnd w:id="8"/>
      <w:r w:rsidRPr="00FE7240">
        <w:rPr>
          <w:rStyle w:val="FooterChar"/>
          <w:b w:val="0"/>
          <w:bCs/>
        </w:rPr>
        <w:t xml:space="preserve"> i</w:t>
      </w:r>
      <w:r w:rsidR="006E1D0A" w:rsidRPr="00FE7240">
        <w:rPr>
          <w:rStyle w:val="FooterChar"/>
          <w:b w:val="0"/>
          <w:bCs/>
        </w:rPr>
        <w:t>maging</w:t>
      </w:r>
      <w:r w:rsidR="005B304A">
        <w:rPr>
          <w:rStyle w:val="FooterChar"/>
          <w:b w:val="0"/>
          <w:bCs/>
        </w:rPr>
        <w:t xml:space="preserve"> are presented in Figures 2 and 3 and</w:t>
      </w:r>
      <w:r w:rsidRPr="00FE7240">
        <w:rPr>
          <w:rStyle w:val="FooterChar"/>
          <w:b w:val="0"/>
          <w:bCs/>
        </w:rPr>
        <w:t xml:space="preserve"> </w:t>
      </w:r>
      <w:r w:rsidRPr="00FE7240">
        <w:rPr>
          <w:rFonts w:cs="Times New Roman"/>
          <w:b w:val="0"/>
          <w:szCs w:val="24"/>
        </w:rPr>
        <w:t>showed that 5 out of 8 phantom images (Images A, B, C, F</w:t>
      </w:r>
      <w:r w:rsidR="007C53C0">
        <w:rPr>
          <w:rFonts w:cs="Times New Roman"/>
          <w:b w:val="0"/>
          <w:szCs w:val="24"/>
        </w:rPr>
        <w:t>,</w:t>
      </w:r>
      <w:r w:rsidRPr="00FE7240">
        <w:rPr>
          <w:rFonts w:cs="Times New Roman"/>
          <w:b w:val="0"/>
          <w:szCs w:val="24"/>
        </w:rPr>
        <w:t xml:space="preserve"> and H) satisfied the Rose </w:t>
      </w:r>
      <w:r w:rsidR="00C12A2D">
        <w:rPr>
          <w:rFonts w:cs="Times New Roman"/>
          <w:b w:val="0"/>
          <w:szCs w:val="24"/>
        </w:rPr>
        <w:t>model’s</w:t>
      </w:r>
      <w:r w:rsidRPr="00FE7240">
        <w:rPr>
          <w:rFonts w:cs="Times New Roman"/>
          <w:b w:val="0"/>
          <w:szCs w:val="24"/>
        </w:rPr>
        <w:t xml:space="preserve"> </w:t>
      </w:r>
      <w:r w:rsidR="00C12A2D">
        <w:rPr>
          <w:rFonts w:cs="Times New Roman"/>
          <w:b w:val="0"/>
          <w:szCs w:val="24"/>
        </w:rPr>
        <w:t>acceptance</w:t>
      </w:r>
      <w:r w:rsidRPr="00FE7240">
        <w:rPr>
          <w:rFonts w:cs="Times New Roman"/>
          <w:b w:val="0"/>
          <w:szCs w:val="24"/>
        </w:rPr>
        <w:t xml:space="preserve"> criteria for good image quality</w:t>
      </w:r>
      <w:r w:rsidRPr="00FE7240">
        <w:rPr>
          <w:rStyle w:val="FooterChar"/>
          <w:b w:val="0"/>
          <w:bCs/>
        </w:rPr>
        <w:t>.</w:t>
      </w:r>
    </w:p>
    <w:p w14:paraId="1BC2401B" w14:textId="0EEA5C9A" w:rsidR="00A75B05" w:rsidRPr="009C04F5" w:rsidRDefault="00A75B05" w:rsidP="009C04F5">
      <w:pPr>
        <w:jc w:val="center"/>
      </w:pPr>
    </w:p>
    <w:p w14:paraId="4D1274F6" w14:textId="04DAC021" w:rsidR="005A120C" w:rsidRDefault="009C04F5" w:rsidP="009C04F5">
      <w:pPr>
        <w:jc w:val="center"/>
        <w:rPr>
          <w:rFonts w:cs="Times New Roman"/>
          <w:szCs w:val="24"/>
        </w:rPr>
      </w:pPr>
      <w:r>
        <w:rPr>
          <w:noProof/>
        </w:rPr>
        <w:drawing>
          <wp:inline distT="0" distB="0" distL="0" distR="0" wp14:anchorId="6F9494D6" wp14:editId="34CD25E8">
            <wp:extent cx="5210175" cy="2971800"/>
            <wp:effectExtent l="0" t="0" r="9525" b="0"/>
            <wp:docPr id="3" name="Chart 3">
              <a:extLst xmlns:a="http://schemas.openxmlformats.org/drawingml/2006/main">
                <a:ext uri="{FF2B5EF4-FFF2-40B4-BE49-F238E27FC236}">
                  <a16:creationId xmlns:a16="http://schemas.microsoft.com/office/drawing/2014/main" id="{D437A29D-AD45-5777-A26C-BEFA9E6D0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B04CF5" w14:textId="3A83891E" w:rsidR="00EF580E" w:rsidRPr="00550D21" w:rsidRDefault="00EF580E" w:rsidP="00550D21">
      <w:pPr>
        <w:spacing w:line="480" w:lineRule="auto"/>
        <w:rPr>
          <w:rFonts w:cs="Times New Roman"/>
          <w:szCs w:val="24"/>
        </w:rPr>
      </w:pPr>
      <w:bookmarkStart w:id="9" w:name="_Hlk120139555"/>
      <w:r>
        <w:rPr>
          <w:rFonts w:cs="Times New Roman"/>
          <w:szCs w:val="24"/>
        </w:rPr>
        <w:t xml:space="preserve">           </w:t>
      </w:r>
      <w:r w:rsidR="009C04F5" w:rsidRPr="00952E3D">
        <w:rPr>
          <w:rFonts w:cs="Times New Roman"/>
          <w:szCs w:val="24"/>
        </w:rPr>
        <w:t xml:space="preserve">Figure 2: </w:t>
      </w:r>
      <w:r w:rsidRPr="00550D21">
        <w:rPr>
          <w:rFonts w:cs="Times New Roman"/>
          <w:szCs w:val="24"/>
        </w:rPr>
        <w:t xml:space="preserve">Comparison of DLP and SNR </w:t>
      </w:r>
      <w:r w:rsidR="00C56AF8">
        <w:rPr>
          <w:rFonts w:cs="Times New Roman"/>
          <w:szCs w:val="24"/>
        </w:rPr>
        <w:t>values associated with</w:t>
      </w:r>
      <w:r w:rsidRPr="00550D21">
        <w:rPr>
          <w:rFonts w:cs="Times New Roman"/>
          <w:szCs w:val="24"/>
        </w:rPr>
        <w:t xml:space="preserve"> the </w:t>
      </w:r>
      <w:r w:rsidR="00952E3D" w:rsidRPr="00550D21">
        <w:rPr>
          <w:rFonts w:cs="Times New Roman"/>
          <w:szCs w:val="24"/>
        </w:rPr>
        <w:t>studied</w:t>
      </w:r>
      <w:r w:rsidRPr="00550D21">
        <w:rPr>
          <w:rFonts w:cs="Times New Roman"/>
          <w:szCs w:val="24"/>
        </w:rPr>
        <w:t xml:space="preserve"> protocols </w:t>
      </w:r>
    </w:p>
    <w:bookmarkEnd w:id="9"/>
    <w:p w14:paraId="5E913759" w14:textId="77777777" w:rsidR="00EF580E" w:rsidRPr="00FE7240" w:rsidRDefault="00EF580E" w:rsidP="00550D21">
      <w:pPr>
        <w:rPr>
          <w:rFonts w:cs="Times New Roman"/>
          <w:szCs w:val="24"/>
        </w:rPr>
      </w:pPr>
    </w:p>
    <w:p w14:paraId="0EA40DA4" w14:textId="5C30F449" w:rsidR="00AA67C1" w:rsidRPr="00FE7240" w:rsidRDefault="00AA67C1" w:rsidP="00BA3AC7">
      <w:pPr>
        <w:spacing w:line="480" w:lineRule="auto"/>
        <w:jc w:val="center"/>
        <w:rPr>
          <w:rFonts w:cs="Times New Roman"/>
          <w:szCs w:val="24"/>
        </w:rPr>
      </w:pPr>
      <w:r w:rsidRPr="00FE7240">
        <w:rPr>
          <w:rFonts w:cs="Times New Roman"/>
          <w:noProof/>
          <w:szCs w:val="24"/>
        </w:rPr>
        <w:drawing>
          <wp:inline distT="0" distB="0" distL="0" distR="0" wp14:anchorId="165928A2" wp14:editId="14F01040">
            <wp:extent cx="4942542" cy="3167530"/>
            <wp:effectExtent l="0" t="0" r="10795" b="1397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1A957D" w14:textId="51074CF9" w:rsidR="00423B7D" w:rsidRPr="00550D21" w:rsidRDefault="00423B7D" w:rsidP="00C56AF8">
      <w:pPr>
        <w:rPr>
          <w:rFonts w:cs="Times New Roman"/>
          <w:szCs w:val="24"/>
        </w:rPr>
      </w:pPr>
      <w:r w:rsidRPr="00550D21">
        <w:rPr>
          <w:rFonts w:cs="Times New Roman"/>
          <w:szCs w:val="24"/>
        </w:rPr>
        <w:t xml:space="preserve">Figure </w:t>
      </w:r>
      <w:r w:rsidR="00952E3D" w:rsidRPr="00550D21">
        <w:rPr>
          <w:rFonts w:cs="Times New Roman"/>
          <w:szCs w:val="24"/>
        </w:rPr>
        <w:t>3</w:t>
      </w:r>
      <w:r w:rsidR="00BA3AC7" w:rsidRPr="00550D21">
        <w:rPr>
          <w:rFonts w:cs="Times New Roman"/>
          <w:szCs w:val="24"/>
        </w:rPr>
        <w:t xml:space="preserve">: </w:t>
      </w:r>
      <w:r w:rsidR="00C44566" w:rsidRPr="00550D21">
        <w:rPr>
          <w:rFonts w:cs="Times New Roman"/>
          <w:szCs w:val="24"/>
        </w:rPr>
        <w:t xml:space="preserve">Comparison of </w:t>
      </w:r>
      <w:proofErr w:type="spellStart"/>
      <w:r w:rsidR="00C56AF8" w:rsidRPr="00550D21">
        <w:rPr>
          <w:rFonts w:cs="Times New Roman"/>
          <w:i/>
          <w:iCs/>
          <w:szCs w:val="24"/>
        </w:rPr>
        <w:t>D</w:t>
      </w:r>
      <w:r w:rsidR="00C56AF8" w:rsidRPr="00550D21">
        <w:rPr>
          <w:rFonts w:cs="Times New Roman"/>
          <w:i/>
          <w:iCs/>
          <w:szCs w:val="24"/>
          <w:vertAlign w:val="subscript"/>
        </w:rPr>
        <w:t>eff</w:t>
      </w:r>
      <w:proofErr w:type="spellEnd"/>
      <w:r w:rsidR="00C56AF8" w:rsidRPr="00550D21">
        <w:rPr>
          <w:rFonts w:cs="Times New Roman"/>
          <w:i/>
          <w:iCs/>
          <w:szCs w:val="24"/>
        </w:rPr>
        <w:t xml:space="preserve"> </w:t>
      </w:r>
      <w:r w:rsidR="00C56AF8" w:rsidRPr="00550D21">
        <w:rPr>
          <w:rFonts w:cs="Times New Roman"/>
          <w:szCs w:val="24"/>
        </w:rPr>
        <w:t xml:space="preserve">and SNR values associated with the studied protocols </w:t>
      </w:r>
    </w:p>
    <w:p w14:paraId="038407CC" w14:textId="77777777" w:rsidR="00393202" w:rsidRPr="00FE7240" w:rsidRDefault="00393202" w:rsidP="00BA3AC7">
      <w:pPr>
        <w:spacing w:line="480" w:lineRule="auto"/>
        <w:jc w:val="center"/>
        <w:rPr>
          <w:rFonts w:cs="Times New Roman"/>
          <w:b/>
          <w:bCs/>
          <w:szCs w:val="24"/>
        </w:rPr>
      </w:pPr>
    </w:p>
    <w:p w14:paraId="20CC2F4B" w14:textId="431BC6E3" w:rsidR="002D13A7" w:rsidRPr="00FE7240" w:rsidRDefault="00B132DB" w:rsidP="00D0523E">
      <w:pPr>
        <w:spacing w:line="480" w:lineRule="auto"/>
        <w:rPr>
          <w:rFonts w:cs="Times New Roman"/>
          <w:szCs w:val="24"/>
        </w:rPr>
      </w:pPr>
      <w:r w:rsidRPr="00FE7240">
        <w:rPr>
          <w:rFonts w:cs="Times New Roman"/>
          <w:szCs w:val="24"/>
        </w:rPr>
        <w:t>T</w:t>
      </w:r>
      <w:r w:rsidR="00BA29A2" w:rsidRPr="00FE7240">
        <w:rPr>
          <w:rFonts w:cs="Times New Roman"/>
          <w:szCs w:val="24"/>
        </w:rPr>
        <w:t xml:space="preserve">he lowest </w:t>
      </w:r>
      <w:r w:rsidR="00C56AF8">
        <w:rPr>
          <w:rFonts w:cs="Times New Roman"/>
          <w:szCs w:val="24"/>
        </w:rPr>
        <w:t xml:space="preserve">DLP </w:t>
      </w:r>
      <w:r w:rsidR="008F7FF8" w:rsidRPr="00247394">
        <w:rPr>
          <w:rFonts w:cs="Times New Roman"/>
          <w:szCs w:val="24"/>
        </w:rPr>
        <w:t>(1013.80 mGy.cm)</w:t>
      </w:r>
      <w:r w:rsidR="008F7FF8">
        <w:rPr>
          <w:rFonts w:cs="Times New Roman"/>
          <w:szCs w:val="24"/>
        </w:rPr>
        <w:t xml:space="preserve"> </w:t>
      </w:r>
      <w:r w:rsidR="00C56AF8">
        <w:rPr>
          <w:rFonts w:cs="Times New Roman"/>
          <w:szCs w:val="24"/>
        </w:rPr>
        <w:t xml:space="preserve">and </w:t>
      </w:r>
      <w:proofErr w:type="spellStart"/>
      <w:proofErr w:type="gramStart"/>
      <w:r w:rsidR="00F14078" w:rsidRPr="00550D21">
        <w:rPr>
          <w:rFonts w:cs="Times New Roman"/>
          <w:i/>
          <w:szCs w:val="24"/>
        </w:rPr>
        <w:t>D</w:t>
      </w:r>
      <w:r w:rsidR="00F14078" w:rsidRPr="00550D21">
        <w:rPr>
          <w:rFonts w:cs="Times New Roman"/>
          <w:i/>
          <w:szCs w:val="24"/>
          <w:vertAlign w:val="subscript"/>
        </w:rPr>
        <w:t>eff</w:t>
      </w:r>
      <w:proofErr w:type="spellEnd"/>
      <w:r w:rsidR="00F14078" w:rsidRPr="00FE7240">
        <w:rPr>
          <w:rFonts w:cs="Times New Roman"/>
          <w:b/>
          <w:i/>
          <w:szCs w:val="24"/>
          <w:vertAlign w:val="subscript"/>
        </w:rPr>
        <w:t xml:space="preserve"> </w:t>
      </w:r>
      <w:r w:rsidR="008F7FF8">
        <w:rPr>
          <w:rFonts w:cs="Times New Roman"/>
          <w:b/>
          <w:i/>
          <w:szCs w:val="24"/>
          <w:vertAlign w:val="subscript"/>
        </w:rPr>
        <w:t xml:space="preserve"> </w:t>
      </w:r>
      <w:r w:rsidR="008F7FF8">
        <w:rPr>
          <w:rFonts w:cs="Times New Roman"/>
          <w:szCs w:val="24"/>
        </w:rPr>
        <w:t>(</w:t>
      </w:r>
      <w:proofErr w:type="gramEnd"/>
      <w:r w:rsidR="008F7FF8" w:rsidRPr="00FE7240">
        <w:rPr>
          <w:rFonts w:cs="Times New Roman"/>
          <w:szCs w:val="24"/>
        </w:rPr>
        <w:t>2.33 mSv</w:t>
      </w:r>
      <w:r w:rsidR="008F7FF8">
        <w:rPr>
          <w:rFonts w:cs="Times New Roman"/>
          <w:szCs w:val="24"/>
        </w:rPr>
        <w:t xml:space="preserve">) </w:t>
      </w:r>
      <w:r w:rsidR="005149BA" w:rsidRPr="00FE7240">
        <w:rPr>
          <w:rFonts w:cs="Times New Roman"/>
          <w:szCs w:val="24"/>
        </w:rPr>
        <w:t>was estimated for Image C</w:t>
      </w:r>
      <w:r w:rsidRPr="00FE7240">
        <w:rPr>
          <w:rFonts w:cs="Times New Roman"/>
          <w:szCs w:val="24"/>
        </w:rPr>
        <w:t xml:space="preserve"> which was s</w:t>
      </w:r>
      <w:r w:rsidR="005149BA" w:rsidRPr="00FE7240">
        <w:rPr>
          <w:rFonts w:cs="Times New Roman"/>
          <w:szCs w:val="24"/>
        </w:rPr>
        <w:t xml:space="preserve">ubsequently, </w:t>
      </w:r>
      <w:r w:rsidR="00BA3AC7" w:rsidRPr="00FE7240">
        <w:rPr>
          <w:rFonts w:cs="Times New Roman"/>
          <w:szCs w:val="24"/>
        </w:rPr>
        <w:t xml:space="preserve">selected as the </w:t>
      </w:r>
      <w:r w:rsidR="002602DD" w:rsidRPr="00FE7240">
        <w:rPr>
          <w:rFonts w:cs="Times New Roman"/>
          <w:szCs w:val="24"/>
        </w:rPr>
        <w:t>best option among the optimized</w:t>
      </w:r>
      <w:r w:rsidRPr="00FE7240">
        <w:rPr>
          <w:rFonts w:cs="Times New Roman"/>
          <w:szCs w:val="24"/>
        </w:rPr>
        <w:t xml:space="preserve"> images</w:t>
      </w:r>
      <w:r w:rsidR="002602DD" w:rsidRPr="00FE7240">
        <w:rPr>
          <w:rFonts w:cs="Times New Roman"/>
          <w:szCs w:val="24"/>
        </w:rPr>
        <w:t xml:space="preserve">. </w:t>
      </w:r>
      <w:r w:rsidR="0099398A" w:rsidRPr="00FE7240">
        <w:rPr>
          <w:rFonts w:cs="Times New Roman"/>
          <w:szCs w:val="24"/>
        </w:rPr>
        <w:t>This was achieved by reducing the tube potential from 120</w:t>
      </w:r>
      <w:r w:rsidR="00FB0B67" w:rsidRPr="00FE7240">
        <w:rPr>
          <w:rFonts w:cs="Times New Roman"/>
          <w:szCs w:val="24"/>
        </w:rPr>
        <w:t>.00</w:t>
      </w:r>
      <w:r w:rsidR="0099398A" w:rsidRPr="00FE7240">
        <w:rPr>
          <w:rFonts w:cs="Times New Roman"/>
          <w:szCs w:val="24"/>
        </w:rPr>
        <w:t xml:space="preserve"> kV to 100</w:t>
      </w:r>
      <w:r w:rsidR="00FB0B67" w:rsidRPr="00FE7240">
        <w:rPr>
          <w:rFonts w:cs="Times New Roman"/>
          <w:szCs w:val="24"/>
        </w:rPr>
        <w:t>.00</w:t>
      </w:r>
      <w:r w:rsidR="0099398A" w:rsidRPr="00FE7240">
        <w:rPr>
          <w:rFonts w:cs="Times New Roman"/>
          <w:szCs w:val="24"/>
        </w:rPr>
        <w:t xml:space="preserve"> kV while </w:t>
      </w:r>
      <w:r w:rsidRPr="00FE7240">
        <w:rPr>
          <w:rFonts w:cs="Times New Roman"/>
          <w:szCs w:val="24"/>
        </w:rPr>
        <w:t xml:space="preserve">keeping </w:t>
      </w:r>
      <w:r w:rsidR="0099398A" w:rsidRPr="00FE7240">
        <w:rPr>
          <w:rFonts w:cs="Times New Roman"/>
          <w:szCs w:val="24"/>
        </w:rPr>
        <w:t>other parameters</w:t>
      </w:r>
      <w:r w:rsidRPr="00FE7240">
        <w:rPr>
          <w:rFonts w:cs="Times New Roman"/>
          <w:szCs w:val="24"/>
        </w:rPr>
        <w:t xml:space="preserve"> unchanged. This resulted in </w:t>
      </w:r>
      <w:r w:rsidR="0099398A" w:rsidRPr="00FE7240">
        <w:rPr>
          <w:rFonts w:cs="Times New Roman"/>
          <w:szCs w:val="24"/>
        </w:rPr>
        <w:t>a</w:t>
      </w:r>
      <w:r w:rsidR="00247394">
        <w:rPr>
          <w:rFonts w:cs="Times New Roman"/>
          <w:szCs w:val="24"/>
        </w:rPr>
        <w:t xml:space="preserve"> 40.4</w:t>
      </w:r>
      <w:proofErr w:type="gramStart"/>
      <w:r w:rsidR="00247394">
        <w:rPr>
          <w:rFonts w:cs="Times New Roman"/>
          <w:szCs w:val="24"/>
        </w:rPr>
        <w:t>%</w:t>
      </w:r>
      <w:r w:rsidR="00D0523E" w:rsidRPr="00FE7240">
        <w:rPr>
          <w:rFonts w:cs="Times New Roman"/>
          <w:szCs w:val="24"/>
        </w:rPr>
        <w:t xml:space="preserve"> </w:t>
      </w:r>
      <w:r w:rsidR="00044533" w:rsidRPr="00550D21">
        <w:rPr>
          <w:rFonts w:cs="Times New Roman"/>
          <w:color w:val="FF0000"/>
          <w:szCs w:val="24"/>
        </w:rPr>
        <w:t xml:space="preserve"> </w:t>
      </w:r>
      <w:r w:rsidR="00D0523E" w:rsidRPr="00FE7240">
        <w:rPr>
          <w:rFonts w:cs="Times New Roman"/>
          <w:szCs w:val="24"/>
        </w:rPr>
        <w:t>reduction</w:t>
      </w:r>
      <w:proofErr w:type="gramEnd"/>
      <w:r w:rsidR="00D0523E" w:rsidRPr="00FE7240">
        <w:rPr>
          <w:rFonts w:cs="Times New Roman"/>
          <w:szCs w:val="24"/>
        </w:rPr>
        <w:t xml:space="preserve"> in </w:t>
      </w:r>
      <w:proofErr w:type="spellStart"/>
      <w:r w:rsidR="003C1F13" w:rsidRPr="003C1F13">
        <w:rPr>
          <w:rFonts w:cs="Times New Roman"/>
          <w:i/>
          <w:szCs w:val="24"/>
        </w:rPr>
        <w:t>D</w:t>
      </w:r>
      <w:r w:rsidR="00D0523E" w:rsidRPr="003C1F13">
        <w:rPr>
          <w:rFonts w:cs="Times New Roman"/>
          <w:i/>
          <w:szCs w:val="24"/>
          <w:vertAlign w:val="subscript"/>
        </w:rPr>
        <w:t>eff</w:t>
      </w:r>
      <w:proofErr w:type="spellEnd"/>
      <w:r w:rsidR="003C1F13">
        <w:rPr>
          <w:rFonts w:cs="Times New Roman"/>
          <w:szCs w:val="24"/>
        </w:rPr>
        <w:t xml:space="preserve"> </w:t>
      </w:r>
      <w:r w:rsidR="00D0523E" w:rsidRPr="00FE7240">
        <w:rPr>
          <w:rFonts w:cs="Times New Roman"/>
          <w:szCs w:val="24"/>
        </w:rPr>
        <w:t xml:space="preserve">through the optimization process without deteriorating image quality. </w:t>
      </w:r>
    </w:p>
    <w:p w14:paraId="64C193D2" w14:textId="77777777" w:rsidR="00E40839" w:rsidRDefault="00E40839" w:rsidP="00E40839">
      <w:pPr>
        <w:spacing w:line="240" w:lineRule="auto"/>
        <w:rPr>
          <w:rFonts w:cs="Times New Roman"/>
          <w:b/>
          <w:szCs w:val="24"/>
        </w:rPr>
      </w:pPr>
    </w:p>
    <w:p w14:paraId="795C888F" w14:textId="7B0DFC20" w:rsidR="009A7B49" w:rsidRPr="00FE7240" w:rsidRDefault="00DE3FDB" w:rsidP="00B132DB">
      <w:pPr>
        <w:spacing w:line="480" w:lineRule="auto"/>
        <w:rPr>
          <w:rFonts w:cs="Times New Roman"/>
          <w:b/>
          <w:szCs w:val="24"/>
        </w:rPr>
      </w:pPr>
      <w:r>
        <w:rPr>
          <w:rFonts w:cs="Times New Roman"/>
          <w:b/>
          <w:szCs w:val="24"/>
        </w:rPr>
        <w:t>4.</w:t>
      </w:r>
      <w:r>
        <w:rPr>
          <w:rFonts w:cs="Times New Roman"/>
          <w:b/>
          <w:szCs w:val="24"/>
        </w:rPr>
        <w:tab/>
      </w:r>
      <w:r w:rsidR="00B132DB" w:rsidRPr="00FE7240">
        <w:rPr>
          <w:rFonts w:cs="Times New Roman"/>
          <w:b/>
          <w:szCs w:val="24"/>
        </w:rPr>
        <w:t>Discussions</w:t>
      </w:r>
    </w:p>
    <w:p w14:paraId="329696FE" w14:textId="2499F69B" w:rsidR="00B41D38" w:rsidRPr="00FE7240" w:rsidRDefault="00F14078" w:rsidP="00FB4C32">
      <w:pPr>
        <w:pStyle w:val="Heading2"/>
        <w:spacing w:before="0" w:after="0" w:line="480" w:lineRule="auto"/>
        <w:rPr>
          <w:szCs w:val="24"/>
        </w:rPr>
      </w:pPr>
      <w:bookmarkStart w:id="10" w:name="_Toc82774840"/>
      <w:r>
        <w:rPr>
          <w:szCs w:val="24"/>
        </w:rPr>
        <w:t>4.1</w:t>
      </w:r>
      <w:r>
        <w:rPr>
          <w:szCs w:val="24"/>
        </w:rPr>
        <w:tab/>
      </w:r>
      <w:r w:rsidR="00B132DB" w:rsidRPr="00FE7240">
        <w:rPr>
          <w:szCs w:val="24"/>
        </w:rPr>
        <w:t xml:space="preserve">Patient </w:t>
      </w:r>
      <w:r w:rsidR="00DE350C">
        <w:rPr>
          <w:szCs w:val="24"/>
        </w:rPr>
        <w:t xml:space="preserve">Characteristics </w:t>
      </w:r>
      <w:bookmarkEnd w:id="10"/>
      <w:r w:rsidR="00B132DB" w:rsidRPr="00FE7240">
        <w:rPr>
          <w:szCs w:val="24"/>
        </w:rPr>
        <w:t xml:space="preserve"> </w:t>
      </w:r>
    </w:p>
    <w:p w14:paraId="2308CDAA" w14:textId="4138990F" w:rsidR="00013347" w:rsidRPr="00FE7240" w:rsidRDefault="00013347" w:rsidP="00013347">
      <w:pPr>
        <w:spacing w:line="480" w:lineRule="auto"/>
        <w:ind w:firstLine="720"/>
        <w:rPr>
          <w:rFonts w:cs="Times New Roman"/>
          <w:noProof/>
          <w:szCs w:val="24"/>
        </w:rPr>
      </w:pPr>
      <w:r w:rsidRPr="00FE7240">
        <w:rPr>
          <w:rFonts w:cs="Times New Roman"/>
          <w:noProof/>
          <w:szCs w:val="24"/>
        </w:rPr>
        <w:t xml:space="preserve">According to the </w:t>
      </w:r>
      <w:r w:rsidR="00C12A2D">
        <w:rPr>
          <w:rFonts w:cs="Times New Roman"/>
          <w:noProof/>
          <w:szCs w:val="24"/>
        </w:rPr>
        <w:t>patients’</w:t>
      </w:r>
      <w:r w:rsidR="00637E75">
        <w:rPr>
          <w:rFonts w:cs="Times New Roman"/>
          <w:noProof/>
          <w:szCs w:val="24"/>
        </w:rPr>
        <w:t xml:space="preserve"> </w:t>
      </w:r>
      <w:r w:rsidRPr="00FE7240">
        <w:rPr>
          <w:rFonts w:cs="Times New Roman"/>
          <w:noProof/>
          <w:szCs w:val="24"/>
        </w:rPr>
        <w:t>age distribution</w:t>
      </w:r>
      <w:r w:rsidR="00637E75" w:rsidRPr="00FE7240">
        <w:rPr>
          <w:rFonts w:cs="Times New Roman"/>
          <w:szCs w:val="24"/>
        </w:rPr>
        <w:t xml:space="preserve"> (</w:t>
      </w:r>
      <w:r w:rsidR="00637E75" w:rsidRPr="00FE7240">
        <w:rPr>
          <w:rFonts w:cs="Times New Roman"/>
        </w:rPr>
        <w:t>age range: 18 to 94 years</w:t>
      </w:r>
      <w:r w:rsidR="00637E75">
        <w:rPr>
          <w:rFonts w:cs="Times New Roman"/>
        </w:rPr>
        <w:t xml:space="preserve">; mean age: </w:t>
      </w:r>
      <w:r w:rsidR="00637E75" w:rsidRPr="00FE7240">
        <w:rPr>
          <w:rFonts w:cs="Times New Roman"/>
        </w:rPr>
        <w:t>51.83 ± 17.54 years</w:t>
      </w:r>
      <w:r w:rsidR="00637E75">
        <w:rPr>
          <w:rFonts w:cs="Times New Roman"/>
        </w:rPr>
        <w:t>)</w:t>
      </w:r>
      <w:r w:rsidRPr="00FE7240">
        <w:rPr>
          <w:rFonts w:cs="Times New Roman"/>
          <w:noProof/>
          <w:szCs w:val="24"/>
        </w:rPr>
        <w:t xml:space="preserve">, </w:t>
      </w:r>
      <w:r w:rsidR="00DE350C">
        <w:rPr>
          <w:rFonts w:cs="Times New Roman"/>
          <w:noProof/>
          <w:szCs w:val="24"/>
        </w:rPr>
        <w:t xml:space="preserve">the </w:t>
      </w:r>
      <w:r w:rsidRPr="00FE7240">
        <w:rPr>
          <w:rFonts w:cs="Times New Roman"/>
          <w:noProof/>
          <w:szCs w:val="24"/>
        </w:rPr>
        <w:t xml:space="preserve">majority of the patients were younger and </w:t>
      </w:r>
      <w:r w:rsidR="00DE350C">
        <w:rPr>
          <w:rFonts w:cs="Times New Roman"/>
          <w:noProof/>
          <w:szCs w:val="24"/>
        </w:rPr>
        <w:t>middle-aged</w:t>
      </w:r>
      <w:r w:rsidRPr="00FE7240">
        <w:rPr>
          <w:rFonts w:cs="Times New Roman"/>
          <w:noProof/>
          <w:szCs w:val="24"/>
        </w:rPr>
        <w:t xml:space="preserve"> (58.2%) compared to older adults (41.8%). However, the largest referrals for head CT examinations were recorded among patient</w:t>
      </w:r>
      <w:r w:rsidR="00DE350C">
        <w:rPr>
          <w:rFonts w:cs="Times New Roman"/>
          <w:noProof/>
          <w:szCs w:val="24"/>
        </w:rPr>
        <w:t>s</w:t>
      </w:r>
      <w:r w:rsidRPr="00FE7240">
        <w:rPr>
          <w:rFonts w:cs="Times New Roman"/>
          <w:noProof/>
          <w:szCs w:val="24"/>
        </w:rPr>
        <w:t xml:space="preserve"> aged 58 – 67 years (21.2%), of whom </w:t>
      </w:r>
      <w:r w:rsidR="00DE350C">
        <w:rPr>
          <w:rFonts w:cs="Times New Roman"/>
          <w:noProof/>
          <w:szCs w:val="24"/>
        </w:rPr>
        <w:t xml:space="preserve">the </w:t>
      </w:r>
      <w:r w:rsidR="00DE350C" w:rsidRPr="00FE7240">
        <w:rPr>
          <w:rFonts w:cs="Times New Roman"/>
          <w:noProof/>
          <w:szCs w:val="24"/>
        </w:rPr>
        <w:t xml:space="preserve">majority </w:t>
      </w:r>
      <w:r w:rsidRPr="00FE7240">
        <w:rPr>
          <w:rFonts w:cs="Times New Roman"/>
          <w:noProof/>
          <w:szCs w:val="24"/>
        </w:rPr>
        <w:t xml:space="preserve">were males (11.0%). This finding may be associated with </w:t>
      </w:r>
      <w:r w:rsidR="00DE350C">
        <w:rPr>
          <w:rFonts w:cs="Times New Roman"/>
          <w:noProof/>
          <w:szCs w:val="24"/>
        </w:rPr>
        <w:t xml:space="preserve">a </w:t>
      </w:r>
      <w:r w:rsidRPr="00FE7240">
        <w:rPr>
          <w:rFonts w:cs="Times New Roman"/>
          <w:noProof/>
          <w:szCs w:val="24"/>
        </w:rPr>
        <w:t xml:space="preserve">higher incidence of </w:t>
      </w:r>
      <w:r w:rsidR="00DE350C">
        <w:rPr>
          <w:rFonts w:cs="Times New Roman"/>
          <w:noProof/>
          <w:szCs w:val="24"/>
        </w:rPr>
        <w:t>dementia</w:t>
      </w:r>
      <w:r w:rsidRPr="00FE7240">
        <w:rPr>
          <w:rFonts w:cs="Times New Roman"/>
          <w:noProof/>
          <w:szCs w:val="24"/>
        </w:rPr>
        <w:t xml:space="preserve"> as well as Parkinson’s disease with old age as suggested by </w:t>
      </w:r>
      <w:r w:rsidRPr="00FE7240">
        <w:rPr>
          <w:rFonts w:cs="Times New Roman"/>
          <w:noProof/>
          <w:szCs w:val="24"/>
        </w:rPr>
        <w:fldChar w:fldCharType="begin" w:fldLock="1"/>
      </w:r>
      <w:r w:rsidRPr="00FE7240">
        <w:rPr>
          <w:rFonts w:cs="Times New Roman"/>
          <w:noProof/>
          <w:szCs w:val="24"/>
        </w:rPr>
        <w:instrText>ADDIN CSL_CITATION {"citationItems":[{"id":"ITEM-1","itemData":{"abstract":"Parkinsons disease (PD) is the second most prevalent neurodegenerative disorder after Alzheimer's, affecting about 1% of the people older than 65 and about 89% of the people with PD develop different speech disorders. Different researchers are currently working in the analysis of speech of people with PD, including the study of different dimensions in speech such as phonation, articulation, prosody and intelligibility. The study of phonation and articulation has been addressed mainly considering sustained vowels; however, the analysis of prosody and intelligibility requires the inclusion of words, sentences and monologue. In this paper we present a new database with speech recordings of 50 patients with PD and their respective healthy controls, matched by age and gender. All of the participants are Spanish native speakers and the recordings were collected following a protocol that considers both technical requirements and several recommendations given by experts in linguistics, phoniatry and neurology. This corpus includes tasks such as sustained phonations of the vowels, diadochokinetic evaluation, 45 words, 10 sentences, a reading text and a monologue. The paper also includes results of the characterization of the Spanish vowels considering different measures used in other works to characterize different speech impairments.","author":[{"dropping-particle":"","family":"Orozco-Arroyave","given":"J R","non-dropping-particle":"","parse-names":false,"suffix":""},{"dropping-particle":"","family":"Arias-Londõ No","given":"J D","non-dropping-particle":"","parse-names":false,"suffix":""},{"dropping-particle":"","family":"Vargas-Bonilla","given":"J F","non-dropping-particle":"","parse-names":false,"suffix":""},{"dropping-particle":"","family":"González-Rátiva","given":"M C","non-dropping-particle":"","parse-names":false,"suffix":""},{"dropping-particle":"","family":"Nöth","given":"Elmar","non-dropping-particle":"","parse-names":false,"suffix":""}],"id":"ITEM-1","issued":{"date-parts":[["0"]]},"title":"New Spanish speech corpus database for the analysis of people suffering from Parkinson's disease","type":"article-journal"},"uris":["http://www.mendeley.com/documents/?uuid=f99fa55e-cfa2-30df-96de-6612174834ad"]}],"mendeley":{"formattedCitation":"(Orozco-Arroyave et al., n.d.)","manualFormatting":"(Orozco-Arroyave et al., 2014)","plainTextFormattedCitation":"(Orozco-Arroyave et al., n.d.)","previouslyFormattedCitation":"(Orozco-Arroyave et al., n.d.)"},"properties":{"noteIndex":0},"schema":"https://github.com/citation-style-language/schema/raw/master/csl-citation.json"}</w:instrText>
      </w:r>
      <w:r w:rsidRPr="00FE7240">
        <w:rPr>
          <w:rFonts w:cs="Times New Roman"/>
          <w:noProof/>
          <w:szCs w:val="24"/>
        </w:rPr>
        <w:fldChar w:fldCharType="separate"/>
      </w:r>
      <w:r w:rsidRPr="00FE7240">
        <w:rPr>
          <w:rFonts w:cs="Times New Roman"/>
          <w:noProof/>
          <w:szCs w:val="24"/>
        </w:rPr>
        <w:t>Orozco-Arroyave et al</w:t>
      </w:r>
      <w:r w:rsidR="00F14078">
        <w:rPr>
          <w:rFonts w:cs="Times New Roman"/>
          <w:noProof/>
          <w:szCs w:val="24"/>
        </w:rPr>
        <w:t>., (2014)</w:t>
      </w:r>
      <w:r w:rsidRPr="00FE7240">
        <w:rPr>
          <w:rFonts w:cs="Times New Roman"/>
          <w:noProof/>
          <w:szCs w:val="24"/>
        </w:rPr>
        <w:fldChar w:fldCharType="end"/>
      </w:r>
      <w:r w:rsidRPr="00FE7240">
        <w:rPr>
          <w:rFonts w:cs="Times New Roman"/>
          <w:noProof/>
          <w:szCs w:val="24"/>
        </w:rPr>
        <w:t xml:space="preserve"> </w:t>
      </w:r>
      <w:r w:rsidR="0057144D">
        <w:rPr>
          <w:rFonts w:cs="Times New Roman"/>
          <w:noProof/>
          <w:szCs w:val="24"/>
        </w:rPr>
        <w:t>for</w:t>
      </w:r>
      <w:r w:rsidRPr="00FE7240">
        <w:rPr>
          <w:rFonts w:cs="Times New Roman"/>
          <w:noProof/>
          <w:szCs w:val="24"/>
        </w:rPr>
        <w:t xml:space="preserve"> which head CT examination may be </w:t>
      </w:r>
      <w:r w:rsidR="00DE350C">
        <w:rPr>
          <w:rFonts w:cs="Times New Roman"/>
          <w:noProof/>
          <w:szCs w:val="24"/>
        </w:rPr>
        <w:t>the</w:t>
      </w:r>
      <w:r w:rsidRPr="00FE7240">
        <w:rPr>
          <w:rFonts w:cs="Times New Roman"/>
          <w:noProof/>
          <w:szCs w:val="24"/>
        </w:rPr>
        <w:t xml:space="preserve"> first line for diagnosis. </w:t>
      </w:r>
      <w:r w:rsidRPr="00FE7240">
        <w:rPr>
          <w:rFonts w:cs="Times New Roman"/>
          <w:szCs w:val="24"/>
        </w:rPr>
        <w:fldChar w:fldCharType="begin" w:fldLock="1"/>
      </w:r>
      <w:r w:rsidRPr="00FE7240">
        <w:rPr>
          <w:rFonts w:cs="Times New Roman"/>
          <w:szCs w:val="24"/>
        </w:rPr>
        <w:instrText>ADDIN CSL_CITATION {"citationItems":[{"id":"ITEM-1","itemData":{"DOI":"10.1111/acel.12306","ISSN":"14749726","PMID":"25645467","abstract":"Aging involves a deterioration of cell functions and changes that may predispose the cell to undergo an oncogenic transformation. The carcinogenic risks following radiation exposure rise with age among adults. Increasing inflammatory response, loss of oxidant/antioxidant equilibrium, ongoing telomere attrition, decline in the DNA damage response efficiency, and deleterious nuclear organization are age-related cellular changes that trigger a serious threat to genomic integrity. In this review, we discuss the mechanistic interplay between all these factors, providing an integrated view of how they contribute to the observed age-related increase in radiation sensitivity. As life expectancy increases and so it does the medical intervention, it is important to highlight the benefits of radiation protection in the elderly. Thus, a deep understanding of the mechanistic processes confining the threat of aging-related radiosensitivity is currently of foremost relevance.","author":[{"dropping-particle":"","family":"Hernández","given":"Laia","non-dropping-particle":"","parse-names":false,"suffix":""},{"dropping-particle":"","family":"Terradas","given":"Mariona","non-dropping-particle":"","parse-names":false,"suffix":""},{"dropping-particle":"","family":"Camps","given":"Jordi","non-dropping-particle":"","parse-names":false,"suffix":""},{"dropping-particle":"","family":"Martín","given":"Marta","non-dropping-particle":"","parse-names":false,"suffix":""},{"dropping-particle":"","family":"Tusell","given":"Laura","non-dropping-particle":"","parse-names":false,"suffix":""},{"dropping-particle":"","family":"Genescà","given":"Anna","non-dropping-particle":"","parse-names":false,"suffix":""}],"container-title":"Aging Cell","id":"ITEM-1","issue":"2","issued":{"date-parts":[["2015","4","1"]]},"page":"153-161","publisher":"Blackwell Publishing Ltd","title":"Aging and radiation: Bad companions","type":"article","volume":"14"},"uris":["http://www.mendeley.com/documents/?uuid=99e0df01-562b-3cd3-8da5-7d79bb47de72"]}],"mendeley":{"formattedCitation":"(Hernández et al., 2015)","manualFormatting":"Hernández et al., (2015)","plainTextFormattedCitation":"(Hernández et al., 2015)","previouslyFormattedCitation":"(Hernández et al., 2015)"},"properties":{"noteIndex":0},"schema":"https://github.com/citation-style-language/schema/raw/master/csl-citation.json"}</w:instrText>
      </w:r>
      <w:r w:rsidRPr="00FE7240">
        <w:rPr>
          <w:rFonts w:cs="Times New Roman"/>
          <w:szCs w:val="24"/>
        </w:rPr>
        <w:fldChar w:fldCharType="separate"/>
      </w:r>
      <w:r w:rsidRPr="00FE7240">
        <w:rPr>
          <w:rFonts w:cs="Times New Roman"/>
          <w:noProof/>
          <w:szCs w:val="24"/>
        </w:rPr>
        <w:t>Hernández et al.</w:t>
      </w:r>
      <w:r w:rsidR="00F14078">
        <w:rPr>
          <w:rFonts w:cs="Times New Roman"/>
          <w:noProof/>
          <w:szCs w:val="24"/>
        </w:rPr>
        <w:t>, (2015)</w:t>
      </w:r>
      <w:r w:rsidRPr="00FE7240">
        <w:rPr>
          <w:rFonts w:cs="Times New Roman"/>
          <w:szCs w:val="24"/>
        </w:rPr>
        <w:fldChar w:fldCharType="end"/>
      </w:r>
      <w:r w:rsidRPr="00FE7240">
        <w:rPr>
          <w:rFonts w:cs="Times New Roman"/>
          <w:szCs w:val="24"/>
        </w:rPr>
        <w:t xml:space="preserve"> observed that the proportion of individuals that undergo medical imaging procedures increased with age.</w:t>
      </w:r>
    </w:p>
    <w:p w14:paraId="760163ED" w14:textId="1EAD9661" w:rsidR="00826979" w:rsidRPr="00FE7240" w:rsidRDefault="007E7E8C" w:rsidP="00E40839">
      <w:pPr>
        <w:tabs>
          <w:tab w:val="left" w:pos="3870"/>
        </w:tabs>
        <w:spacing w:line="480" w:lineRule="auto"/>
        <w:ind w:firstLine="720"/>
        <w:rPr>
          <w:rFonts w:cs="Times New Roman"/>
          <w:noProof/>
          <w:szCs w:val="24"/>
        </w:rPr>
      </w:pPr>
      <w:r w:rsidRPr="00FE7240">
        <w:rPr>
          <w:rFonts w:cs="Times New Roman"/>
          <w:noProof/>
          <w:szCs w:val="24"/>
        </w:rPr>
        <w:t>More female patients (52.2%) presented for head CT examinations</w:t>
      </w:r>
      <w:r w:rsidR="00DE350C">
        <w:rPr>
          <w:rFonts w:cs="Times New Roman"/>
          <w:noProof/>
          <w:szCs w:val="24"/>
        </w:rPr>
        <w:t>.</w:t>
      </w:r>
      <w:r w:rsidRPr="00FE7240">
        <w:rPr>
          <w:rFonts w:cs="Times New Roman"/>
          <w:noProof/>
          <w:szCs w:val="24"/>
        </w:rPr>
        <w:t xml:space="preserve"> </w:t>
      </w:r>
      <w:r w:rsidR="00A15E60">
        <w:rPr>
          <w:rFonts w:cs="Times New Roman"/>
          <w:noProof/>
          <w:szCs w:val="24"/>
        </w:rPr>
        <w:t xml:space="preserve">Consistent with the literature, </w:t>
      </w:r>
      <w:r w:rsidR="00B41D38" w:rsidRPr="00FE7240">
        <w:rPr>
          <w:rFonts w:cs="Times New Roman"/>
          <w:noProof/>
          <w:szCs w:val="24"/>
        </w:rPr>
        <w:fldChar w:fldCharType="begin" w:fldLock="1"/>
      </w:r>
      <w:r w:rsidR="00B41D38" w:rsidRPr="00FE7240">
        <w:rPr>
          <w:rFonts w:cs="Times New Roman"/>
          <w:noProof/>
          <w:szCs w:val="24"/>
        </w:rPr>
        <w:instrText>ADDIN CSL_CITATION {"citationItems":[{"id":"ITEM-1","itemData":{"author":[{"dropping-particle":"","family":"Akyea-Larbi","given":"Kofi Okyere","non-dropping-particle":"","parse-names":false,"suffix":""}],"id":"ITEM-1","issued":{"date-parts":[["2015"]]},"title":"Effective Dose Estimation and Cancer Risk Assessment Due To Some Selected Ct Examinations At Sweden Ghana Medical Centre ( Sgmc ) By Kofi Okyere Akyea-Larbi This Thesis Is Submitted To the Medical Physics Department , University of Ghana , Legon , in Part","type":"article-journal"},"uris":["http://www.mendeley.com/documents/?uuid=71224cd6-a650-42b4-8fb1-5e984ecb3bb4"]}],"mendeley":{"formattedCitation":"(Akyea-Larbi, 2015)","manualFormatting":"Akyea-Larbi (2015)","plainTextFormattedCitation":"(Akyea-Larbi, 2015)","previouslyFormattedCitation":"(Akyea-Larbi, 2015)"},"properties":{"noteIndex":0},"schema":"https://github.com/citation-style-language/schema/raw/master/csl-citation.json"}</w:instrText>
      </w:r>
      <w:r w:rsidR="00B41D38" w:rsidRPr="00FE7240">
        <w:rPr>
          <w:rFonts w:cs="Times New Roman"/>
          <w:noProof/>
          <w:szCs w:val="24"/>
        </w:rPr>
        <w:fldChar w:fldCharType="separate"/>
      </w:r>
      <w:r w:rsidR="00B41D38" w:rsidRPr="00FE7240">
        <w:rPr>
          <w:rFonts w:cs="Times New Roman"/>
          <w:noProof/>
          <w:szCs w:val="24"/>
        </w:rPr>
        <w:t xml:space="preserve">Akyea-Larbi </w:t>
      </w:r>
      <w:r w:rsidR="00F14078">
        <w:rPr>
          <w:rFonts w:cs="Times New Roman"/>
          <w:noProof/>
          <w:szCs w:val="24"/>
        </w:rPr>
        <w:t xml:space="preserve">(2015) </w:t>
      </w:r>
      <w:r w:rsidR="00B41D38" w:rsidRPr="00FE7240">
        <w:rPr>
          <w:rFonts w:cs="Times New Roman"/>
          <w:noProof/>
          <w:szCs w:val="24"/>
        </w:rPr>
        <w:fldChar w:fldCharType="end"/>
      </w:r>
      <w:r w:rsidR="00B41D38" w:rsidRPr="00FE7240">
        <w:rPr>
          <w:rFonts w:cs="Times New Roman"/>
          <w:noProof/>
          <w:szCs w:val="24"/>
        </w:rPr>
        <w:t xml:space="preserve">reported </w:t>
      </w:r>
      <w:r w:rsidR="00FB4C32" w:rsidRPr="00FE7240">
        <w:rPr>
          <w:rFonts w:cs="Times New Roman"/>
          <w:noProof/>
          <w:szCs w:val="24"/>
        </w:rPr>
        <w:t xml:space="preserve">that more </w:t>
      </w:r>
      <w:r w:rsidR="00B41D38" w:rsidRPr="00FE7240">
        <w:rPr>
          <w:rFonts w:cs="Times New Roman"/>
          <w:noProof/>
          <w:szCs w:val="24"/>
        </w:rPr>
        <w:t xml:space="preserve">females </w:t>
      </w:r>
      <w:r w:rsidR="006F64FF" w:rsidRPr="00FE7240">
        <w:rPr>
          <w:rFonts w:cs="Times New Roman"/>
          <w:noProof/>
          <w:szCs w:val="24"/>
        </w:rPr>
        <w:t>(6</w:t>
      </w:r>
      <w:r w:rsidR="00E40839">
        <w:rPr>
          <w:rFonts w:cs="Times New Roman"/>
          <w:noProof/>
          <w:szCs w:val="24"/>
        </w:rPr>
        <w:t>7.6%</w:t>
      </w:r>
      <w:r w:rsidR="006F64FF" w:rsidRPr="00FE7240">
        <w:rPr>
          <w:rFonts w:cs="Times New Roman"/>
          <w:noProof/>
          <w:szCs w:val="24"/>
        </w:rPr>
        <w:t xml:space="preserve">) </w:t>
      </w:r>
      <w:r w:rsidR="00FB4C32" w:rsidRPr="00FE7240">
        <w:rPr>
          <w:rFonts w:cs="Times New Roman"/>
          <w:noProof/>
          <w:szCs w:val="24"/>
        </w:rPr>
        <w:t>than males (</w:t>
      </w:r>
      <w:r w:rsidR="00E40839">
        <w:rPr>
          <w:rFonts w:cs="Times New Roman"/>
          <w:noProof/>
          <w:szCs w:val="24"/>
        </w:rPr>
        <w:t>32.4</w:t>
      </w:r>
      <w:r w:rsidR="00E40839">
        <w:rPr>
          <w:rFonts w:cs="Times New Roman"/>
          <w:i/>
          <w:noProof/>
          <w:szCs w:val="24"/>
        </w:rPr>
        <w:t>%</w:t>
      </w:r>
      <w:r w:rsidR="00FB4C32" w:rsidRPr="00FE7240">
        <w:rPr>
          <w:rFonts w:cs="Times New Roman"/>
          <w:noProof/>
          <w:szCs w:val="24"/>
        </w:rPr>
        <w:t xml:space="preserve">) </w:t>
      </w:r>
      <w:r w:rsidR="00B41D38" w:rsidRPr="00FE7240">
        <w:rPr>
          <w:rFonts w:cs="Times New Roman"/>
          <w:noProof/>
          <w:szCs w:val="24"/>
        </w:rPr>
        <w:t>present</w:t>
      </w:r>
      <w:r w:rsidR="00FB4C32" w:rsidRPr="00FE7240">
        <w:rPr>
          <w:rFonts w:cs="Times New Roman"/>
          <w:noProof/>
          <w:szCs w:val="24"/>
        </w:rPr>
        <w:t xml:space="preserve">ed </w:t>
      </w:r>
      <w:r w:rsidR="00B41D38" w:rsidRPr="00FE7240">
        <w:rPr>
          <w:rFonts w:cs="Times New Roman"/>
          <w:noProof/>
          <w:szCs w:val="24"/>
        </w:rPr>
        <w:t xml:space="preserve">for CT </w:t>
      </w:r>
      <w:r w:rsidR="00FB4C32" w:rsidRPr="00FE7240">
        <w:rPr>
          <w:rFonts w:cs="Times New Roman"/>
          <w:noProof/>
          <w:szCs w:val="24"/>
        </w:rPr>
        <w:t xml:space="preserve">procedures </w:t>
      </w:r>
      <w:r w:rsidR="006F64FF" w:rsidRPr="00FE7240">
        <w:rPr>
          <w:rFonts w:cs="Times New Roman"/>
          <w:noProof/>
          <w:szCs w:val="24"/>
        </w:rPr>
        <w:t>in a Ghanaian health facility</w:t>
      </w:r>
      <w:r w:rsidR="00E40839">
        <w:rPr>
          <w:rFonts w:cs="Times New Roman"/>
          <w:noProof/>
          <w:szCs w:val="24"/>
        </w:rPr>
        <w:t xml:space="preserve">, while </w:t>
      </w:r>
      <w:r w:rsidR="005B5A2C" w:rsidRPr="00FE7240">
        <w:rPr>
          <w:rFonts w:cs="Times New Roman"/>
          <w:noProof/>
          <w:szCs w:val="24"/>
        </w:rPr>
        <w:fldChar w:fldCharType="begin" w:fldLock="1"/>
      </w:r>
      <w:r w:rsidR="005B5A2C" w:rsidRPr="00FE7240">
        <w:rPr>
          <w:rFonts w:cs="Times New Roman"/>
          <w:noProof/>
          <w:szCs w:val="24"/>
        </w:rPr>
        <w:instrText>ADDIN CSL_CITATION {"citationItems":[{"id":"ITEM-1","itemData":{"ISBN":"0859515567","abstract":"A new UK computed tomography (CT) survey has provided a useful snapshot of patient doses for 2003. Scan details for nearly 850 standard protocols and 2,000 individual patients relating to 12 common CT examinations on adults and children were collected by questionnaires voluntarily submitted by a widely-distributed sample of 126 scanners. This represented more than a quarter of all UK scanners and included 37% with multislice capability. Scanner-specific normalised CT dose data published by ImPACT were used to estimate standard dose indices CTDI w and CTDI vol for each sequence and, with knowledge of scan lengths, DLP for each examination. Effective doses were subsequently estimated from the calculated values of DLP. Wide variations in practice were still apparent between CT centres, although the overall levels of exposure were in general lower by 10-40% than previous UK survey data for 1991. There was, however, an apparent trend for slightly increased doses from multislice (4+) (MSCT) relative to single slice (SSCT) scanners for adult patients. Values of CTDI vol were broadly similar to recent survey data for MSCT from Europe for 2001. Effective doses to very young patients (aged 0-1 years) were typically higher than corresponding values for adults. Doses to individual patients were on average similar to those for the standard protocols established for each scanner, although significant variations were also apparent. The report includes summaries of the dose distributions observed and, on the basis of third quartile values, presents national reference doses for examinations on adults (separately for SSCT and MSCT) and children. The PREDICT (Patient Radiation Exposure and Dose in CT) database established by the survey represents a sustainable national resource for monitoring continuing developments in CT through the ongoing collation of further survey data. iii CONTENTS","author":[{"dropping-particle":"","family":"Shrimpton","given":"P C","non-dropping-particle":"","parse-names":false,"suffix":""},{"dropping-particle":"","family":"Hillier","given":"M C","non-dropping-particle":"","parse-names":false,"suffix":""},{"dropping-particle":"","family":"Dunn","given":"M","non-dropping-particle":"","parse-names":false,"suffix":""}],"id":"ITEM-1","issued":{"date-parts":[["2005"]]},"title":"NRPB-W67 Doses from Computed Tomography (CT) Examinations in the UK-2003 Review","type":"article-journal"},"uris":["http://www.mendeley.com/documents/?uuid=02bb9ffd-e490-3490-b7cf-0e0fe4748788"]}],"mendeley":{"formattedCitation":"(P C Shrimpton et al., 2005)","manualFormatting":"Shrimpton et al. (2005)","plainTextFormattedCitation":"(P C Shrimpton et al., 2005)","previouslyFormattedCitation":"(P C Shrimpton et al., 2005)"},"properties":{"noteIndex":0},"schema":"https://github.com/citation-style-language/schema/raw/master/csl-citation.json"}</w:instrText>
      </w:r>
      <w:r w:rsidR="005B5A2C" w:rsidRPr="00FE7240">
        <w:rPr>
          <w:rFonts w:cs="Times New Roman"/>
          <w:noProof/>
          <w:szCs w:val="24"/>
        </w:rPr>
        <w:fldChar w:fldCharType="separate"/>
      </w:r>
      <w:r w:rsidR="005B5A2C" w:rsidRPr="00FE7240">
        <w:rPr>
          <w:rFonts w:cs="Times New Roman"/>
          <w:noProof/>
          <w:szCs w:val="24"/>
        </w:rPr>
        <w:t>Shrimpton et al</w:t>
      </w:r>
      <w:r w:rsidR="00F14078">
        <w:rPr>
          <w:rFonts w:cs="Times New Roman"/>
          <w:noProof/>
          <w:szCs w:val="24"/>
        </w:rPr>
        <w:t>., (2016)</w:t>
      </w:r>
      <w:r w:rsidR="00867934" w:rsidRPr="00FE7240">
        <w:rPr>
          <w:rFonts w:cs="Times New Roman"/>
          <w:noProof/>
          <w:szCs w:val="24"/>
        </w:rPr>
        <w:t xml:space="preserve"> </w:t>
      </w:r>
      <w:r w:rsidR="005B5A2C" w:rsidRPr="00FE7240">
        <w:rPr>
          <w:rFonts w:cs="Times New Roman"/>
          <w:noProof/>
          <w:szCs w:val="24"/>
        </w:rPr>
        <w:fldChar w:fldCharType="end"/>
      </w:r>
      <w:r w:rsidR="00E40839">
        <w:rPr>
          <w:rFonts w:cs="Times New Roman"/>
          <w:noProof/>
          <w:szCs w:val="24"/>
        </w:rPr>
        <w:t xml:space="preserve">indicated </w:t>
      </w:r>
      <w:r w:rsidR="006F64FF" w:rsidRPr="00FE7240">
        <w:rPr>
          <w:rFonts w:cs="Times New Roman"/>
          <w:noProof/>
          <w:szCs w:val="24"/>
        </w:rPr>
        <w:t xml:space="preserve">that </w:t>
      </w:r>
      <w:r w:rsidR="00FB4C32" w:rsidRPr="00FE7240">
        <w:rPr>
          <w:rFonts w:cs="Times New Roman"/>
          <w:noProof/>
          <w:szCs w:val="24"/>
        </w:rPr>
        <w:t xml:space="preserve">more </w:t>
      </w:r>
      <w:r w:rsidR="006F64FF" w:rsidRPr="00FE7240">
        <w:rPr>
          <w:rFonts w:cs="Times New Roman"/>
          <w:noProof/>
          <w:szCs w:val="24"/>
        </w:rPr>
        <w:t>females (60</w:t>
      </w:r>
      <w:r w:rsidR="00FB4C32" w:rsidRPr="00FE7240">
        <w:rPr>
          <w:rFonts w:cs="Times New Roman"/>
          <w:noProof/>
          <w:szCs w:val="24"/>
        </w:rPr>
        <w:t>.0</w:t>
      </w:r>
      <w:r w:rsidR="006F64FF" w:rsidRPr="00FE7240">
        <w:rPr>
          <w:rFonts w:cs="Times New Roman"/>
          <w:noProof/>
          <w:szCs w:val="24"/>
        </w:rPr>
        <w:t xml:space="preserve">%) presented for </w:t>
      </w:r>
      <w:r w:rsidR="005B5A2C" w:rsidRPr="00FE7240">
        <w:rPr>
          <w:rFonts w:cs="Times New Roman"/>
          <w:noProof/>
          <w:szCs w:val="24"/>
        </w:rPr>
        <w:t xml:space="preserve">head CT examinations than </w:t>
      </w:r>
      <w:r w:rsidR="00066C7C" w:rsidRPr="00FE7240">
        <w:rPr>
          <w:rFonts w:cs="Times New Roman"/>
          <w:noProof/>
          <w:szCs w:val="24"/>
        </w:rPr>
        <w:t>males (40</w:t>
      </w:r>
      <w:r w:rsidR="00FB4C32" w:rsidRPr="00FE7240">
        <w:rPr>
          <w:rFonts w:cs="Times New Roman"/>
          <w:noProof/>
          <w:szCs w:val="24"/>
        </w:rPr>
        <w:t>.0%</w:t>
      </w:r>
      <w:r w:rsidR="00066C7C" w:rsidRPr="00FE7240">
        <w:rPr>
          <w:rFonts w:cs="Times New Roman"/>
          <w:noProof/>
          <w:szCs w:val="24"/>
        </w:rPr>
        <w:t xml:space="preserve">). </w:t>
      </w:r>
      <w:r w:rsidR="00B41D38" w:rsidRPr="00FE7240">
        <w:rPr>
          <w:rFonts w:cs="Times New Roman"/>
          <w:noProof/>
          <w:szCs w:val="24"/>
        </w:rPr>
        <w:t xml:space="preserve">In the </w:t>
      </w:r>
      <w:r w:rsidR="006F64FF" w:rsidRPr="00FE7240">
        <w:rPr>
          <w:rFonts w:cs="Times New Roman"/>
          <w:noProof/>
          <w:szCs w:val="24"/>
        </w:rPr>
        <w:t>contex</w:t>
      </w:r>
      <w:r w:rsidR="00B41D38" w:rsidRPr="00FE7240">
        <w:rPr>
          <w:rFonts w:cs="Times New Roman"/>
          <w:noProof/>
          <w:szCs w:val="24"/>
        </w:rPr>
        <w:t xml:space="preserve">t of </w:t>
      </w:r>
      <w:r w:rsidR="005B5A2C" w:rsidRPr="00FE7240">
        <w:rPr>
          <w:rFonts w:cs="Times New Roman"/>
          <w:noProof/>
          <w:szCs w:val="24"/>
        </w:rPr>
        <w:t xml:space="preserve">cumulative radiation exposures, </w:t>
      </w:r>
      <w:r w:rsidR="00B41D38" w:rsidRPr="00FE7240">
        <w:rPr>
          <w:rFonts w:cs="Times New Roman"/>
          <w:noProof/>
          <w:szCs w:val="24"/>
        </w:rPr>
        <w:t xml:space="preserve">the findings of this study </w:t>
      </w:r>
      <w:r w:rsidR="005B5A2C" w:rsidRPr="00FE7240">
        <w:rPr>
          <w:rFonts w:cs="Times New Roman"/>
          <w:noProof/>
          <w:szCs w:val="24"/>
        </w:rPr>
        <w:t xml:space="preserve">suggest that females are more </w:t>
      </w:r>
      <w:r w:rsidR="006F64FF" w:rsidRPr="00FE7240">
        <w:rPr>
          <w:rFonts w:cs="Times New Roman"/>
          <w:noProof/>
          <w:szCs w:val="24"/>
        </w:rPr>
        <w:t xml:space="preserve">liable </w:t>
      </w:r>
      <w:r w:rsidR="00B41D38" w:rsidRPr="00FE7240">
        <w:rPr>
          <w:rFonts w:cs="Times New Roman"/>
          <w:noProof/>
          <w:szCs w:val="24"/>
        </w:rPr>
        <w:t xml:space="preserve">to medical radiation exposures and associated risks </w:t>
      </w:r>
      <w:r w:rsidR="00FB4C32" w:rsidRPr="00FE7240">
        <w:rPr>
          <w:rFonts w:cs="Times New Roman"/>
          <w:noProof/>
          <w:szCs w:val="24"/>
        </w:rPr>
        <w:t>from</w:t>
      </w:r>
      <w:r w:rsidRPr="00FE7240">
        <w:rPr>
          <w:rFonts w:cs="Times New Roman"/>
          <w:noProof/>
          <w:szCs w:val="24"/>
        </w:rPr>
        <w:t xml:space="preserve"> </w:t>
      </w:r>
      <w:r w:rsidR="00FB4C32" w:rsidRPr="00FE7240">
        <w:rPr>
          <w:rFonts w:cs="Times New Roman"/>
          <w:noProof/>
          <w:szCs w:val="24"/>
        </w:rPr>
        <w:t xml:space="preserve">CT examinations, </w:t>
      </w:r>
      <w:r w:rsidR="00B41D38" w:rsidRPr="00FE7240">
        <w:rPr>
          <w:rFonts w:cs="Times New Roman"/>
          <w:noProof/>
          <w:szCs w:val="24"/>
        </w:rPr>
        <w:t xml:space="preserve">and </w:t>
      </w:r>
      <w:r w:rsidR="00E40839">
        <w:rPr>
          <w:rFonts w:cs="Times New Roman"/>
          <w:noProof/>
          <w:szCs w:val="24"/>
        </w:rPr>
        <w:t>are thus</w:t>
      </w:r>
      <w:r w:rsidR="00B41D38" w:rsidRPr="00FE7240">
        <w:rPr>
          <w:rFonts w:cs="Times New Roman"/>
          <w:noProof/>
          <w:szCs w:val="24"/>
        </w:rPr>
        <w:t xml:space="preserve">, more likely </w:t>
      </w:r>
      <w:r w:rsidR="00FB4C32" w:rsidRPr="00FE7240">
        <w:rPr>
          <w:rFonts w:cs="Times New Roman"/>
          <w:noProof/>
          <w:szCs w:val="24"/>
        </w:rPr>
        <w:t xml:space="preserve">to </w:t>
      </w:r>
      <w:r w:rsidR="005B5A2C" w:rsidRPr="00FE7240">
        <w:rPr>
          <w:rFonts w:cs="Times New Roman"/>
          <w:noProof/>
          <w:szCs w:val="24"/>
        </w:rPr>
        <w:t xml:space="preserve">develop </w:t>
      </w:r>
      <w:r w:rsidR="00B41D38" w:rsidRPr="00FE7240">
        <w:rPr>
          <w:rFonts w:cs="Times New Roman"/>
          <w:noProof/>
          <w:szCs w:val="24"/>
        </w:rPr>
        <w:t xml:space="preserve">radiation-induced stochastic and non-stochastic damages as well as diseases such </w:t>
      </w:r>
      <w:r w:rsidR="00C12A2D">
        <w:rPr>
          <w:rFonts w:cs="Times New Roman"/>
          <w:noProof/>
          <w:szCs w:val="24"/>
        </w:rPr>
        <w:t xml:space="preserve">as </w:t>
      </w:r>
      <w:r w:rsidR="005B5A2C" w:rsidRPr="00FE7240">
        <w:rPr>
          <w:rFonts w:cs="Times New Roman"/>
          <w:noProof/>
          <w:szCs w:val="24"/>
        </w:rPr>
        <w:t xml:space="preserve">cancer </w:t>
      </w:r>
      <w:r w:rsidR="00F14078">
        <w:rPr>
          <w:rFonts w:cs="Times New Roman"/>
          <w:noProof/>
          <w:szCs w:val="24"/>
        </w:rPr>
        <w:t>(</w:t>
      </w:r>
      <w:r w:rsidR="00F14078" w:rsidRPr="00F14078">
        <w:rPr>
          <w:rFonts w:eastAsia="Calibri" w:cs="Times New Roman"/>
          <w:szCs w:val="24"/>
        </w:rPr>
        <w:t>Smith-Bindman</w:t>
      </w:r>
      <w:r w:rsidR="00F14078">
        <w:rPr>
          <w:rFonts w:eastAsia="Calibri" w:cs="Times New Roman"/>
          <w:szCs w:val="24"/>
        </w:rPr>
        <w:t xml:space="preserve"> et al.</w:t>
      </w:r>
      <w:r w:rsidR="00F14078" w:rsidRPr="00F14078">
        <w:rPr>
          <w:rFonts w:eastAsia="Calibri" w:cs="Times New Roman"/>
          <w:szCs w:val="24"/>
        </w:rPr>
        <w:t xml:space="preserve">, </w:t>
      </w:r>
      <w:r w:rsidR="00F14078">
        <w:rPr>
          <w:rFonts w:eastAsia="Calibri" w:cs="Times New Roman"/>
          <w:szCs w:val="24"/>
        </w:rPr>
        <w:t>2011)</w:t>
      </w:r>
      <w:r w:rsidR="00557251" w:rsidRPr="00FE7240">
        <w:rPr>
          <w:rFonts w:cs="Times New Roman"/>
          <w:noProof/>
          <w:szCs w:val="24"/>
        </w:rPr>
        <w:t>.</w:t>
      </w:r>
    </w:p>
    <w:p w14:paraId="116C69EC" w14:textId="77777777" w:rsidR="00E40839" w:rsidRDefault="00E40839" w:rsidP="00E40839">
      <w:pPr>
        <w:pStyle w:val="Heading2"/>
        <w:spacing w:before="0" w:after="0" w:line="240" w:lineRule="auto"/>
        <w:rPr>
          <w:noProof/>
        </w:rPr>
      </w:pPr>
      <w:bookmarkStart w:id="11" w:name="_Toc82774841"/>
    </w:p>
    <w:p w14:paraId="3D4DAB27" w14:textId="628E4385" w:rsidR="00B15403" w:rsidRPr="00FE7240" w:rsidRDefault="00DE3FDB" w:rsidP="00741D04">
      <w:pPr>
        <w:pStyle w:val="Heading2"/>
        <w:spacing w:before="0" w:after="0" w:line="480" w:lineRule="auto"/>
        <w:rPr>
          <w:noProof/>
        </w:rPr>
      </w:pPr>
      <w:r>
        <w:rPr>
          <w:noProof/>
        </w:rPr>
        <w:t>4.2</w:t>
      </w:r>
      <w:r>
        <w:rPr>
          <w:noProof/>
        </w:rPr>
        <w:tab/>
      </w:r>
      <w:r w:rsidR="00FB4C32" w:rsidRPr="00FE7240">
        <w:rPr>
          <w:noProof/>
        </w:rPr>
        <w:t>Dosimetry</w:t>
      </w:r>
    </w:p>
    <w:bookmarkEnd w:id="11"/>
    <w:p w14:paraId="16531AE4" w14:textId="04F70830" w:rsidR="00DF1D27" w:rsidRPr="00FE7240" w:rsidRDefault="00EB013B" w:rsidP="00E40839">
      <w:pPr>
        <w:spacing w:line="480" w:lineRule="auto"/>
        <w:ind w:firstLine="720"/>
        <w:rPr>
          <w:rFonts w:cs="Times New Roman"/>
          <w:szCs w:val="24"/>
        </w:rPr>
      </w:pPr>
      <w:r w:rsidRPr="00FE7240">
        <w:rPr>
          <w:rFonts w:cs="Times New Roman"/>
          <w:noProof/>
          <w:szCs w:val="24"/>
        </w:rPr>
        <w:t xml:space="preserve">Constant values of </w:t>
      </w:r>
      <w:r w:rsidR="001C5EC6" w:rsidRPr="00FE7240">
        <w:rPr>
          <w:rFonts w:cs="Times New Roman"/>
          <w:noProof/>
          <w:szCs w:val="24"/>
        </w:rPr>
        <w:t>CTDI</w:t>
      </w:r>
      <w:r w:rsidR="001C5EC6" w:rsidRPr="00FE7240">
        <w:rPr>
          <w:rFonts w:cs="Times New Roman"/>
          <w:noProof/>
          <w:szCs w:val="24"/>
          <w:vertAlign w:val="subscript"/>
        </w:rPr>
        <w:t xml:space="preserve">vol </w:t>
      </w:r>
      <w:r w:rsidR="00B15403" w:rsidRPr="00FE7240">
        <w:rPr>
          <w:rFonts w:cs="Times New Roman"/>
          <w:noProof/>
          <w:szCs w:val="24"/>
          <w:vertAlign w:val="subscript"/>
        </w:rPr>
        <w:t xml:space="preserve"> </w:t>
      </w:r>
      <w:r w:rsidR="00B15403" w:rsidRPr="00FE7240">
        <w:rPr>
          <w:rFonts w:cs="Times New Roman"/>
          <w:noProof/>
          <w:szCs w:val="24"/>
        </w:rPr>
        <w:t xml:space="preserve">for </w:t>
      </w:r>
      <w:r w:rsidR="001C5EC6" w:rsidRPr="00FE7240">
        <w:rPr>
          <w:rFonts w:cs="Times New Roman"/>
          <w:noProof/>
          <w:szCs w:val="24"/>
        </w:rPr>
        <w:t xml:space="preserve">adult head CT </w:t>
      </w:r>
      <w:r w:rsidRPr="00FE7240">
        <w:rPr>
          <w:rFonts w:cs="Times New Roman"/>
          <w:noProof/>
          <w:szCs w:val="24"/>
        </w:rPr>
        <w:t xml:space="preserve">were recorded </w:t>
      </w:r>
      <w:r w:rsidR="001C5EC6" w:rsidRPr="00FE7240">
        <w:rPr>
          <w:rFonts w:cs="Times New Roman"/>
          <w:noProof/>
          <w:szCs w:val="24"/>
        </w:rPr>
        <w:t xml:space="preserve">at the </w:t>
      </w:r>
      <w:r w:rsidR="00DE350C">
        <w:rPr>
          <w:rFonts w:cs="Times New Roman"/>
          <w:noProof/>
          <w:szCs w:val="24"/>
        </w:rPr>
        <w:t xml:space="preserve">CT unit </w:t>
      </w:r>
      <w:r w:rsidR="001C5EC6" w:rsidRPr="00FE7240">
        <w:rPr>
          <w:rFonts w:cs="Times New Roman"/>
          <w:noProof/>
          <w:szCs w:val="24"/>
        </w:rPr>
        <w:t xml:space="preserve">irrespective of patient age or gender. This may be attributed to the </w:t>
      </w:r>
      <w:r w:rsidR="00DE350C">
        <w:rPr>
          <w:rFonts w:cs="Times New Roman"/>
          <w:noProof/>
          <w:szCs w:val="24"/>
        </w:rPr>
        <w:t xml:space="preserve">use of </w:t>
      </w:r>
      <w:r w:rsidR="001C5EC6" w:rsidRPr="00FE7240">
        <w:rPr>
          <w:rFonts w:cs="Times New Roman"/>
          <w:noProof/>
          <w:szCs w:val="24"/>
        </w:rPr>
        <w:t xml:space="preserve">fixed </w:t>
      </w:r>
      <w:r w:rsidR="00E40839">
        <w:rPr>
          <w:rFonts w:cs="Times New Roman"/>
          <w:noProof/>
          <w:szCs w:val="24"/>
        </w:rPr>
        <w:t>exposure factors and pitch</w:t>
      </w:r>
      <w:r w:rsidR="001C5EC6" w:rsidRPr="00FE7240">
        <w:rPr>
          <w:rFonts w:cs="Times New Roman"/>
          <w:noProof/>
          <w:szCs w:val="24"/>
        </w:rPr>
        <w:t xml:space="preserve">. </w:t>
      </w:r>
      <w:r w:rsidR="00B15403" w:rsidRPr="00FE7240">
        <w:rPr>
          <w:rFonts w:cs="Times New Roman"/>
          <w:noProof/>
          <w:szCs w:val="24"/>
        </w:rPr>
        <w:t>The meanvalue of the CTDI</w:t>
      </w:r>
      <w:r w:rsidR="00B15403" w:rsidRPr="00FE7240">
        <w:rPr>
          <w:rFonts w:cs="Times New Roman"/>
          <w:noProof/>
          <w:szCs w:val="24"/>
          <w:vertAlign w:val="subscript"/>
        </w:rPr>
        <w:t xml:space="preserve">vol </w:t>
      </w:r>
      <w:r w:rsidR="00B15403" w:rsidRPr="00FE7240">
        <w:rPr>
          <w:rFonts w:cs="Times New Roman"/>
          <w:noProof/>
          <w:szCs w:val="24"/>
        </w:rPr>
        <w:t xml:space="preserve">were 86.00 ± 0.00 mGy. </w:t>
      </w:r>
      <w:r w:rsidR="001C5EC6" w:rsidRPr="00FE7240">
        <w:rPr>
          <w:rFonts w:cs="Times New Roman"/>
          <w:noProof/>
          <w:szCs w:val="24"/>
        </w:rPr>
        <w:t>The DLP</w:t>
      </w:r>
      <w:r w:rsidR="00B15403" w:rsidRPr="00FE7240">
        <w:rPr>
          <w:rFonts w:cs="Times New Roman"/>
          <w:noProof/>
          <w:szCs w:val="24"/>
        </w:rPr>
        <w:t xml:space="preserve"> values </w:t>
      </w:r>
      <w:r w:rsidR="001C5EC6" w:rsidRPr="00FE7240">
        <w:rPr>
          <w:rFonts w:cs="Times New Roman"/>
          <w:noProof/>
          <w:szCs w:val="24"/>
        </w:rPr>
        <w:t>howev</w:t>
      </w:r>
      <w:r w:rsidR="00686372">
        <w:rPr>
          <w:rFonts w:cs="Times New Roman"/>
          <w:noProof/>
          <w:szCs w:val="24"/>
        </w:rPr>
        <w:t xml:space="preserve">er varied depending on the area </w:t>
      </w:r>
      <w:r w:rsidR="001C5EC6" w:rsidRPr="00FE7240">
        <w:rPr>
          <w:rFonts w:cs="Times New Roman"/>
          <w:noProof/>
          <w:szCs w:val="24"/>
        </w:rPr>
        <w:t>of co</w:t>
      </w:r>
      <w:r w:rsidR="00B15403" w:rsidRPr="00FE7240">
        <w:rPr>
          <w:rFonts w:cs="Times New Roman"/>
          <w:noProof/>
          <w:szCs w:val="24"/>
        </w:rPr>
        <w:t xml:space="preserve">verage selected by the </w:t>
      </w:r>
      <w:r w:rsidR="000A6429">
        <w:rPr>
          <w:rFonts w:cs="Times New Roman"/>
          <w:noProof/>
          <w:szCs w:val="24"/>
        </w:rPr>
        <w:t>radiographer</w:t>
      </w:r>
      <w:r w:rsidR="00B15403" w:rsidRPr="00FE7240">
        <w:rPr>
          <w:rFonts w:cs="Times New Roman"/>
          <w:noProof/>
          <w:szCs w:val="24"/>
        </w:rPr>
        <w:t xml:space="preserve">, with corresponding recorded </w:t>
      </w:r>
      <w:r w:rsidR="001C5EC6" w:rsidRPr="00FE7240">
        <w:rPr>
          <w:rFonts w:cs="Times New Roman"/>
          <w:noProof/>
          <w:szCs w:val="24"/>
        </w:rPr>
        <w:t>mean and 75</w:t>
      </w:r>
      <w:r w:rsidR="001C5EC6" w:rsidRPr="00FE7240">
        <w:rPr>
          <w:rFonts w:cs="Times New Roman"/>
          <w:noProof/>
          <w:szCs w:val="24"/>
          <w:vertAlign w:val="superscript"/>
        </w:rPr>
        <w:t>th</w:t>
      </w:r>
      <w:r w:rsidR="001C5EC6" w:rsidRPr="00FE7240">
        <w:rPr>
          <w:rFonts w:cs="Times New Roman"/>
          <w:noProof/>
          <w:szCs w:val="24"/>
        </w:rPr>
        <w:t xml:space="preserve"> percentile </w:t>
      </w:r>
      <w:r w:rsidR="00B15403" w:rsidRPr="00FE7240">
        <w:rPr>
          <w:rFonts w:cs="Times New Roman"/>
          <w:noProof/>
          <w:szCs w:val="24"/>
        </w:rPr>
        <w:t xml:space="preserve">values of </w:t>
      </w:r>
      <w:r w:rsidR="00375BAB" w:rsidRPr="00FE7240">
        <w:rPr>
          <w:rFonts w:cs="Times New Roman"/>
          <w:noProof/>
          <w:szCs w:val="24"/>
        </w:rPr>
        <w:t>1559.68 ± 197.18 mGy.cm</w:t>
      </w:r>
      <w:r w:rsidR="00B15403" w:rsidRPr="00FE7240">
        <w:rPr>
          <w:rFonts w:cs="Times New Roman"/>
          <w:noProof/>
          <w:szCs w:val="24"/>
        </w:rPr>
        <w:t xml:space="preserve"> and </w:t>
      </w:r>
      <w:r w:rsidR="00375BAB" w:rsidRPr="00FE7240">
        <w:rPr>
          <w:rFonts w:eastAsia="Times New Roman" w:cs="Times New Roman"/>
          <w:szCs w:val="24"/>
        </w:rPr>
        <w:t>1613.60 mGy.cm</w:t>
      </w:r>
      <w:r w:rsidR="00B15403" w:rsidRPr="00FE7240">
        <w:rPr>
          <w:rFonts w:eastAsia="Times New Roman" w:cs="Times New Roman"/>
          <w:szCs w:val="24"/>
        </w:rPr>
        <w:t xml:space="preserve"> </w:t>
      </w:r>
      <w:r w:rsidR="001C5EC6" w:rsidRPr="00FE7240">
        <w:rPr>
          <w:rFonts w:cs="Times New Roman"/>
          <w:noProof/>
          <w:szCs w:val="24"/>
        </w:rPr>
        <w:t xml:space="preserve">respectively. </w:t>
      </w:r>
      <w:r w:rsidR="00375BAB" w:rsidRPr="00FE7240">
        <w:rPr>
          <w:rFonts w:cs="Times New Roman"/>
          <w:noProof/>
          <w:szCs w:val="24"/>
        </w:rPr>
        <w:t xml:space="preserve">This yielded </w:t>
      </w:r>
      <w:r w:rsidR="00686372">
        <w:rPr>
          <w:rFonts w:cs="Times New Roman"/>
          <w:noProof/>
          <w:szCs w:val="24"/>
        </w:rPr>
        <w:t xml:space="preserve">a </w:t>
      </w:r>
      <w:r w:rsidR="00375BAB" w:rsidRPr="00FE7240">
        <w:rPr>
          <w:rFonts w:cs="Times New Roman"/>
          <w:noProof/>
          <w:szCs w:val="24"/>
        </w:rPr>
        <w:t>substant</w:t>
      </w:r>
      <w:r w:rsidR="00B15403" w:rsidRPr="00FE7240">
        <w:rPr>
          <w:rFonts w:cs="Times New Roman"/>
          <w:noProof/>
          <w:szCs w:val="24"/>
        </w:rPr>
        <w:t xml:space="preserve">ially high mean </w:t>
      </w:r>
      <w:r w:rsidRPr="00FE7240">
        <w:rPr>
          <w:rFonts w:cs="Times New Roman"/>
          <w:i/>
          <w:noProof/>
          <w:szCs w:val="24"/>
        </w:rPr>
        <w:t>D</w:t>
      </w:r>
      <w:r w:rsidRPr="00FE7240">
        <w:rPr>
          <w:rFonts w:cs="Times New Roman"/>
          <w:i/>
          <w:noProof/>
          <w:szCs w:val="24"/>
          <w:vertAlign w:val="subscript"/>
        </w:rPr>
        <w:t>eff</w:t>
      </w:r>
      <w:r w:rsidR="00B15403" w:rsidRPr="00FE7240">
        <w:rPr>
          <w:rFonts w:cs="Times New Roman"/>
          <w:noProof/>
          <w:szCs w:val="24"/>
        </w:rPr>
        <w:t xml:space="preserve"> of </w:t>
      </w:r>
      <w:r w:rsidR="00375BAB" w:rsidRPr="00FE7240">
        <w:rPr>
          <w:rFonts w:cs="Times New Roman"/>
          <w:szCs w:val="24"/>
        </w:rPr>
        <w:t xml:space="preserve">3.57 ± 0.46 mSv compared with </w:t>
      </w:r>
      <w:r w:rsidR="00B15403" w:rsidRPr="00FE7240">
        <w:rPr>
          <w:rFonts w:cs="Times New Roman"/>
          <w:szCs w:val="24"/>
        </w:rPr>
        <w:t xml:space="preserve">the ICRP </w:t>
      </w:r>
      <w:r w:rsidR="00375BAB" w:rsidRPr="00FE7240">
        <w:rPr>
          <w:rFonts w:cs="Times New Roman"/>
          <w:szCs w:val="24"/>
        </w:rPr>
        <w:t>international standards</w:t>
      </w:r>
      <w:r w:rsidR="00D93894" w:rsidRPr="00FE7240">
        <w:rPr>
          <w:rFonts w:cs="Times New Roman"/>
          <w:szCs w:val="24"/>
        </w:rPr>
        <w:t xml:space="preserve">. </w:t>
      </w:r>
    </w:p>
    <w:p w14:paraId="309EB241" w14:textId="1401D17D" w:rsidR="00EC52A4" w:rsidRPr="007B00D6" w:rsidRDefault="00EB013B" w:rsidP="007B00D6">
      <w:pPr>
        <w:spacing w:line="480" w:lineRule="auto"/>
        <w:ind w:firstLine="720"/>
        <w:rPr>
          <w:rFonts w:cs="Times New Roman"/>
          <w:strike/>
          <w:color w:val="FF0000"/>
          <w:szCs w:val="24"/>
        </w:rPr>
      </w:pPr>
      <w:r w:rsidRPr="00FE7240">
        <w:rPr>
          <w:rFonts w:cs="Times New Roman"/>
          <w:noProof/>
          <w:szCs w:val="24"/>
        </w:rPr>
        <w:t>The measured CTDI</w:t>
      </w:r>
      <w:r w:rsidRPr="00FE7240">
        <w:rPr>
          <w:rFonts w:cs="Times New Roman"/>
          <w:noProof/>
          <w:szCs w:val="24"/>
          <w:vertAlign w:val="subscript"/>
        </w:rPr>
        <w:t>vol</w:t>
      </w:r>
      <w:r w:rsidRPr="00FE7240">
        <w:rPr>
          <w:rFonts w:cs="Times New Roman"/>
          <w:noProof/>
          <w:szCs w:val="24"/>
        </w:rPr>
        <w:t xml:space="preserve"> and DLP values obtained in this study were compar</w:t>
      </w:r>
      <w:r w:rsidR="00013347" w:rsidRPr="00FE7240">
        <w:rPr>
          <w:rFonts w:cs="Times New Roman"/>
          <w:noProof/>
          <w:szCs w:val="24"/>
        </w:rPr>
        <w:t>atively higher tha</w:t>
      </w:r>
      <w:r w:rsidR="00EC52A4" w:rsidRPr="00FE7240">
        <w:rPr>
          <w:rFonts w:cs="Times New Roman"/>
          <w:noProof/>
          <w:szCs w:val="24"/>
        </w:rPr>
        <w:t>n</w:t>
      </w:r>
      <w:r w:rsidR="00013347" w:rsidRPr="00FE7240">
        <w:rPr>
          <w:rFonts w:cs="Times New Roman"/>
          <w:noProof/>
          <w:szCs w:val="24"/>
        </w:rPr>
        <w:t xml:space="preserve"> reporte</w:t>
      </w:r>
      <w:r w:rsidRPr="00FE7240">
        <w:rPr>
          <w:rFonts w:cs="Times New Roman"/>
          <w:noProof/>
          <w:szCs w:val="24"/>
        </w:rPr>
        <w:t>d</w:t>
      </w:r>
      <w:r w:rsidR="00013347" w:rsidRPr="00FE7240">
        <w:rPr>
          <w:rFonts w:cs="Times New Roman"/>
          <w:noProof/>
          <w:szCs w:val="24"/>
        </w:rPr>
        <w:t xml:space="preserve"> </w:t>
      </w:r>
      <w:r w:rsidRPr="00FE7240">
        <w:rPr>
          <w:rFonts w:cs="Times New Roman"/>
          <w:noProof/>
          <w:szCs w:val="24"/>
        </w:rPr>
        <w:t xml:space="preserve">elsewhere in the </w:t>
      </w:r>
      <w:r w:rsidR="00686372">
        <w:rPr>
          <w:rFonts w:cs="Times New Roman"/>
          <w:noProof/>
          <w:szCs w:val="24"/>
        </w:rPr>
        <w:t>literature</w:t>
      </w:r>
      <w:r w:rsidR="00EC52A4" w:rsidRPr="00FE7240">
        <w:rPr>
          <w:rFonts w:cs="Times New Roman"/>
          <w:noProof/>
          <w:szCs w:val="24"/>
        </w:rPr>
        <w:t xml:space="preserve"> (Table </w:t>
      </w:r>
      <w:r w:rsidR="001F0628" w:rsidRPr="00FE7240">
        <w:rPr>
          <w:rFonts w:cs="Times New Roman"/>
          <w:noProof/>
          <w:szCs w:val="24"/>
        </w:rPr>
        <w:t xml:space="preserve"> 3</w:t>
      </w:r>
      <w:r w:rsidR="00EC52A4" w:rsidRPr="00FE7240">
        <w:rPr>
          <w:rFonts w:cs="Times New Roman"/>
          <w:noProof/>
          <w:szCs w:val="24"/>
        </w:rPr>
        <w:t>)</w:t>
      </w:r>
      <w:r w:rsidR="000A6429">
        <w:rPr>
          <w:rFonts w:cs="Times New Roman"/>
          <w:noProof/>
          <w:szCs w:val="24"/>
        </w:rPr>
        <w:t xml:space="preserve">, necessitating </w:t>
      </w:r>
      <w:r w:rsidR="00BC0906" w:rsidRPr="00FE7240">
        <w:rPr>
          <w:rFonts w:cs="Times New Roman"/>
          <w:szCs w:val="24"/>
        </w:rPr>
        <w:t xml:space="preserve">actions to reduce the radiation doses. </w:t>
      </w:r>
      <w:r w:rsidR="00EC52A4" w:rsidRPr="00FE7240">
        <w:rPr>
          <w:rFonts w:cs="Times New Roman"/>
          <w:szCs w:val="24"/>
        </w:rPr>
        <w:t xml:space="preserve">In a Kenyan study conducted on 50% of CT facilities, </w:t>
      </w:r>
      <w:r w:rsidR="00EC52A4" w:rsidRPr="00FE7240">
        <w:rPr>
          <w:rFonts w:cs="Times New Roman"/>
          <w:szCs w:val="24"/>
        </w:rPr>
        <w:fldChar w:fldCharType="begin" w:fldLock="1"/>
      </w:r>
      <w:r w:rsidR="00EC52A4" w:rsidRPr="00FE7240">
        <w:rPr>
          <w:rFonts w:cs="Times New Roman"/>
          <w:szCs w:val="24"/>
        </w:rPr>
        <w:instrText>ADDIN CSL_CITATION {"citationItems":[{"id":"ITEM-1","itemData":{"DOI":"10.1093/rpd/ncv020","abstract":"The purpose of this study was to estimate the computed tomography (CT) examination frequency, patient radiation exposure, effective doses and national diagnostic reference levels (NDRLs) associated with CT examinations in clinical practice. A structured questionnaire-type form was developed for recording examination frequency, scanning protocols and patient radiation exposure during CT procedures in fully equipped medical facilities across the country. The national annual number of CT examinations per 1000 people was estimated to be 3 procedures. The volume-weighted CT dose index, dose length product, effective dose and NDRLs were determined for 20 types of adult and paediatric CT examinations. Additionally, the CT annual collective effective dose and effective dose per capita were approximated. The radiation exposure during CT examinations was broadly distributed between the facilities that took part in the study. This calls for a need to develop and implement diagnostic reference levels as a standardisation and optimisation tool for the radiological protection of patients at all the CT facilities nationwide.","author":[{"dropping-particle":"","family":"Korir","given":"Geoffrey K","non-dropping-particle":"","parse-names":false,"suffix":""},{"dropping-particle":"","family":"Wambani","given":"Jeska S","non-dropping-particle":"","parse-names":false,"suffix":""},{"dropping-particle":"","family":"Korir","given":"Ian K","non-dropping-particle":"","parse-names":false,"suffix":""},{"dropping-particle":"","family":"Tries","given":"Mark A","non-dropping-particle":"","parse-names":false,"suffix":""},{"dropping-particle":"","family":"Boen","given":"Patrick K","non-dropping-particle":"","parse-names":false,"suffix":""}],"id":"ITEM-1","issued":{"date-parts":[["2015"]]},"title":"NATIONAL DIAGNOSTIC REFERENCE LEVEL INITIATIVE FOR COMPUTED TOMOGRAPHY EXAMINATIONS IN KENYA","type":"article-journal"},"uris":["http://www.mendeley.com/documents/?uuid=945faf48-e35d-3264-905f-ec646c230ef0"]}],"mendeley":{"formattedCitation":"(Korir et al., 2015)","manualFormatting":"Korir et al. (2015)","plainTextFormattedCitation":"(Korir et al., 2015)","previouslyFormattedCitation":"(Korir et al., 2015)"},"properties":{"noteIndex":0},"schema":"https://github.com/citation-style-language/schema/raw/master/csl-citation.json"}</w:instrText>
      </w:r>
      <w:r w:rsidR="00EC52A4" w:rsidRPr="00FE7240">
        <w:rPr>
          <w:rFonts w:cs="Times New Roman"/>
          <w:szCs w:val="24"/>
        </w:rPr>
        <w:fldChar w:fldCharType="separate"/>
      </w:r>
      <w:r w:rsidR="00EC52A4" w:rsidRPr="00FE7240">
        <w:rPr>
          <w:rFonts w:cs="Times New Roman"/>
          <w:noProof/>
          <w:szCs w:val="24"/>
        </w:rPr>
        <w:t>Korir et al</w:t>
      </w:r>
      <w:r w:rsidR="00F14078">
        <w:rPr>
          <w:rFonts w:cs="Times New Roman"/>
          <w:noProof/>
          <w:szCs w:val="24"/>
        </w:rPr>
        <w:t>.,(2015)</w:t>
      </w:r>
      <w:r w:rsidR="00557251" w:rsidRPr="00FE7240">
        <w:rPr>
          <w:rFonts w:cs="Times New Roman"/>
          <w:noProof/>
          <w:szCs w:val="24"/>
        </w:rPr>
        <w:t xml:space="preserve"> </w:t>
      </w:r>
      <w:r w:rsidR="00EC52A4" w:rsidRPr="00FE7240">
        <w:rPr>
          <w:rFonts w:cs="Times New Roman"/>
          <w:szCs w:val="24"/>
        </w:rPr>
        <w:fldChar w:fldCharType="end"/>
      </w:r>
      <w:r w:rsidR="00EC52A4" w:rsidRPr="00FE7240">
        <w:rPr>
          <w:rFonts w:cs="Times New Roman"/>
          <w:szCs w:val="24"/>
        </w:rPr>
        <w:t xml:space="preserve"> reported optimiz</w:t>
      </w:r>
      <w:r w:rsidR="00BC0906" w:rsidRPr="00FE7240">
        <w:rPr>
          <w:rFonts w:cs="Times New Roman"/>
          <w:szCs w:val="24"/>
        </w:rPr>
        <w:t xml:space="preserve">ed mean </w:t>
      </w:r>
      <w:r w:rsidR="00EC52A4" w:rsidRPr="00FE7240">
        <w:rPr>
          <w:rFonts w:cs="Times New Roman"/>
          <w:szCs w:val="24"/>
        </w:rPr>
        <w:t>CTDI</w:t>
      </w:r>
      <w:r w:rsidR="00EC52A4" w:rsidRPr="00FE7240">
        <w:rPr>
          <w:rFonts w:cs="Times New Roman"/>
          <w:szCs w:val="24"/>
          <w:vertAlign w:val="subscript"/>
        </w:rPr>
        <w:t>vol</w:t>
      </w:r>
      <w:r w:rsidR="00EC52A4" w:rsidRPr="00FE7240">
        <w:rPr>
          <w:rFonts w:cs="Times New Roman"/>
          <w:szCs w:val="24"/>
        </w:rPr>
        <w:t xml:space="preserve"> and DLP </w:t>
      </w:r>
      <w:r w:rsidR="00BC0906" w:rsidRPr="00FE7240">
        <w:rPr>
          <w:rFonts w:cs="Times New Roman"/>
          <w:szCs w:val="24"/>
        </w:rPr>
        <w:t xml:space="preserve">doses of </w:t>
      </w:r>
      <w:r w:rsidR="00EC52A4" w:rsidRPr="00FE7240">
        <w:rPr>
          <w:rFonts w:cs="Times New Roman"/>
          <w:szCs w:val="24"/>
        </w:rPr>
        <w:t>55.00 mGy and 1274.00 mGy.cm respectively.</w:t>
      </w:r>
      <w:r w:rsidR="00BC0906" w:rsidRPr="00FE7240">
        <w:rPr>
          <w:rFonts w:cs="Times New Roman"/>
          <w:szCs w:val="24"/>
        </w:rPr>
        <w:t xml:space="preserve"> Although a lower average CTDI</w:t>
      </w:r>
      <w:r w:rsidR="00BC0906" w:rsidRPr="00FE7240">
        <w:rPr>
          <w:rFonts w:cs="Times New Roman"/>
          <w:szCs w:val="24"/>
          <w:vertAlign w:val="subscript"/>
        </w:rPr>
        <w:t>vol</w:t>
      </w:r>
      <w:r w:rsidR="00BC0906" w:rsidRPr="00FE7240">
        <w:rPr>
          <w:rFonts w:cs="Times New Roman"/>
          <w:szCs w:val="24"/>
        </w:rPr>
        <w:t xml:space="preserve"> value </w:t>
      </w:r>
      <w:r w:rsidR="00686372">
        <w:rPr>
          <w:rFonts w:cs="Times New Roman"/>
          <w:szCs w:val="24"/>
        </w:rPr>
        <w:t xml:space="preserve">of </w:t>
      </w:r>
      <w:r w:rsidR="00BC0906" w:rsidRPr="00FE7240">
        <w:rPr>
          <w:rFonts w:cs="Times New Roman"/>
          <w:szCs w:val="24"/>
        </w:rPr>
        <w:t xml:space="preserve">28.80 mGy was reported in </w:t>
      </w:r>
      <w:r w:rsidR="00EC52A4" w:rsidRPr="00FE7240">
        <w:rPr>
          <w:rFonts w:cs="Times New Roman"/>
          <w:szCs w:val="24"/>
        </w:rPr>
        <w:t>an</w:t>
      </w:r>
      <w:r w:rsidR="00BC0906" w:rsidRPr="00FE7240">
        <w:rPr>
          <w:rFonts w:cs="Times New Roman"/>
          <w:szCs w:val="24"/>
        </w:rPr>
        <w:t xml:space="preserve"> Egyptian s</w:t>
      </w:r>
      <w:r w:rsidR="00EC52A4" w:rsidRPr="00FE7240">
        <w:rPr>
          <w:rFonts w:cs="Times New Roman"/>
          <w:szCs w:val="24"/>
        </w:rPr>
        <w:t xml:space="preserve">tudy conducted on a cohort of 900 patients undergoing head CT examination, </w:t>
      </w:r>
      <w:r w:rsidR="00EC52A4" w:rsidRPr="00FE7240">
        <w:rPr>
          <w:rFonts w:cs="Times New Roman"/>
          <w:szCs w:val="24"/>
        </w:rPr>
        <w:fldChar w:fldCharType="begin" w:fldLock="1"/>
      </w:r>
      <w:r w:rsidR="00EC52A4" w:rsidRPr="00FE7240">
        <w:rPr>
          <w:rFonts w:cs="Times New Roman"/>
          <w:szCs w:val="24"/>
        </w:rPr>
        <w:instrText>ADDIN CSL_CITATION {"citationItems":[{"id":"ITEM-1","itemData":{"DOI":"10.1016/j.ejmp.2017.05.050","ISSN":"1724191X","PMID":"28711184","abstract":"Objectives To establish national diagnostic reference levels (DRLs) in Egypt for computed tomography (CT) examinations of adults and identify the potential for optimization. Methods Data from 3762 individual patient's undergoing CT scans of head, chest (high resolution), abdomen, abdomen-pelvis, chest-abdomen-pelvis and CT angiography (aorta and both lower limbs) examinations in 50 CT facilities were collected. This represents 20% of facilities in the country and all of the 27 Governorates. Results were compared with DRLs of UK, USA, Canada, Japan, Australia and France. Results The Egyptian DRLs for CTDIvol in mGy are for head: 30, chest (high resolution): 22, abdomen (liver metastasis): 31, abdomen-pelvis: 31, chest-abdomen–pelvis: 33 and CT angiography (aorta and lower limbs): 37. The corresponding DRLs for DLP in mGy.cm are 1360, 420, 1425, 1325, 1320 and 1320. For head CT, the Egyptian DRL for CTDIvol is 2–3 times lower than the DRLs from other countries. However, the DRL in terms of DLP is in the same range or higher as compared to others. The Egyptian DRL for chest CT (high resolution) is similar to others for DLP but higher for CTDIvol. For abdomen and abdomen-pelvis DRLs for CTDIvol are higher than others. For DLP, the DRLs for abdomen are higher than DRL in UK and lower than those in Japan, while for abdomen-pelvis they are higher than other countries. Conclusion Despite lower DRLs for CTDIvol, an important consistent problem appears to be higher scan range as DRLs for DLP are higher.","author":[{"dropping-particle":"","family":"Salama","given":"Dina Husseiny","non-dropping-particle":"","parse-names":false,"suffix":""},{"dropping-particle":"","family":"Vassileva","given":"Jenia","non-dropping-particle":"","parse-names":false,"suffix":""},{"dropping-particle":"","family":"Mahdaly","given":"Gamal","non-dropping-particle":"","parse-names":false,"suffix":""},{"dropping-particle":"","family":"Shawki","given":"Mona","non-dropping-particle":"","parse-names":false,"suffix":""},{"dropping-particle":"","family":"Salama","given":"Ahmad","non-dropping-particle":"","parse-names":false,"suffix":""},{"dropping-particle":"","family":"Gilley","given":"Debbie","non-dropping-particle":"","parse-names":false,"suffix":""},{"dropping-particle":"","family":"Rehani","given":"Madan Mohan","non-dropping-particle":"","parse-names":false,"suffix":""}],"container-title":"Physica Medica","id":"ITEM-1","issued":{"date-parts":[["2017","7","1"]]},"page":"16-24","publisher":"Associazione Italiana di Fisica Medica","title":"Establishing national diagnostic reference levels (DRLs) for computed tomography in Egypt","type":"article-journal","volume":"39"},"uris":["http://www.mendeley.com/documents/?uuid=03ebb423-a20d-3e6b-baa3-4d76bbdd863e"]}],"mendeley":{"formattedCitation":"(Salama et al., 2017)","manualFormatting":"Salama et al. (2017)","plainTextFormattedCitation":"(Salama et al., 2017)","previouslyFormattedCitation":"(Salama et al., 2017)"},"properties":{"noteIndex":0},"schema":"https://github.com/citation-style-language/schema/raw/master/csl-citation.json"}</w:instrText>
      </w:r>
      <w:r w:rsidR="00EC52A4" w:rsidRPr="00FE7240">
        <w:rPr>
          <w:rFonts w:cs="Times New Roman"/>
          <w:szCs w:val="24"/>
        </w:rPr>
        <w:fldChar w:fldCharType="separate"/>
      </w:r>
      <w:r w:rsidR="00EC52A4" w:rsidRPr="00FE7240">
        <w:rPr>
          <w:rFonts w:cs="Times New Roman"/>
          <w:noProof/>
          <w:szCs w:val="24"/>
        </w:rPr>
        <w:t>Salama et al</w:t>
      </w:r>
      <w:r w:rsidR="00F14078">
        <w:rPr>
          <w:rFonts w:cs="Times New Roman"/>
          <w:noProof/>
          <w:szCs w:val="24"/>
        </w:rPr>
        <w:t>., (2017)</w:t>
      </w:r>
      <w:r w:rsidR="00EC52A4" w:rsidRPr="00FE7240">
        <w:rPr>
          <w:rFonts w:cs="Times New Roman"/>
          <w:szCs w:val="24"/>
        </w:rPr>
        <w:fldChar w:fldCharType="end"/>
      </w:r>
      <w:r w:rsidR="007B00D6" w:rsidRPr="00FE7240">
        <w:rPr>
          <w:rFonts w:cs="Times New Roman"/>
          <w:szCs w:val="24"/>
        </w:rPr>
        <w:t xml:space="preserve"> </w:t>
      </w:r>
      <w:r w:rsidR="00EC52A4" w:rsidRPr="00FE7240">
        <w:rPr>
          <w:rFonts w:cs="Times New Roman"/>
          <w:szCs w:val="24"/>
        </w:rPr>
        <w:t xml:space="preserve"> concluded that further actions were needed to reduce the DLP</w:t>
      </w:r>
      <w:r w:rsidR="00BC0906" w:rsidRPr="00FE7240">
        <w:rPr>
          <w:rFonts w:cs="Times New Roman"/>
          <w:szCs w:val="24"/>
        </w:rPr>
        <w:t xml:space="preserve"> of 1000.50 </w:t>
      </w:r>
      <w:r w:rsidR="00182CD1">
        <w:rPr>
          <w:rFonts w:cs="Times New Roman"/>
          <w:szCs w:val="24"/>
        </w:rPr>
        <w:t>m</w:t>
      </w:r>
      <w:r w:rsidR="00BC0906" w:rsidRPr="00FE7240">
        <w:rPr>
          <w:rFonts w:cs="Times New Roman"/>
          <w:szCs w:val="24"/>
        </w:rPr>
        <w:t>Gy.cm</w:t>
      </w:r>
      <w:r w:rsidR="00EC52A4" w:rsidRPr="00FE7240">
        <w:rPr>
          <w:rFonts w:cs="Times New Roman"/>
          <w:szCs w:val="24"/>
        </w:rPr>
        <w:t xml:space="preserve">. </w:t>
      </w:r>
      <w:r w:rsidR="00EC52A4" w:rsidRPr="00FE7240">
        <w:rPr>
          <w:rFonts w:cs="Times New Roman"/>
          <w:szCs w:val="24"/>
        </w:rPr>
        <w:fldChar w:fldCharType="begin" w:fldLock="1"/>
      </w:r>
      <w:r w:rsidR="00EC52A4" w:rsidRPr="00FE7240">
        <w:rPr>
          <w:rFonts w:cs="Times New Roman"/>
          <w:szCs w:val="24"/>
        </w:rPr>
        <w:instrText>ADDIN CSL_CITATION {"citationItems":[{"id":"ITEM-1","itemData":{"DOI":"10.1148/radiol.2403050993","abstract":"Purpose: To measure radiation doses for computed tomography (CT) of the head, chest, and abdomen and compare them with the diagnostic reference levels, as part of the International Atomic Energy Agency Research coordination project. Materials and Methods: The local ethics committees of all participating institutions approved the study protocol. Written informed consent was obtained from all patients. All scanners were helical single-section or multi-detector row CT systems. Six hundred thirty-three patients undergoing head (n 97), chest (n 243), or abdominal (n 293) CT were included. Collected data included patient height, weight, sex, and age; tube voltage and tube current-time product settings; pitch; section thickness; number of sections; weighted or volumetric CT dose index; and dose-length product (DLP). The effective dose was also estimated and served as collective dose estimation data. Results: Mean volumetric CT dose index and DLP values were below the European diagnostic reference levels: 39 mGy and 544 mGy cm, respectively, at head CT; 9.3 mGy and 348 mGy cm, respectively, at chest CT; and 10.4 mGy and 549 mGy cm, respectively, at abdominal CT. Estimated effective doses were 1.2, 5.9, and 8.2 mSv, respectively. Conclusion: Comparison of CT results with diagnostic reference levels revealed the need for revisions, partly because the newer scanners have improved technology that facilitates lower patient doses.","author":[{"dropping-particle":"","family":"Tsapaki","given":"Virginia","non-dropping-particle":"","parse-names":false,"suffix":""},{"dropping-particle":"","family":"Aldrich","given":"John E","non-dropping-particle":"","parse-names":false,"suffix":""},{"dropping-particle":"","family":"Sharma","given":"Raju","non-dropping-particle":"","parse-names":false,"suffix":""},{"dropping-particle":"","family":"Staniszewska","given":"Maria Anna","non-dropping-particle":"","parse-names":false,"suffix":""},{"dropping-particle":"","family":"Krisanachinda","given":"Anchali","non-dropping-particle":"","parse-names":false,"suffix":""},{"dropping-particle":"","family":"Rehani","given":"Madan","non-dropping-particle":"","parse-names":false,"suffix":""},{"dropping-particle":"","family":"Hufton","given":"Alan","non-dropping-particle":"","parse-names":false,"suffix":""},{"dropping-particle":"","family":"Triantopoulou","given":"Chariklia","non-dropping-particle":"","parse-names":false,"suffix":""},{"dropping-particle":"","family":"Maniatis","given":"Petros N","non-dropping-particle":"","parse-names":false,"suffix":""},{"dropping-particle":"","family":"Papailiou","given":"John","non-dropping-particle":"","parse-names":false,"suffix":""},{"dropping-particle":"","family":"Prokop","given":"Mathias","non-dropping-particle":"","parse-names":false,"suffix":""}],"container-title":"Radiology","id":"ITEM-1","issue":"3","issued":{"date-parts":[["2006"]]},"title":"Dose Reduction in CT while Maintaining Diagnostic Confidence: Diagnostic Reference Levels at Routine Head, Chest, and Abdominal CT-IAEA-coordinated Research Project 1","type":"article-journal","volume":"240"},"uris":["http://www.mendeley.com/documents/?uuid=e08fcdba-1c98-385b-a964-4de8c8c98fb8"]}],"mendeley":{"formattedCitation":"(Tsapaki et al., 2006)","manualFormatting":"Tsapaki et al. (2006)","plainTextFormattedCitation":"(Tsapaki et al., 2006)","previouslyFormattedCitation":"(Tsapaki et al., 2006)"},"properties":{"noteIndex":0},"schema":"https://github.com/citation-style-language/schema/raw/master/csl-citation.json"}</w:instrText>
      </w:r>
      <w:r w:rsidR="00EC52A4" w:rsidRPr="00FE7240">
        <w:rPr>
          <w:rFonts w:cs="Times New Roman"/>
          <w:szCs w:val="24"/>
        </w:rPr>
        <w:fldChar w:fldCharType="separate"/>
      </w:r>
      <w:r w:rsidR="00EC52A4" w:rsidRPr="00FE7240">
        <w:rPr>
          <w:rFonts w:cs="Times New Roman"/>
          <w:noProof/>
          <w:szCs w:val="24"/>
        </w:rPr>
        <w:t>Tsapaki et al</w:t>
      </w:r>
      <w:r w:rsidR="00F14078">
        <w:rPr>
          <w:rFonts w:cs="Times New Roman"/>
          <w:noProof/>
          <w:szCs w:val="24"/>
        </w:rPr>
        <w:t>., (2006)</w:t>
      </w:r>
      <w:r w:rsidR="00557251" w:rsidRPr="00FE7240">
        <w:rPr>
          <w:rFonts w:cs="Times New Roman"/>
          <w:noProof/>
          <w:szCs w:val="24"/>
        </w:rPr>
        <w:t xml:space="preserve"> </w:t>
      </w:r>
      <w:r w:rsidR="00EC52A4" w:rsidRPr="00FE7240">
        <w:rPr>
          <w:rFonts w:cs="Times New Roman"/>
          <w:szCs w:val="24"/>
        </w:rPr>
        <w:fldChar w:fldCharType="end"/>
      </w:r>
      <w:r w:rsidR="005E2907">
        <w:rPr>
          <w:rFonts w:cs="Times New Roman"/>
          <w:szCs w:val="24"/>
        </w:rPr>
        <w:t xml:space="preserve">also reported </w:t>
      </w:r>
      <w:r w:rsidR="00EC52A4" w:rsidRPr="00FE7240">
        <w:rPr>
          <w:rFonts w:cs="Times New Roman"/>
          <w:szCs w:val="24"/>
        </w:rPr>
        <w:t>mean CTDI</w:t>
      </w:r>
      <w:r w:rsidR="00EC52A4" w:rsidRPr="00FE7240">
        <w:rPr>
          <w:rFonts w:cs="Times New Roman"/>
          <w:szCs w:val="24"/>
          <w:vertAlign w:val="subscript"/>
        </w:rPr>
        <w:t>vol</w:t>
      </w:r>
      <w:r w:rsidR="00EC52A4" w:rsidRPr="00FE7240">
        <w:rPr>
          <w:rFonts w:cs="Times New Roman"/>
          <w:szCs w:val="24"/>
        </w:rPr>
        <w:t xml:space="preserve"> and DLP values of 39 mGy and 527 mGy.cm </w:t>
      </w:r>
      <w:r w:rsidR="005E2907">
        <w:rPr>
          <w:rFonts w:cs="Times New Roman"/>
          <w:szCs w:val="24"/>
        </w:rPr>
        <w:t xml:space="preserve">in a </w:t>
      </w:r>
      <w:r w:rsidR="005E2907" w:rsidRPr="00FE7240">
        <w:rPr>
          <w:rFonts w:cs="Times New Roman"/>
          <w:szCs w:val="24"/>
        </w:rPr>
        <w:t xml:space="preserve">dose reduction head CT scans </w:t>
      </w:r>
      <w:r w:rsidR="007B00D6">
        <w:rPr>
          <w:rFonts w:cs="Times New Roman"/>
          <w:szCs w:val="24"/>
        </w:rPr>
        <w:t xml:space="preserve">study. </w:t>
      </w:r>
      <w:r w:rsidR="00165A43" w:rsidRPr="00FE7240">
        <w:rPr>
          <w:rFonts w:cs="Times New Roman"/>
          <w:szCs w:val="24"/>
        </w:rPr>
        <w:t>Substantial dose reductions in C</w:t>
      </w:r>
      <w:r w:rsidR="000852E8" w:rsidRPr="00FE7240">
        <w:rPr>
          <w:rFonts w:cs="Times New Roman"/>
          <w:szCs w:val="24"/>
        </w:rPr>
        <w:t>T</w:t>
      </w:r>
      <w:r w:rsidR="00165A43" w:rsidRPr="00FE7240">
        <w:rPr>
          <w:rFonts w:cs="Times New Roman"/>
          <w:szCs w:val="24"/>
        </w:rPr>
        <w:t xml:space="preserve"> examinations are achievable through dose optimization strategies. </w:t>
      </w:r>
      <w:r w:rsidR="00EC52A4" w:rsidRPr="00FE7240">
        <w:rPr>
          <w:rFonts w:cs="Times New Roman"/>
          <w:szCs w:val="24"/>
        </w:rPr>
        <w:t xml:space="preserve">In particular, </w:t>
      </w:r>
      <w:r w:rsidR="00EC52A4" w:rsidRPr="00FE7240">
        <w:rPr>
          <w:rFonts w:cs="Times New Roman"/>
          <w:szCs w:val="24"/>
        </w:rPr>
        <w:fldChar w:fldCharType="begin" w:fldLock="1"/>
      </w:r>
      <w:r w:rsidR="00EC52A4" w:rsidRPr="00FE7240">
        <w:rPr>
          <w:rFonts w:cs="Times New Roman"/>
          <w:szCs w:val="24"/>
        </w:rPr>
        <w:instrText>ADDIN CSL_CITATION {"citationItems":[{"id":"ITEM-1","itemData":{"DOI":"10.15761/RDI.1000120","ISSN":"2515-0200","abstract":"The purpose of this study is to find an optimization approach to minimize the absorbed dose to adult patients undergoing CT examination, while maintain the diagnostic image quality. A single detector CT was considered, to represent typical practice in King Hamad University Hospital. We included 626 patients in this study and investigated radiation dose for three anatomical regions, head, chest and abdomen and pelvis. For each type of CT examination, two groups of patients were considered. 383 patients in Group I: were imaged according to the protocols set by the manufacturer. Group II: 243 patients were imaged according to the protocols set by our team after optimization. We were able to adjust the adjustable factors such as noise index, scan time, pitch, rotation time and slice thickness. For each examination the weighted volume CT dose index (CTDIvol) and dose length product (DLP) were recorded and noise is measured. Each study was also reviewed for image quality. Measured (CTDIvol, DLP) were compared to international reference levels. For Group I, the CTDIvol and DLP values were higher than the reference levels. After Dose optimization the CTDIvol and DLP values were significantly reduced to have lower values than the reference levels. The results of our study showed that the CTDIvol and DLP values taken from images done using the protocols set by the Ct machine developers are higher than the reference levels which indicate that manufacturers are focusing their efforts toward improving image quality rather than the minimizing the dose that can be given to the patient.","author":[{"dropping-particle":"","family":"Sakhnini","given":"Lama","non-dropping-particle":"","parse-names":false,"suffix":""}],"id":"ITEM-1","issue":"1","issued":{"date-parts":[["2017"]]},"page":"1-4","title":"Research Article Radiology and Diagnostic Imaging Radiol Diagn Imaging","type":"article-journal","volume":"2"},"uris":["http://www.mendeley.com/documents/?uuid=fb053550-e85c-3f22-a133-18d445202a10"]}],"mendeley":{"formattedCitation":"(Sakhnini, 2017)","manualFormatting":"Sakhnini (2017)","plainTextFormattedCitation":"(Sakhnini, 2017)","previouslyFormattedCitation":"(Sakhnini, 2017)"},"properties":{"noteIndex":0},"schema":"https://github.com/citation-style-language/schema/raw/master/csl-citation.json"}</w:instrText>
      </w:r>
      <w:r w:rsidR="00EC52A4" w:rsidRPr="00FE7240">
        <w:rPr>
          <w:rFonts w:cs="Times New Roman"/>
          <w:szCs w:val="24"/>
        </w:rPr>
        <w:fldChar w:fldCharType="separate"/>
      </w:r>
      <w:r w:rsidR="00EC52A4" w:rsidRPr="00FE7240">
        <w:rPr>
          <w:rFonts w:cs="Times New Roman"/>
          <w:noProof/>
          <w:szCs w:val="24"/>
        </w:rPr>
        <w:t xml:space="preserve">Sakhnini </w:t>
      </w:r>
      <w:r w:rsidR="00F14078">
        <w:rPr>
          <w:rFonts w:cs="Times New Roman"/>
          <w:noProof/>
          <w:szCs w:val="24"/>
        </w:rPr>
        <w:t xml:space="preserve">(2017) </w:t>
      </w:r>
      <w:r w:rsidR="00EC52A4" w:rsidRPr="00FE7240">
        <w:rPr>
          <w:rFonts w:cs="Times New Roman"/>
          <w:szCs w:val="24"/>
        </w:rPr>
        <w:fldChar w:fldCharType="end"/>
      </w:r>
      <w:r w:rsidR="00EC52A4" w:rsidRPr="00FE7240">
        <w:rPr>
          <w:rFonts w:cs="Times New Roman"/>
          <w:szCs w:val="24"/>
        </w:rPr>
        <w:t>recorded a 44.3% reduction in CTDI</w:t>
      </w:r>
      <w:r w:rsidR="00EC52A4" w:rsidRPr="00FE7240">
        <w:rPr>
          <w:rFonts w:cs="Times New Roman"/>
          <w:szCs w:val="24"/>
          <w:vertAlign w:val="subscript"/>
        </w:rPr>
        <w:t>vol</w:t>
      </w:r>
      <w:r w:rsidR="00EC52A4" w:rsidRPr="00FE7240">
        <w:rPr>
          <w:rFonts w:cs="Times New Roman"/>
          <w:szCs w:val="24"/>
        </w:rPr>
        <w:t xml:space="preserve"> and </w:t>
      </w:r>
      <w:r w:rsidR="007B00D6">
        <w:rPr>
          <w:rFonts w:cs="Times New Roman"/>
          <w:szCs w:val="24"/>
        </w:rPr>
        <w:t xml:space="preserve">a </w:t>
      </w:r>
      <w:r w:rsidR="00EC52A4" w:rsidRPr="00FE7240">
        <w:rPr>
          <w:rFonts w:cs="Times New Roman"/>
          <w:szCs w:val="24"/>
        </w:rPr>
        <w:t xml:space="preserve">37.6% reduction in DLP after optimization. In a dose optimization study employing the use of tube current modulation (AEC), </w:t>
      </w:r>
      <w:r w:rsidR="00EC52A4" w:rsidRPr="00FE7240">
        <w:rPr>
          <w:rFonts w:cs="Times New Roman"/>
          <w:szCs w:val="24"/>
        </w:rPr>
        <w:fldChar w:fldCharType="begin" w:fldLock="1"/>
      </w:r>
      <w:r w:rsidR="00EC52A4" w:rsidRPr="00FE7240">
        <w:rPr>
          <w:rFonts w:cs="Times New Roman"/>
          <w:szCs w:val="24"/>
        </w:rPr>
        <w:instrText>ADDIN CSL_CITATION {"citationItems":[{"id":"ITEM-1","itemData":{"DOI":"10.1109/SETIT.2016.7939870","ISBN":"9781509047123","abstract":"The study was aimed at evaluating the value of current modulation (mAs) and iterative reconstructions algorithms during Computed Tomography examinations in terms of dose reduction and image quality. The focus was mainly on non-contrast head and chest-abdomen-pelvis examinations. A total of 40 adult patients with weighting between 65 and 80 kg underwent CT examinations (20 head and 20 chest-abdomen-pelvis). All examinations were performed on a 128-slice scanner (Somatom Definition AS from Siemens, Forchheim, Germany) using CARE Dose 4D technology. The radiation dose values were compared with reference levels values recommended for head and chest-abdomen-pelvis regions. Image quality was evaluated both objectively and subjectively using Students' test. The results on the present study showed that through the combination of CARE Dose 4D and SAFIRE; the radiation dose could be reduced by 20.10% and 59 % for the examination of head and chest-abdomen-pelvis respectively. There was a substantial difference in the image quality when using FBP or SAFIRE (p &lt; 0.05). The noise level dropped significantly during SAFIRE when compared to FBP by 14.25% for head and by 27.60% and for chest-abdomen-pelvis scans. We conclude that automatic exposure control mechanism based on tube current modulation CARE Dose 4D when combined with iterative reconstruction SAFIRE delivers good image quality with low dose for non-enhanced head and chest-abdomen-pelvis scans.","author":[{"dropping-particle":"","family":"Gharbi","given":"Souha","non-dropping-particle":"","parse-names":false,"suffix":""},{"dropping-particle":"","family":"Labidi","given":"Salam","non-dropping-particle":"","parse-names":false,"suffix":""}],"container-title":"2016 7th International Conference on Sciences of Electronics, Technologies of Information and Telecommunications, SETIT 2016","id":"ITEM-1","issued":{"date-parts":[["2017"]]},"page":"220-223","publisher":"IEEE","title":"Radiation dose optimization in computed tomography with current modulation and Iterative Reconstruction","type":"article-journal"},"uris":["http://www.mendeley.com/documents/?uuid=0d57d4fe-f292-4a43-962b-ee5d4cb9a79b"]}],"mendeley":{"formattedCitation":"(Gharbi &amp; Labidi, 2017)","manualFormatting":"Gharbi &amp; Labidi (2017)","plainTextFormattedCitation":"(Gharbi &amp; Labidi, 2017)","previouslyFormattedCitation":"(Gharbi &amp; Labidi, 2017)"},"properties":{"noteIndex":0},"schema":"https://github.com/citation-style-language/schema/raw/master/csl-citation.json"}</w:instrText>
      </w:r>
      <w:r w:rsidR="00EC52A4" w:rsidRPr="00FE7240">
        <w:rPr>
          <w:rFonts w:cs="Times New Roman"/>
          <w:szCs w:val="24"/>
        </w:rPr>
        <w:fldChar w:fldCharType="separate"/>
      </w:r>
      <w:r w:rsidR="00EC52A4" w:rsidRPr="00FE7240">
        <w:rPr>
          <w:rFonts w:cs="Times New Roman"/>
          <w:noProof/>
          <w:szCs w:val="24"/>
        </w:rPr>
        <w:t xml:space="preserve">Gharbi &amp; Labidi </w:t>
      </w:r>
      <w:r w:rsidR="00F14078">
        <w:rPr>
          <w:rFonts w:cs="Times New Roman"/>
          <w:noProof/>
          <w:szCs w:val="24"/>
        </w:rPr>
        <w:t xml:space="preserve">(2017) </w:t>
      </w:r>
      <w:r w:rsidR="00EC52A4" w:rsidRPr="00FE7240">
        <w:rPr>
          <w:rFonts w:cs="Times New Roman"/>
          <w:szCs w:val="24"/>
        </w:rPr>
        <w:fldChar w:fldCharType="end"/>
      </w:r>
      <w:r w:rsidR="00165A43" w:rsidRPr="00FE7240">
        <w:rPr>
          <w:rFonts w:cs="Times New Roman"/>
          <w:szCs w:val="24"/>
        </w:rPr>
        <w:t xml:space="preserve">also </w:t>
      </w:r>
      <w:r w:rsidR="007B00D6" w:rsidRPr="00FE7240">
        <w:rPr>
          <w:rFonts w:cs="Times New Roman"/>
          <w:szCs w:val="24"/>
        </w:rPr>
        <w:t>stated</w:t>
      </w:r>
      <w:r w:rsidR="00EC52A4" w:rsidRPr="00FE7240">
        <w:rPr>
          <w:rFonts w:cs="Times New Roman"/>
          <w:szCs w:val="24"/>
        </w:rPr>
        <w:t xml:space="preserve"> a 20.1% reduction in average </w:t>
      </w:r>
      <w:proofErr w:type="spellStart"/>
      <w:r w:rsidR="003E20BC" w:rsidRPr="003E20BC">
        <w:rPr>
          <w:rFonts w:cs="Times New Roman"/>
          <w:i/>
          <w:szCs w:val="24"/>
        </w:rPr>
        <w:t>D</w:t>
      </w:r>
      <w:r w:rsidR="00EC52A4" w:rsidRPr="003E20BC">
        <w:rPr>
          <w:rFonts w:cs="Times New Roman"/>
          <w:i/>
          <w:szCs w:val="24"/>
          <w:vertAlign w:val="subscript"/>
        </w:rPr>
        <w:t>eff</w:t>
      </w:r>
      <w:proofErr w:type="spellEnd"/>
      <w:r w:rsidR="003E20BC" w:rsidRPr="003E20BC">
        <w:rPr>
          <w:rFonts w:cs="Times New Roman"/>
          <w:szCs w:val="24"/>
          <w:vertAlign w:val="subscript"/>
        </w:rPr>
        <w:t xml:space="preserve"> </w:t>
      </w:r>
      <w:r w:rsidR="003E20BC">
        <w:rPr>
          <w:rFonts w:cs="Times New Roman"/>
          <w:szCs w:val="24"/>
          <w:vertAlign w:val="subscript"/>
        </w:rPr>
        <w:t xml:space="preserve">  </w:t>
      </w:r>
      <w:r w:rsidR="00EC52A4" w:rsidRPr="00FE7240">
        <w:rPr>
          <w:rFonts w:cs="Times New Roman"/>
          <w:szCs w:val="24"/>
        </w:rPr>
        <w:t>without loss of image quality.</w:t>
      </w:r>
    </w:p>
    <w:p w14:paraId="41C8C8B2" w14:textId="355F3F12" w:rsidR="00ED7C24" w:rsidRPr="00FE7240" w:rsidRDefault="00AF3D06" w:rsidP="00ED7C24">
      <w:pPr>
        <w:spacing w:line="480" w:lineRule="auto"/>
        <w:ind w:firstLine="720"/>
        <w:rPr>
          <w:rFonts w:cs="Times New Roman"/>
          <w:noProof/>
          <w:szCs w:val="24"/>
        </w:rPr>
      </w:pPr>
      <w:r w:rsidRPr="00FE7240">
        <w:rPr>
          <w:rFonts w:cs="Times New Roman"/>
          <w:szCs w:val="24"/>
        </w:rPr>
        <w:t>From Table</w:t>
      </w:r>
      <w:r w:rsidR="001F0628" w:rsidRPr="00FE7240">
        <w:rPr>
          <w:rFonts w:cs="Times New Roman"/>
          <w:szCs w:val="24"/>
        </w:rPr>
        <w:t xml:space="preserve"> 3</w:t>
      </w:r>
      <w:r w:rsidR="00165A43" w:rsidRPr="00FE7240">
        <w:rPr>
          <w:rFonts w:cs="Times New Roman"/>
          <w:szCs w:val="24"/>
        </w:rPr>
        <w:t xml:space="preserve">, </w:t>
      </w:r>
      <w:r w:rsidR="00EC52A4" w:rsidRPr="00FE7240">
        <w:rPr>
          <w:rFonts w:cs="Times New Roman"/>
          <w:szCs w:val="24"/>
        </w:rPr>
        <w:t>the 75</w:t>
      </w:r>
      <w:r w:rsidR="00EC52A4" w:rsidRPr="00FE7240">
        <w:rPr>
          <w:rFonts w:cs="Times New Roman"/>
          <w:szCs w:val="24"/>
          <w:vertAlign w:val="superscript"/>
        </w:rPr>
        <w:t>th</w:t>
      </w:r>
      <w:r w:rsidR="00EC52A4" w:rsidRPr="00FE7240">
        <w:rPr>
          <w:rFonts w:cs="Times New Roman"/>
          <w:szCs w:val="24"/>
        </w:rPr>
        <w:t xml:space="preserve"> percentile </w:t>
      </w:r>
      <w:r w:rsidR="00165A43" w:rsidRPr="00FE7240">
        <w:rPr>
          <w:rFonts w:cs="Times New Roman"/>
          <w:szCs w:val="24"/>
        </w:rPr>
        <w:t xml:space="preserve">values for the CT dose descriptors </w:t>
      </w:r>
      <w:r w:rsidR="00EC52A4" w:rsidRPr="00FE7240">
        <w:rPr>
          <w:rFonts w:cs="Times New Roman"/>
          <w:szCs w:val="24"/>
        </w:rPr>
        <w:t>w</w:t>
      </w:r>
      <w:r w:rsidR="00165A43" w:rsidRPr="00FE7240">
        <w:rPr>
          <w:rFonts w:cs="Times New Roman"/>
          <w:szCs w:val="24"/>
        </w:rPr>
        <w:t>ere also higher than the ICRP 73 recommendations of 60.0 mGy for CTDI</w:t>
      </w:r>
      <w:r w:rsidR="00165A43" w:rsidRPr="00FE7240">
        <w:rPr>
          <w:rFonts w:cs="Times New Roman"/>
          <w:szCs w:val="24"/>
          <w:vertAlign w:val="subscript"/>
        </w:rPr>
        <w:t>vol</w:t>
      </w:r>
      <w:r w:rsidR="00165A43" w:rsidRPr="00FE7240">
        <w:rPr>
          <w:rFonts w:cs="Times New Roman"/>
          <w:szCs w:val="24"/>
        </w:rPr>
        <w:t xml:space="preserve"> and 1050.00 mGy.cm for the DLP. </w:t>
      </w:r>
      <w:r w:rsidR="00EC52A4" w:rsidRPr="00FE7240">
        <w:rPr>
          <w:rFonts w:cs="Times New Roman"/>
          <w:szCs w:val="24"/>
        </w:rPr>
        <w:fldChar w:fldCharType="begin" w:fldLock="1"/>
      </w:r>
      <w:r w:rsidR="00EC52A4" w:rsidRPr="00FE7240">
        <w:rPr>
          <w:rFonts w:cs="Times New Roman"/>
          <w:szCs w:val="24"/>
        </w:rPr>
        <w:instrText>ADDIN CSL_CITATION {"citationItems":[{"id":"ITEM-1","itemData":{"author":[{"dropping-particle":"","family":"Janbabanezhad Toori","given":"A.","non-dropping-particle":"","parse-names":false,"suffix":""},{"dropping-particle":"","family":"Shabestani-Monfared","given":"A.","non-dropping-particle":"","parse-names":false,"suffix":""},{"dropping-particle":"","family":"Deevband","given":"M.R.","non-dropping-particle":"","parse-names":false,"suffix":""},{"dropping-particle":"","family":"Nabahati","given":"M.","non-dropping-particle":"","parse-names":false,"suffix":""}],"container-title":"111","id":"ITEM-1","issue":"c","issued":{"date-parts":[["2015"]]},"page":"51-60","title":"Original 1 1 (","type":"article-journal","volume":"0"},"uris":["http://www.mendeley.com/documents/?uuid=cf0a0e95-e16b-4664-a61c-ab504ded256d"]}],"mendeley":{"formattedCitation":"(Janbabanezhad Toori et al., 2015)","manualFormatting":"Toori et al. (2015)","plainTextFormattedCitation":"(Janbabanezhad Toori et al., 2015)","previouslyFormattedCitation":"(Janbabanezhad Toori et al., 2015)"},"properties":{"noteIndex":0},"schema":"https://github.com/citation-style-language/schema/raw/master/csl-citation.json"}</w:instrText>
      </w:r>
      <w:r w:rsidR="00EC52A4" w:rsidRPr="00FE7240">
        <w:rPr>
          <w:rFonts w:cs="Times New Roman"/>
          <w:szCs w:val="24"/>
        </w:rPr>
        <w:fldChar w:fldCharType="separate"/>
      </w:r>
      <w:r w:rsidR="00EC52A4" w:rsidRPr="00FE7240">
        <w:rPr>
          <w:rFonts w:cs="Times New Roman"/>
          <w:noProof/>
          <w:szCs w:val="24"/>
        </w:rPr>
        <w:t xml:space="preserve">Toori </w:t>
      </w:r>
      <w:r w:rsidR="005E2907">
        <w:rPr>
          <w:rFonts w:cs="Times New Roman"/>
          <w:noProof/>
          <w:szCs w:val="24"/>
        </w:rPr>
        <w:t>et al</w:t>
      </w:r>
      <w:r w:rsidR="00F14078">
        <w:rPr>
          <w:rFonts w:cs="Times New Roman"/>
          <w:noProof/>
          <w:szCs w:val="24"/>
        </w:rPr>
        <w:t xml:space="preserve">., (2015) </w:t>
      </w:r>
      <w:r w:rsidR="00EC52A4" w:rsidRPr="00FE7240">
        <w:rPr>
          <w:rFonts w:cs="Times New Roman"/>
          <w:szCs w:val="24"/>
        </w:rPr>
        <w:fldChar w:fldCharType="end"/>
      </w:r>
      <w:r w:rsidR="00ED7C24" w:rsidRPr="00FE7240">
        <w:rPr>
          <w:rFonts w:cs="Times New Roman"/>
          <w:szCs w:val="24"/>
        </w:rPr>
        <w:t>reported</w:t>
      </w:r>
      <w:r w:rsidR="00EC52A4" w:rsidRPr="00FE7240">
        <w:rPr>
          <w:rFonts w:cs="Times New Roman"/>
          <w:szCs w:val="24"/>
        </w:rPr>
        <w:t xml:space="preserve"> large scales of CT dose for the same examination among </w:t>
      </w:r>
      <w:r w:rsidR="00ED7C24" w:rsidRPr="00FE7240">
        <w:rPr>
          <w:rFonts w:cs="Times New Roman"/>
          <w:szCs w:val="24"/>
        </w:rPr>
        <w:t xml:space="preserve">7 </w:t>
      </w:r>
      <w:r w:rsidR="00EC52A4" w:rsidRPr="00FE7240">
        <w:rPr>
          <w:rFonts w:cs="Times New Roman"/>
          <w:szCs w:val="24"/>
        </w:rPr>
        <w:t xml:space="preserve">different </w:t>
      </w:r>
      <w:r w:rsidR="00ED7C24" w:rsidRPr="00FE7240">
        <w:rPr>
          <w:rFonts w:cs="Times New Roman"/>
          <w:szCs w:val="24"/>
        </w:rPr>
        <w:t xml:space="preserve">Iranian </w:t>
      </w:r>
      <w:r w:rsidR="00EC52A4" w:rsidRPr="00FE7240">
        <w:rPr>
          <w:rFonts w:cs="Times New Roman"/>
          <w:szCs w:val="24"/>
        </w:rPr>
        <w:t>hospitals, and therefore established optimized CTDI</w:t>
      </w:r>
      <w:r w:rsidR="00EC52A4" w:rsidRPr="00FE7240">
        <w:rPr>
          <w:rFonts w:cs="Times New Roman"/>
          <w:szCs w:val="24"/>
          <w:vertAlign w:val="subscript"/>
        </w:rPr>
        <w:t>vol</w:t>
      </w:r>
      <w:r w:rsidR="00EC52A4" w:rsidRPr="00FE7240">
        <w:rPr>
          <w:rFonts w:cs="Times New Roman"/>
          <w:szCs w:val="24"/>
        </w:rPr>
        <w:t xml:space="preserve"> and DLP </w:t>
      </w:r>
      <w:r w:rsidR="00ED7C24" w:rsidRPr="00FE7240">
        <w:rPr>
          <w:rFonts w:cs="Times New Roman"/>
          <w:szCs w:val="24"/>
        </w:rPr>
        <w:t xml:space="preserve">doses </w:t>
      </w:r>
      <w:r w:rsidR="00EC52A4" w:rsidRPr="00FE7240">
        <w:rPr>
          <w:rFonts w:cs="Times New Roman"/>
          <w:szCs w:val="24"/>
        </w:rPr>
        <w:t>of 59.5 mGy and 750 mGy.cm respectively</w:t>
      </w:r>
      <w:r w:rsidR="00ED7C24" w:rsidRPr="00FE7240">
        <w:rPr>
          <w:rFonts w:cs="Times New Roman"/>
          <w:szCs w:val="24"/>
        </w:rPr>
        <w:t>, which were relatively lower</w:t>
      </w:r>
      <w:r w:rsidR="00EC52A4" w:rsidRPr="00FE7240">
        <w:rPr>
          <w:rFonts w:cs="Times New Roman"/>
          <w:szCs w:val="24"/>
        </w:rPr>
        <w:t xml:space="preserve"> </w:t>
      </w:r>
      <w:r w:rsidR="00ED7C24" w:rsidRPr="00FE7240">
        <w:rPr>
          <w:rFonts w:cs="Times New Roman"/>
          <w:szCs w:val="24"/>
        </w:rPr>
        <w:t xml:space="preserve">compared to the ICRP 73 </w:t>
      </w:r>
      <w:r w:rsidR="00EC52A4" w:rsidRPr="00FE7240">
        <w:rPr>
          <w:rFonts w:cs="Times New Roman"/>
          <w:szCs w:val="24"/>
        </w:rPr>
        <w:t xml:space="preserve">reference doses. Other studies </w:t>
      </w:r>
      <w:r w:rsidR="00F14078">
        <w:rPr>
          <w:rFonts w:cs="Times New Roman"/>
          <w:szCs w:val="24"/>
        </w:rPr>
        <w:t>(</w:t>
      </w:r>
      <w:proofErr w:type="spellStart"/>
      <w:r w:rsidR="00F14078">
        <w:rPr>
          <w:rFonts w:cs="Times New Roman"/>
          <w:szCs w:val="24"/>
        </w:rPr>
        <w:t>Bongartz</w:t>
      </w:r>
      <w:proofErr w:type="spellEnd"/>
      <w:r w:rsidR="00F14078">
        <w:rPr>
          <w:rFonts w:cs="Times New Roman"/>
          <w:szCs w:val="24"/>
        </w:rPr>
        <w:t xml:space="preserve"> et a</w:t>
      </w:r>
      <w:r w:rsidR="007C53C0">
        <w:rPr>
          <w:rFonts w:cs="Times New Roman"/>
          <w:szCs w:val="24"/>
        </w:rPr>
        <w:t>l</w:t>
      </w:r>
      <w:r w:rsidR="00F14078">
        <w:rPr>
          <w:rFonts w:cs="Times New Roman"/>
          <w:szCs w:val="24"/>
        </w:rPr>
        <w:t xml:space="preserve">; 2000; Shrimpton et al. 2016) </w:t>
      </w:r>
      <w:r w:rsidR="00DF3885" w:rsidRPr="00FE7240">
        <w:rPr>
          <w:rFonts w:cs="Times New Roman"/>
          <w:szCs w:val="24"/>
        </w:rPr>
        <w:t xml:space="preserve">have </w:t>
      </w:r>
      <w:r w:rsidR="00EC52A4" w:rsidRPr="00FE7240">
        <w:rPr>
          <w:rFonts w:cs="Times New Roman"/>
          <w:szCs w:val="24"/>
        </w:rPr>
        <w:t xml:space="preserve">demonstrated similar and lower findings </w:t>
      </w:r>
      <w:r w:rsidR="00C12A2D">
        <w:rPr>
          <w:rFonts w:cs="Times New Roman"/>
          <w:szCs w:val="24"/>
        </w:rPr>
        <w:t>concerning</w:t>
      </w:r>
      <w:r w:rsidR="00EC52A4" w:rsidRPr="00FE7240">
        <w:rPr>
          <w:rFonts w:cs="Times New Roman"/>
          <w:szCs w:val="24"/>
        </w:rPr>
        <w:t xml:space="preserve"> dose reduction</w:t>
      </w:r>
      <w:r w:rsidR="00ED7C24" w:rsidRPr="00FE7240">
        <w:rPr>
          <w:rFonts w:cs="Times New Roman"/>
          <w:szCs w:val="24"/>
        </w:rPr>
        <w:t>s. The difference between reported value</w:t>
      </w:r>
      <w:r w:rsidR="005E2907">
        <w:rPr>
          <w:rFonts w:cs="Times New Roman"/>
          <w:szCs w:val="24"/>
        </w:rPr>
        <w:t>s</w:t>
      </w:r>
      <w:r w:rsidR="00ED7C24" w:rsidRPr="00FE7240">
        <w:rPr>
          <w:rFonts w:cs="Times New Roman"/>
          <w:szCs w:val="24"/>
        </w:rPr>
        <w:t xml:space="preserve"> in this study and the literature is explained by the use of </w:t>
      </w:r>
      <w:r w:rsidR="00ED7C24" w:rsidRPr="00FE7240">
        <w:rPr>
          <w:rFonts w:cs="Times New Roman"/>
          <w:noProof/>
          <w:szCs w:val="24"/>
        </w:rPr>
        <w:t xml:space="preserve">higher </w:t>
      </w:r>
      <w:r w:rsidR="00C12A2D">
        <w:rPr>
          <w:rFonts w:cs="Times New Roman"/>
          <w:noProof/>
          <w:szCs w:val="24"/>
        </w:rPr>
        <w:t>exposure</w:t>
      </w:r>
      <w:r w:rsidR="007B00D6">
        <w:rPr>
          <w:rFonts w:cs="Times New Roman"/>
          <w:noProof/>
          <w:szCs w:val="24"/>
        </w:rPr>
        <w:t xml:space="preserve"> </w:t>
      </w:r>
      <w:r w:rsidR="00ED7C24" w:rsidRPr="00FE7240">
        <w:rPr>
          <w:rFonts w:cs="Times New Roman"/>
          <w:noProof/>
          <w:szCs w:val="24"/>
        </w:rPr>
        <w:t xml:space="preserve">parameters at the study site, which required dose reduction strategies to keep </w:t>
      </w:r>
      <w:r w:rsidR="00C12A2D">
        <w:rPr>
          <w:rFonts w:cs="Times New Roman"/>
          <w:noProof/>
          <w:szCs w:val="24"/>
        </w:rPr>
        <w:t xml:space="preserve">the </w:t>
      </w:r>
      <w:r w:rsidR="00ED7C24" w:rsidRPr="00FE7240">
        <w:rPr>
          <w:rFonts w:cs="Times New Roman"/>
          <w:noProof/>
          <w:szCs w:val="24"/>
        </w:rPr>
        <w:t>patient dose ALARA.</w:t>
      </w:r>
    </w:p>
    <w:p w14:paraId="14CB9BE3" w14:textId="77777777" w:rsidR="005E2907" w:rsidRDefault="005E2907" w:rsidP="005E2907">
      <w:pPr>
        <w:pStyle w:val="Heading2"/>
        <w:spacing w:before="0" w:after="0" w:line="240" w:lineRule="auto"/>
        <w:rPr>
          <w:noProof/>
        </w:rPr>
      </w:pPr>
      <w:bookmarkStart w:id="12" w:name="_Toc82774842"/>
    </w:p>
    <w:p w14:paraId="0A2D89E0" w14:textId="39427217" w:rsidR="00830262" w:rsidRPr="00FE7240" w:rsidRDefault="00DE3FDB" w:rsidP="00741D04">
      <w:pPr>
        <w:pStyle w:val="Heading2"/>
        <w:spacing w:before="0" w:after="0" w:line="480" w:lineRule="auto"/>
        <w:rPr>
          <w:noProof/>
        </w:rPr>
      </w:pPr>
      <w:r>
        <w:rPr>
          <w:noProof/>
        </w:rPr>
        <w:t>4.3</w:t>
      </w:r>
      <w:r>
        <w:rPr>
          <w:noProof/>
        </w:rPr>
        <w:tab/>
      </w:r>
      <w:r w:rsidR="00B0647C" w:rsidRPr="00FE7240">
        <w:rPr>
          <w:noProof/>
        </w:rPr>
        <w:t xml:space="preserve">Dose </w:t>
      </w:r>
      <w:r w:rsidRPr="00FE7240">
        <w:rPr>
          <w:noProof/>
        </w:rPr>
        <w:t>optimization for adult head ct examination</w:t>
      </w:r>
      <w:bookmarkEnd w:id="12"/>
    </w:p>
    <w:p w14:paraId="558FAB43" w14:textId="31C65443" w:rsidR="00B0647C" w:rsidRPr="00FE7240" w:rsidRDefault="00830262" w:rsidP="00020691">
      <w:pPr>
        <w:spacing w:line="480" w:lineRule="auto"/>
        <w:ind w:firstLine="720"/>
        <w:rPr>
          <w:rFonts w:cs="Times New Roman"/>
          <w:strike/>
          <w:szCs w:val="24"/>
        </w:rPr>
      </w:pPr>
      <w:r w:rsidRPr="00FE7240">
        <w:rPr>
          <w:rFonts w:cs="Times New Roman"/>
          <w:szCs w:val="24"/>
        </w:rPr>
        <w:t xml:space="preserve">According to </w:t>
      </w:r>
      <w:r w:rsidRPr="00FE7240">
        <w:rPr>
          <w:rFonts w:cs="Times New Roman"/>
          <w:szCs w:val="24"/>
        </w:rPr>
        <w:fldChar w:fldCharType="begin" w:fldLock="1"/>
      </w:r>
      <w:r w:rsidR="00581016" w:rsidRPr="00FE7240">
        <w:rPr>
          <w:rFonts w:cs="Times New Roman"/>
          <w:szCs w:val="24"/>
        </w:rPr>
        <w:instrText>ADDIN CSL_CITATION {"citationItems":[{"id":"ITEM-1","itemData":{"DOI":"10.4329/wjr.v8.i12.902","ISSN":"1949-8470","abstract":"Since its introduction in the 1970s, computed tomography (CT) has revolutionized diagnostic decision-making. One of the major concerns associated with the widespread use of CT is the associated increased radiation exposure incurred by patients. The link between ionizing radiation and the subsequent development of neoplasia has been largely based on extrapolating data from studies of survivors of the atomic bombs dropped in Japan in 1945 and on assessments of the increased relative risk of neoplasia in those occupationally exposed to radiation within the nuclear industry. However, the association between exposure to low-dose radiation from diagnostic imaging examinations and oncogenesis remains unclear. With improved technology, significant advances have already been achieved with regards to radiation dose reduction. There are several dose optimization strategies available that may be readily employed including omitting unnecessary images at the ends of acquired series, minimizing the number of phases acquired, and the use of automated exposure control as opposed to fixed tube current techniques. In addition, new image reconstruction techniques that reduce radiation dose have been developed in recent years with promising results. These techniques use iterative reconstruction algorithms to attain diagnostic quality images with reduced image noise at lower radiation doses.","author":[{"dropping-particle":"","family":"Power","given":"Stephen P","non-dropping-particle":"","parse-names":false,"suffix":""},{"dropping-particle":"","family":"Moloney","given":"Fiachra","non-dropping-particle":"","parse-names":false,"suffix":""},{"dropping-particle":"","family":"Twomey","given":"Maria","non-dropping-particle":"","parse-names":false,"suffix":""},{"dropping-particle":"","family":"James","given":"Karl","non-dropping-particle":"","parse-names":false,"suffix":""},{"dropping-particle":"","family":"O’Connor","given":"Owen J","non-dropping-particle":"","parse-names":false,"suffix":""},{"dropping-particle":"","family":"Maher","given":"Michael M","non-dropping-particle":"","parse-names":false,"suffix":""}],"container-title":"World Journal of Radiology","id":"ITEM-1","issue":"12","issued":{"date-parts":[["2016"]]},"page":"902","title":"Computed tomography and patient risk: Facts, perceptions and uncertainties","type":"article-journal","volume":"8"},"uris":["http://www.mendeley.com/documents/?uuid=70e42faf-7a44-48ee-a272-d834a84de73f"]}],"mendeley":{"formattedCitation":"(Power et al., 2016)","manualFormatting":"Power et al. (2016)","plainTextFormattedCitation":"(Power et al., 2016)","previouslyFormattedCitation":"(Power et al., 2016)"},"properties":{"noteIndex":0},"schema":"https://github.com/citation-style-language/schema/raw/master/csl-citation.json"}</w:instrText>
      </w:r>
      <w:r w:rsidRPr="00FE7240">
        <w:rPr>
          <w:rFonts w:cs="Times New Roman"/>
          <w:szCs w:val="24"/>
        </w:rPr>
        <w:fldChar w:fldCharType="separate"/>
      </w:r>
      <w:r w:rsidRPr="00FE7240">
        <w:rPr>
          <w:rFonts w:cs="Times New Roman"/>
          <w:noProof/>
          <w:szCs w:val="24"/>
        </w:rPr>
        <w:t>Power et al</w:t>
      </w:r>
      <w:r w:rsidR="00376AF8">
        <w:rPr>
          <w:rFonts w:cs="Times New Roman"/>
          <w:noProof/>
          <w:szCs w:val="24"/>
        </w:rPr>
        <w:t>., (2016)</w:t>
      </w:r>
      <w:r w:rsidRPr="00FE7240">
        <w:rPr>
          <w:rFonts w:cs="Times New Roman"/>
          <w:szCs w:val="24"/>
        </w:rPr>
        <w:fldChar w:fldCharType="end"/>
      </w:r>
      <w:r w:rsidRPr="00FE7240">
        <w:rPr>
          <w:rFonts w:cs="Times New Roman"/>
          <w:szCs w:val="24"/>
        </w:rPr>
        <w:t xml:space="preserve">, several dose optimization strategies </w:t>
      </w:r>
      <w:r w:rsidR="005E2907">
        <w:rPr>
          <w:rFonts w:cs="Times New Roman"/>
          <w:szCs w:val="24"/>
        </w:rPr>
        <w:t xml:space="preserve">are </w:t>
      </w:r>
      <w:r w:rsidRPr="00FE7240">
        <w:rPr>
          <w:rFonts w:cs="Times New Roman"/>
          <w:szCs w:val="24"/>
        </w:rPr>
        <w:t>available</w:t>
      </w:r>
      <w:r w:rsidR="005E2907" w:rsidRPr="007B00D6">
        <w:rPr>
          <w:rFonts w:cs="Times New Roman"/>
          <w:szCs w:val="24"/>
        </w:rPr>
        <w:t>.</w:t>
      </w:r>
      <w:r w:rsidRPr="007B00D6">
        <w:rPr>
          <w:rFonts w:cs="Times New Roman"/>
          <w:szCs w:val="24"/>
        </w:rPr>
        <w:t xml:space="preserve"> </w:t>
      </w:r>
      <w:r w:rsidR="006B4799" w:rsidRPr="00FE7240">
        <w:rPr>
          <w:rFonts w:cs="Times New Roman"/>
          <w:szCs w:val="24"/>
        </w:rPr>
        <w:t>O</w:t>
      </w:r>
      <w:r w:rsidR="009B78D8" w:rsidRPr="00FE7240">
        <w:rPr>
          <w:rFonts w:cs="Times New Roman"/>
          <w:szCs w:val="24"/>
        </w:rPr>
        <w:t>ptimization</w:t>
      </w:r>
      <w:r w:rsidR="006B4799" w:rsidRPr="00FE7240">
        <w:rPr>
          <w:rFonts w:cs="Times New Roman"/>
          <w:szCs w:val="24"/>
        </w:rPr>
        <w:t xml:space="preserve"> methods for Images C and G were considered suitable and acceptable for this study site</w:t>
      </w:r>
      <w:r w:rsidR="009B78D8" w:rsidRPr="00FE7240">
        <w:rPr>
          <w:rFonts w:cs="Times New Roman"/>
          <w:szCs w:val="24"/>
        </w:rPr>
        <w:t xml:space="preserve">, </w:t>
      </w:r>
      <w:r w:rsidR="00692A63" w:rsidRPr="00FE7240">
        <w:rPr>
          <w:rFonts w:cs="Times New Roman"/>
          <w:szCs w:val="24"/>
        </w:rPr>
        <w:t xml:space="preserve">subsequent </w:t>
      </w:r>
      <w:r w:rsidR="006B4799" w:rsidRPr="00FE7240">
        <w:rPr>
          <w:rFonts w:cs="Times New Roman"/>
          <w:szCs w:val="24"/>
        </w:rPr>
        <w:t xml:space="preserve">to </w:t>
      </w:r>
      <w:r w:rsidR="00E46ED6" w:rsidRPr="00247394">
        <w:rPr>
          <w:rFonts w:cs="Times New Roman"/>
          <w:szCs w:val="24"/>
        </w:rPr>
        <w:t>a</w:t>
      </w:r>
      <w:r w:rsidR="006B4799" w:rsidRPr="00550D21">
        <w:rPr>
          <w:rFonts w:cs="Times New Roman"/>
          <w:color w:val="FF0000"/>
          <w:szCs w:val="24"/>
        </w:rPr>
        <w:t xml:space="preserve"> </w:t>
      </w:r>
      <w:r w:rsidR="00FF7822" w:rsidRPr="00550D21">
        <w:rPr>
          <w:rFonts w:cs="Times New Roman"/>
          <w:szCs w:val="24"/>
        </w:rPr>
        <w:t xml:space="preserve">16.7% </w:t>
      </w:r>
      <w:r w:rsidR="00692A63" w:rsidRPr="00247394">
        <w:rPr>
          <w:rFonts w:cs="Times New Roman"/>
          <w:szCs w:val="24"/>
        </w:rPr>
        <w:t xml:space="preserve">reduction in </w:t>
      </w:r>
      <w:r w:rsidR="005E2907" w:rsidRPr="00247394">
        <w:rPr>
          <w:rFonts w:cs="Times New Roman"/>
          <w:szCs w:val="24"/>
        </w:rPr>
        <w:t>tube potential</w:t>
      </w:r>
      <w:r w:rsidR="005E2907">
        <w:rPr>
          <w:rFonts w:cs="Times New Roman"/>
          <w:szCs w:val="24"/>
        </w:rPr>
        <w:t xml:space="preserve"> (I</w:t>
      </w:r>
      <w:r w:rsidR="00581016" w:rsidRPr="00FE7240">
        <w:rPr>
          <w:rFonts w:cs="Times New Roman"/>
          <w:szCs w:val="24"/>
        </w:rPr>
        <w:t>mage C)</w:t>
      </w:r>
      <w:r w:rsidR="00692A63" w:rsidRPr="00FE7240">
        <w:rPr>
          <w:rFonts w:cs="Times New Roman"/>
          <w:szCs w:val="24"/>
        </w:rPr>
        <w:t xml:space="preserve"> with a </w:t>
      </w:r>
      <w:proofErr w:type="gramStart"/>
      <w:r w:rsidR="0071431B">
        <w:rPr>
          <w:rFonts w:cs="Times New Roman"/>
          <w:szCs w:val="24"/>
        </w:rPr>
        <w:t xml:space="preserve">slight  </w:t>
      </w:r>
      <w:r w:rsidR="0071431B" w:rsidRPr="0071431B">
        <w:rPr>
          <w:rFonts w:cs="Times New Roman"/>
          <w:szCs w:val="24"/>
        </w:rPr>
        <w:t>increase</w:t>
      </w:r>
      <w:proofErr w:type="gramEnd"/>
      <w:r w:rsidR="00FF7822">
        <w:rPr>
          <w:rFonts w:cs="Times New Roman"/>
          <w:szCs w:val="24"/>
        </w:rPr>
        <w:t xml:space="preserve"> </w:t>
      </w:r>
      <w:r w:rsidR="00692A63" w:rsidRPr="00FE7240">
        <w:rPr>
          <w:rFonts w:cs="Times New Roman"/>
          <w:szCs w:val="24"/>
        </w:rPr>
        <w:t>in noise (20.2</w:t>
      </w:r>
      <w:r w:rsidR="006B4799" w:rsidRPr="00FE7240">
        <w:rPr>
          <w:rFonts w:cs="Times New Roman"/>
          <w:szCs w:val="24"/>
        </w:rPr>
        <w:t>0</w:t>
      </w:r>
      <w:r w:rsidR="00692A63" w:rsidRPr="00FE7240">
        <w:rPr>
          <w:rFonts w:cs="Times New Roman"/>
          <w:szCs w:val="24"/>
        </w:rPr>
        <w:t>%)</w:t>
      </w:r>
      <w:r w:rsidR="0071431B">
        <w:rPr>
          <w:rFonts w:cs="Times New Roman"/>
          <w:szCs w:val="24"/>
        </w:rPr>
        <w:t xml:space="preserve"> as </w:t>
      </w:r>
      <w:proofErr w:type="spellStart"/>
      <w:r w:rsidR="0071431B">
        <w:rPr>
          <w:rFonts w:cs="Times New Roman"/>
          <w:szCs w:val="24"/>
        </w:rPr>
        <w:t>as</w:t>
      </w:r>
      <w:proofErr w:type="spellEnd"/>
      <w:r w:rsidR="0071431B">
        <w:rPr>
          <w:rFonts w:cs="Times New Roman"/>
          <w:szCs w:val="24"/>
        </w:rPr>
        <w:t xml:space="preserve"> shown in the SNR value</w:t>
      </w:r>
      <w:r w:rsidR="00692A63" w:rsidRPr="00FE7240">
        <w:rPr>
          <w:rFonts w:cs="Times New Roman"/>
          <w:szCs w:val="24"/>
        </w:rPr>
        <w:t xml:space="preserve">. However, this increase </w:t>
      </w:r>
      <w:r w:rsidR="00EB111E" w:rsidRPr="00FE7240">
        <w:rPr>
          <w:rFonts w:cs="Times New Roman"/>
          <w:szCs w:val="24"/>
        </w:rPr>
        <w:t xml:space="preserve">did not sufficiently degrade the image quality for the intended </w:t>
      </w:r>
      <w:r w:rsidR="00003820">
        <w:rPr>
          <w:rFonts w:cs="Times New Roman"/>
          <w:szCs w:val="24"/>
        </w:rPr>
        <w:t xml:space="preserve">clinical </w:t>
      </w:r>
      <w:r w:rsidR="00EB111E" w:rsidRPr="00FE7240">
        <w:rPr>
          <w:rFonts w:cs="Times New Roman"/>
          <w:szCs w:val="24"/>
        </w:rPr>
        <w:t>purpose</w:t>
      </w:r>
      <w:r w:rsidR="00F2745F">
        <w:rPr>
          <w:rFonts w:cs="Times New Roman"/>
          <w:szCs w:val="24"/>
        </w:rPr>
        <w:t xml:space="preserve"> since the subjective assessment or</w:t>
      </w:r>
      <w:r w:rsidR="0057144D">
        <w:rPr>
          <w:rFonts w:cs="Times New Roman"/>
          <w:szCs w:val="24"/>
        </w:rPr>
        <w:t xml:space="preserve"> </w:t>
      </w:r>
      <w:r w:rsidR="00F2745F">
        <w:rPr>
          <w:rFonts w:cs="Times New Roman"/>
          <w:szCs w:val="24"/>
        </w:rPr>
        <w:t>radiologist</w:t>
      </w:r>
      <w:r w:rsidR="0057144D">
        <w:rPr>
          <w:rFonts w:cs="Times New Roman"/>
          <w:szCs w:val="24"/>
        </w:rPr>
        <w:t>s</w:t>
      </w:r>
      <w:r w:rsidR="00F2745F">
        <w:rPr>
          <w:rFonts w:cs="Times New Roman"/>
          <w:szCs w:val="24"/>
        </w:rPr>
        <w:t xml:space="preserve"> reported the images as good for the task (as shown in Table 4)</w:t>
      </w:r>
      <w:r w:rsidR="00692A63" w:rsidRPr="00FE7240">
        <w:rPr>
          <w:rFonts w:cs="Times New Roman"/>
          <w:szCs w:val="24"/>
        </w:rPr>
        <w:t xml:space="preserve">. </w:t>
      </w:r>
      <w:r w:rsidR="00997A5E">
        <w:rPr>
          <w:rFonts w:cs="Times New Roman"/>
          <w:szCs w:val="24"/>
        </w:rPr>
        <w:t xml:space="preserve">Therefore, the associated exposure parameters (Table 4) are recommended for </w:t>
      </w:r>
      <w:r w:rsidR="0066417C">
        <w:rPr>
          <w:rFonts w:cs="Times New Roman"/>
          <w:szCs w:val="24"/>
        </w:rPr>
        <w:t xml:space="preserve">head CT examinations using the </w:t>
      </w:r>
      <w:r w:rsidR="00997A5E">
        <w:rPr>
          <w:rFonts w:cs="Times New Roman"/>
          <w:szCs w:val="24"/>
        </w:rPr>
        <w:t xml:space="preserve">only </w:t>
      </w:r>
      <w:proofErr w:type="spellStart"/>
      <w:r w:rsidR="00997A5E">
        <w:rPr>
          <w:rFonts w:cs="Times New Roman"/>
          <w:szCs w:val="24"/>
        </w:rPr>
        <w:t>AquilionOne</w:t>
      </w:r>
      <w:proofErr w:type="spellEnd"/>
      <w:r w:rsidR="0066417C">
        <w:rPr>
          <w:rFonts w:cs="Times New Roman"/>
          <w:szCs w:val="24"/>
        </w:rPr>
        <w:t xml:space="preserve"> 640-slice </w:t>
      </w:r>
      <w:r w:rsidR="00997A5E">
        <w:rPr>
          <w:rFonts w:cs="Times New Roman"/>
          <w:szCs w:val="24"/>
        </w:rPr>
        <w:t>scanner</w:t>
      </w:r>
      <w:r w:rsidR="0066417C">
        <w:rPr>
          <w:rFonts w:cs="Times New Roman"/>
          <w:szCs w:val="24"/>
        </w:rPr>
        <w:t xml:space="preserve"> currently in use </w:t>
      </w:r>
      <w:r w:rsidR="00997A5E">
        <w:rPr>
          <w:rFonts w:cs="Times New Roman"/>
          <w:szCs w:val="24"/>
        </w:rPr>
        <w:t>Ghana.</w:t>
      </w:r>
      <w:r w:rsidR="0066417C">
        <w:rPr>
          <w:rFonts w:cs="Times New Roman"/>
          <w:szCs w:val="24"/>
        </w:rPr>
        <w:t xml:space="preserve"> </w:t>
      </w:r>
      <w:r w:rsidR="00AE6E90">
        <w:rPr>
          <w:rFonts w:cs="Times New Roman"/>
          <w:szCs w:val="24"/>
        </w:rPr>
        <w:t>Meanwhile, i</w:t>
      </w:r>
      <w:r w:rsidR="00F67DA8" w:rsidRPr="00FE7240">
        <w:rPr>
          <w:rFonts w:cs="Times New Roman"/>
          <w:szCs w:val="24"/>
        </w:rPr>
        <w:t xml:space="preserve">t was also </w:t>
      </w:r>
      <w:r w:rsidR="00F2745F">
        <w:rPr>
          <w:rFonts w:cs="Times New Roman"/>
          <w:szCs w:val="24"/>
        </w:rPr>
        <w:t>found</w:t>
      </w:r>
      <w:r w:rsidR="00F67DA8" w:rsidRPr="00FE7240">
        <w:rPr>
          <w:rFonts w:cs="Times New Roman"/>
          <w:szCs w:val="24"/>
        </w:rPr>
        <w:t xml:space="preserve"> that </w:t>
      </w:r>
      <w:r w:rsidR="006B4799" w:rsidRPr="00FE7240">
        <w:rPr>
          <w:rFonts w:cs="Times New Roman"/>
          <w:szCs w:val="24"/>
        </w:rPr>
        <w:t xml:space="preserve">AEC </w:t>
      </w:r>
      <w:r w:rsidR="00F67DA8" w:rsidRPr="00FE7240">
        <w:rPr>
          <w:rFonts w:cs="Times New Roman"/>
          <w:szCs w:val="24"/>
        </w:rPr>
        <w:t xml:space="preserve">may be used in </w:t>
      </w:r>
      <w:proofErr w:type="gramStart"/>
      <w:r w:rsidR="00F67DA8" w:rsidRPr="00FE7240">
        <w:rPr>
          <w:rFonts w:cs="Times New Roman"/>
          <w:szCs w:val="24"/>
        </w:rPr>
        <w:t xml:space="preserve">circumstances </w:t>
      </w:r>
      <w:r w:rsidR="0071431B">
        <w:rPr>
          <w:rFonts w:cs="Times New Roman"/>
          <w:szCs w:val="24"/>
        </w:rPr>
        <w:t xml:space="preserve"> where</w:t>
      </w:r>
      <w:proofErr w:type="gramEnd"/>
      <w:r w:rsidR="0071431B">
        <w:rPr>
          <w:rFonts w:cs="Times New Roman"/>
          <w:szCs w:val="24"/>
        </w:rPr>
        <w:t xml:space="preserve"> </w:t>
      </w:r>
      <w:r w:rsidR="00F67DA8" w:rsidRPr="00FE7240">
        <w:rPr>
          <w:rFonts w:cs="Times New Roman"/>
          <w:szCs w:val="24"/>
        </w:rPr>
        <w:t xml:space="preserve">image quality may </w:t>
      </w:r>
      <w:r w:rsidR="00E46ED6">
        <w:rPr>
          <w:rFonts w:cs="Times New Roman"/>
          <w:szCs w:val="24"/>
        </w:rPr>
        <w:t>have considerably deteriorated</w:t>
      </w:r>
      <w:r w:rsidR="00FF7822">
        <w:rPr>
          <w:rFonts w:cs="Times New Roman"/>
          <w:szCs w:val="24"/>
        </w:rPr>
        <w:t>,</w:t>
      </w:r>
      <w:r w:rsidR="00F67DA8" w:rsidRPr="00FE7240">
        <w:rPr>
          <w:rFonts w:cs="Times New Roman"/>
          <w:szCs w:val="24"/>
        </w:rPr>
        <w:t xml:space="preserve"> while employing fixed tube potential. This will also result in a significant dose </w:t>
      </w:r>
      <w:r w:rsidR="005E2907">
        <w:rPr>
          <w:rFonts w:cs="Times New Roman"/>
          <w:szCs w:val="24"/>
        </w:rPr>
        <w:t>reduction</w:t>
      </w:r>
      <w:r w:rsidR="00F67DA8" w:rsidRPr="00FE7240">
        <w:rPr>
          <w:rFonts w:cs="Times New Roman"/>
          <w:szCs w:val="24"/>
        </w:rPr>
        <w:t xml:space="preserve">, as predicted by </w:t>
      </w:r>
      <w:r w:rsidR="00F67DA8" w:rsidRPr="00FE7240">
        <w:rPr>
          <w:rFonts w:cs="Times New Roman"/>
          <w:szCs w:val="24"/>
        </w:rPr>
        <w:fldChar w:fldCharType="begin" w:fldLock="1"/>
      </w:r>
      <w:r w:rsidR="00BC313E" w:rsidRPr="00FE7240">
        <w:rPr>
          <w:rFonts w:cs="Times New Roman"/>
          <w:szCs w:val="24"/>
        </w:rPr>
        <w:instrText>ADDIN CSL_CITATION {"citationItems":[{"id":"ITEM-1","itemData":{"DOI":"10.1016/j.radi.2010.10.004","ISSN":"10788174","abstract":"Purpose: The increasing frequency of computerized tomography (CT) examinations is well documented, leading to concern about potential radiation risks for patients. However, the consequences of not performing the CT examination and missing injuries and disease are potentially serious, impacting upon correct patient management. The ALARA principle of dose optimization must be employed for all justified CT examinations. Dose indicators displayed on the CT console as either CT dose index (CTDI) and/or dose length product (DLP), are used to indicate dose and can quantify improvements achieved through optimization. Key scan parameters contributing to dose have been identified in previous literature and in previous work by our group. The aim of this study was to optimize the scan parameters of mA; kV and pitch, whilst maintaining image quality and reducing dose. This research was conducted using psychophysical image quality measurements on a CT quality assurance (QA) phantom establishing the impact of dose optimization on image quality parameters. Method: Current CT scan parameters for head (posterior fossa and cerebrum), abdomen and chest examinations were collected from 57% of CT suites available nationally in Malta (n = 4). Current scan protocols were used to image a Catphan®600 CT QA phantom whereby image quality was assessed. Each scan parameter: mA; kV and pitch were systematically reduced until the contrast resolution (CR), spatial resolution (SR) and noise were significantly lowered. The Catphan®600 images, produced by the range of protocols, were evaluated by 2 expert observers assessing CR, SR and noise. The protocol considered as the optimization threshold was just above the setting that resulted in a significant reduction in CR and noise but not affecting SR at the 95% confidence interval. Results: The limit of optimization threshold was determined for each CT suite. Employing optimized parameters, CTDI and DLP were both significantly reduced (p ≤ 0.001) by 0-49% and 0-51% respectively. Below the optimization threshold, CR and noise were significantly affected (p ≤ 0.05) but not SR (p ≥ 0.083). The threshold value is the value below which CR and noise were affected. Conclusion: Optimization was effected through the establishment of the limits at which image quality is detrimentally reduced by dose reduction. This work established the mA, kV and pitch changes necessary to achieve the optimization thresholds, reducing the dose and the limit at which …","author":[{"dropping-particle":"","family":"Zarb","given":"Francis","non-dropping-particle":"","parse-names":false,"suffix":""},{"dropping-particle":"","family":"Rainford","given":"Louise","non-dropping-particle":"","parse-names":false,"suffix":""},{"dropping-particle":"","family":"McEntee","given":"Mark F.","non-dropping-particle":"","parse-names":false,"suffix":""}],"container-title":"Radiography","id":"ITEM-1","issue":"2","issued":{"date-parts":[["2011"]]},"page":"109-114","publisher":"Elsevier Ltd","title":"Developing optimized CT scan protocols: Phantom measurements of image quality","type":"article-journal","volume":"17"},"uris":["http://www.mendeley.com/documents/?uuid=24f23152-042e-4f6d-9735-126775f399a7"]}],"mendeley":{"formattedCitation":"(Zarb et al., 2011)","manualFormatting":"Zarb et al. (2011)","plainTextFormattedCitation":"(Zarb et al., 2011)","previouslyFormattedCitation":"(Zarb et al., 2011)"},"properties":{"noteIndex":0},"schema":"https://github.com/citation-style-language/schema/raw/master/csl-citation.json"}</w:instrText>
      </w:r>
      <w:r w:rsidR="00F67DA8" w:rsidRPr="00FE7240">
        <w:rPr>
          <w:rFonts w:cs="Times New Roman"/>
          <w:szCs w:val="24"/>
        </w:rPr>
        <w:fldChar w:fldCharType="separate"/>
      </w:r>
      <w:r w:rsidR="00F67DA8" w:rsidRPr="00FE7240">
        <w:rPr>
          <w:rFonts w:cs="Times New Roman"/>
          <w:noProof/>
          <w:szCs w:val="24"/>
        </w:rPr>
        <w:t>Zarb et al</w:t>
      </w:r>
      <w:r w:rsidR="00376AF8">
        <w:rPr>
          <w:rFonts w:cs="Times New Roman"/>
          <w:noProof/>
          <w:szCs w:val="24"/>
        </w:rPr>
        <w:t>., (2011)</w:t>
      </w:r>
      <w:r w:rsidR="00D979DA" w:rsidRPr="00FE7240">
        <w:rPr>
          <w:rFonts w:cs="Times New Roman"/>
          <w:noProof/>
          <w:szCs w:val="24"/>
        </w:rPr>
        <w:t xml:space="preserve"> </w:t>
      </w:r>
      <w:r w:rsidR="00F67DA8" w:rsidRPr="00FE7240">
        <w:rPr>
          <w:rFonts w:cs="Times New Roman"/>
          <w:szCs w:val="24"/>
        </w:rPr>
        <w:fldChar w:fldCharType="end"/>
      </w:r>
      <w:r w:rsidR="00F67DA8" w:rsidRPr="00FE7240">
        <w:rPr>
          <w:rFonts w:cs="Times New Roman"/>
          <w:szCs w:val="24"/>
        </w:rPr>
        <w:t>and confirmed with a</w:t>
      </w:r>
      <w:r w:rsidR="00550D21">
        <w:rPr>
          <w:rFonts w:cs="Times New Roman"/>
          <w:szCs w:val="24"/>
        </w:rPr>
        <w:t xml:space="preserve"> </w:t>
      </w:r>
      <w:r w:rsidR="0071431B" w:rsidRPr="00550D21">
        <w:rPr>
          <w:rFonts w:cs="Times New Roman"/>
          <w:color w:val="000000" w:themeColor="text1"/>
          <w:szCs w:val="24"/>
        </w:rPr>
        <w:t>31.0%</w:t>
      </w:r>
      <w:r w:rsidR="00EA67B1" w:rsidRPr="00550D21">
        <w:rPr>
          <w:rFonts w:cs="Times New Roman"/>
          <w:color w:val="000000" w:themeColor="text1"/>
          <w:szCs w:val="24"/>
        </w:rPr>
        <w:t xml:space="preserve"> </w:t>
      </w:r>
      <w:proofErr w:type="spellStart"/>
      <w:r w:rsidR="003E20BC" w:rsidRPr="003E20BC">
        <w:rPr>
          <w:rFonts w:cs="Times New Roman"/>
          <w:i/>
          <w:szCs w:val="24"/>
        </w:rPr>
        <w:t>D</w:t>
      </w:r>
      <w:r w:rsidR="003E20BC" w:rsidRPr="003E20BC">
        <w:rPr>
          <w:rFonts w:cs="Times New Roman"/>
          <w:i/>
          <w:szCs w:val="24"/>
          <w:vertAlign w:val="subscript"/>
        </w:rPr>
        <w:t>eff</w:t>
      </w:r>
      <w:proofErr w:type="spellEnd"/>
      <w:r w:rsidR="003E20BC" w:rsidRPr="003E20BC">
        <w:rPr>
          <w:rFonts w:cs="Times New Roman"/>
          <w:szCs w:val="24"/>
          <w:vertAlign w:val="subscript"/>
        </w:rPr>
        <w:t xml:space="preserve"> </w:t>
      </w:r>
      <w:r w:rsidR="003E20BC">
        <w:rPr>
          <w:rFonts w:cs="Times New Roman"/>
          <w:szCs w:val="24"/>
          <w:vertAlign w:val="subscript"/>
        </w:rPr>
        <w:t xml:space="preserve"> </w:t>
      </w:r>
      <w:r w:rsidR="007B00D6">
        <w:rPr>
          <w:rFonts w:cs="Times New Roman"/>
          <w:szCs w:val="24"/>
        </w:rPr>
        <w:t>reduction (I</w:t>
      </w:r>
      <w:r w:rsidR="00F67DA8" w:rsidRPr="00FE7240">
        <w:rPr>
          <w:rFonts w:cs="Times New Roman"/>
          <w:szCs w:val="24"/>
        </w:rPr>
        <w:t>mage G)</w:t>
      </w:r>
      <w:r w:rsidR="00F2745F">
        <w:rPr>
          <w:rFonts w:cs="Times New Roman"/>
          <w:szCs w:val="24"/>
        </w:rPr>
        <w:t xml:space="preserve"> with a good radiologist comment</w:t>
      </w:r>
      <w:r w:rsidR="00F67DA8" w:rsidRPr="00FE7240">
        <w:rPr>
          <w:rFonts w:cs="Times New Roman"/>
          <w:szCs w:val="24"/>
        </w:rPr>
        <w:t>.</w:t>
      </w:r>
      <w:r w:rsidR="00020691" w:rsidRPr="00FE7240">
        <w:rPr>
          <w:rFonts w:cs="Times New Roman"/>
          <w:szCs w:val="24"/>
        </w:rPr>
        <w:t xml:space="preserve"> </w:t>
      </w:r>
      <w:r w:rsidR="00B0647C" w:rsidRPr="00FE7240">
        <w:rPr>
          <w:rFonts w:cs="Times New Roman"/>
          <w:szCs w:val="24"/>
        </w:rPr>
        <w:t xml:space="preserve">The results of this study are further supported by </w:t>
      </w:r>
      <w:r w:rsidR="00EA33AE" w:rsidRPr="00FE7240">
        <w:rPr>
          <w:rFonts w:cs="Times New Roman"/>
          <w:szCs w:val="24"/>
        </w:rPr>
        <w:fldChar w:fldCharType="begin" w:fldLock="1"/>
      </w:r>
      <w:r w:rsidR="00EA33AE" w:rsidRPr="00FE7240">
        <w:rPr>
          <w:rFonts w:cs="Times New Roman"/>
          <w:szCs w:val="24"/>
        </w:rPr>
        <w:instrText>ADDIN CSL_CITATION {"citationItems":[{"id":"ITEM-1","itemData":{"DOI":"10.1007/S00330-012-2453-Y","ISSN":"1432-1084","PMID":"22549104","abstract":"Objective To evaluate prospectively, in patients with testicular cancer, the radiation dose-saving potential and image quality of contrast-enhanced chest and abdominal CT with automated tube potential selection. Methods Forty consecutive patients with testicular cancer underwent contrast-enhanced arterio-venous chest and portal-venous abdominal CT with automated tube potential selection (protocol B; tube potential 80-140 kVp), which is based on the attenuation of the CT topogram. All had a first CT at 120 kVp (protocol A) using the same 64-section CT machine and similar settings. Image quality was assessed; dose information (CTDIvol) was noted. Results Image noise and attenuation in the liver and spleen were significantly higher for protocol B (P&lt;0.05 each), whereas attenuation in the deltoid and erector spinae muscles was similar. In protocol B, tube potential was reduced to 100 kVp in 18 chest and 33 abdominal examinations, and to 80 kVp in 5 abdominal CT examinations; it increased to 140 kVp in one patient. Image quality of examinations using both CT protocols was rated as diagnostic. CTDIvol was significantly lower for protocol B compared to protocol A (reduction by 12%, P&lt;0.01). Conclusion In patients with testicular cancer, radiation dose of chest and abdominal CT can be reduced with automated tube potential selection, while image quality is preserved. © European Society of Radiology 2012.","author":[{"dropping-particle":"","family":"R","given":"Gnannt","non-dropping-particle":"","parse-names":false,"suffix":""},{"dropping-particle":"","family":"A","given":"Winklehner","non-dropping-particle":"","parse-names":false,"suffix":""},{"dropping-particle":"","family":"D","given":"Eberli","non-dropping-particle":"","parse-names":false,"suffix":""},{"dropping-particle":"","family":"A","given":"Knuth","non-dropping-particle":"","parse-names":false,"suffix":""},{"dropping-particle":"","family":"T","given":"Frauenfelder","non-dropping-particle":"","parse-names":false,"suffix":""},{"dropping-particle":"","family":"H","given":"Alkadhi","non-dropping-particle":"","parse-names":false,"suffix":""}],"container-title":"European radiology","id":"ITEM-1","issue":"9","issued":{"date-parts":[["2012","9"]]},"page":"1937-1945","publisher":"Eur Radiol","title":"Automated tube potential selection for standard chest and abdominal CT in follow-up patients with testicular cancer: comparison with fixed tube potential","type":"article-journal","volume":"22"},"uris":["http://www.mendeley.com/documents/?uuid=4599b22a-f4d8-3dd9-91c5-a2532579edc2"]}],"mendeley":{"formattedCitation":"(R et al., 2012)","manualFormatting":"Gnannt et al. (2012)","plainTextFormattedCitation":"(R et al., 2012)","previouslyFormattedCitation":"(R et al., 2012)"},"properties":{"noteIndex":0},"schema":"https://github.com/citation-style-language/schema/raw/master/csl-citation.json"}</w:instrText>
      </w:r>
      <w:r w:rsidR="00EA33AE" w:rsidRPr="00FE7240">
        <w:rPr>
          <w:rFonts w:cs="Times New Roman"/>
          <w:szCs w:val="24"/>
        </w:rPr>
        <w:fldChar w:fldCharType="separate"/>
      </w:r>
      <w:r w:rsidR="00376AF8">
        <w:rPr>
          <w:rFonts w:cs="Times New Roman"/>
          <w:noProof/>
          <w:szCs w:val="24"/>
        </w:rPr>
        <w:t>Khan et al., (2013)</w:t>
      </w:r>
      <w:r w:rsidR="00EA33AE" w:rsidRPr="00FE7240">
        <w:rPr>
          <w:rFonts w:cs="Times New Roman"/>
          <w:noProof/>
          <w:szCs w:val="24"/>
        </w:rPr>
        <w:t xml:space="preserve"> </w:t>
      </w:r>
      <w:r w:rsidR="00EA33AE" w:rsidRPr="00FE7240">
        <w:rPr>
          <w:rFonts w:cs="Times New Roman"/>
          <w:szCs w:val="24"/>
        </w:rPr>
        <w:fldChar w:fldCharType="end"/>
      </w:r>
      <w:r w:rsidR="00B0647C" w:rsidRPr="00FE7240">
        <w:rPr>
          <w:rFonts w:cs="Times New Roman"/>
          <w:szCs w:val="24"/>
        </w:rPr>
        <w:t>who indicated that a reduction in tube voltage from 120.0</w:t>
      </w:r>
      <w:r w:rsidR="007B00D6">
        <w:rPr>
          <w:rFonts w:cs="Times New Roman"/>
          <w:szCs w:val="24"/>
        </w:rPr>
        <w:t xml:space="preserve"> kVp</w:t>
      </w:r>
      <w:r w:rsidR="00B0647C" w:rsidRPr="00FE7240">
        <w:rPr>
          <w:rFonts w:cs="Times New Roman"/>
          <w:szCs w:val="24"/>
        </w:rPr>
        <w:t xml:space="preserve"> to 100.0 </w:t>
      </w:r>
      <w:r w:rsidR="007B00D6">
        <w:rPr>
          <w:rFonts w:cs="Times New Roman"/>
          <w:szCs w:val="24"/>
        </w:rPr>
        <w:t xml:space="preserve">kVp </w:t>
      </w:r>
      <w:r w:rsidR="00B0647C" w:rsidRPr="00FE7240">
        <w:rPr>
          <w:rFonts w:cs="Times New Roman"/>
          <w:szCs w:val="24"/>
        </w:rPr>
        <w:t xml:space="preserve">reduces radiation dose by 33.0%. </w:t>
      </w:r>
      <w:r w:rsidR="00B0647C" w:rsidRPr="00FE7240">
        <w:rPr>
          <w:rFonts w:cs="Times New Roman"/>
          <w:szCs w:val="24"/>
        </w:rPr>
        <w:fldChar w:fldCharType="begin" w:fldLock="1"/>
      </w:r>
      <w:r w:rsidR="00B0647C" w:rsidRPr="00FE7240">
        <w:rPr>
          <w:rFonts w:cs="Times New Roman"/>
          <w:szCs w:val="24"/>
        </w:rPr>
        <w:instrText>ADDIN CSL_CITATION {"citationItems":[{"id":"ITEM-1","itemData":{"DOI":"10.1136/bmj.k4931","ISSN":"17561833","PMID":"30602590","abstract":"OBJECTIVE To determine patient, institution, and machine characteristics that contribute to variation in radiation doses used for computed tomography (CT). DESIGN Prospective cohort study. SETTING Data were assembled and analyzed from the University of California San Francisco CT International Dose Registry. PARTICIPANTS Standardized data from over 2.0 million CT examinations of adults who underwent CT between November 2015 and August 2017 from 151 institutions, across seven countries. MAIN OUTCOME MEASURES Mean effective doses and proportions of high dose examinations for abdomen, chest, combined chest and abdomen, and head CT were determined by patient characteristics (sex, age, and size), type of institution (trauma center, care provision 24 hours per day and seven days per week, academic, private), institutional practice volume, machine factors (manufacturer, model), country, and how scanners were used, before and after adjustment for patient characteristics, using hierarchical linear and logistic regression. High dose examinations were defined as CT scans with doses above the 75th percentile defined during a baseline period. RESULTS The mean effective dose and proportion of high dose examinations varied substantially across institutions. The doses varied modestly (10-30%) by type of institution and machine characteristics after adjusting for patient characteristics. By contrast, even after adjusting for patient characteristics, wide variations in radiation doses across countries persisted, with a fourfold range in mean effective dose for abdomen CT examinations (7.0-25.7 mSv) and a 17-fold range in proportion of high dose examinations (4-69%). Similar variation across countries was observed for chest (mean effective dose 1.7-6.4 mSv, proportion of high dose examinations 1-26%) and combined chest and abdomen CT (10.0-37.9 mSv, 2-78%). Doses for head CT varied less (1.4-1.9 mSv, 8-27%). In multivariable models, the dose variation across countries was primarily attributable to institutional decisions regarding technical parameters (that is, how the scanners were used). CONCLUSIONS CT protocols and radiation doses vary greatly across countries and are primarily attributable to local choices regarding technical parameters, rather than patient, institution, or machine characteristics. These findings suggest that the optimization of doses to a consistent standard should be possible.","author":[{"dropping-particle":"","family":"Smith-Bindman","given":"Rebecca","non-dropping-particle":"","parse-names":false,"suffix":""},{"dropping-particle":"","family":"Wang","given":"Yifei","non-dropping-particle":"","parse-names":false,"suffix":""},{"dropping-particle":"","family":"Chu","given":"Philip","non-dropping-particle":"","parse-names":false,"suffix":""},{"dropping-particle":"","family":"Chung","given":"Robert","non-dropping-particle":"","parse-names":false,"suffix":""},{"dropping-particle":"","family":"Einstein","given":"Andrew J.","non-dropping-particle":"","parse-names":false,"suffix":""},{"dropping-particle":"","family":"Balcombe","given":"Jonathan","non-dropping-particle":"","parse-names":false,"suffix":""},{"dropping-particle":"","family":"Cocker","given":"Mary","non-dropping-particle":"","parse-names":false,"suffix":""},{"dropping-particle":"","family":"Das","given":"Marcos","non-dropping-particle":"","parse-names":false,"suffix":""},{"dropping-particle":"","family":"Delman","given":"Bradley N.","non-dropping-particle":"","parse-names":false,"suffix":""},{"dropping-particle":"","family":"Flynn","given":"Michael","non-dropping-particle":"","parse-names":false,"suffix":""},{"dropping-particle":"","family":"Gould","given":"Robert","non-dropping-particle":"","parse-names":false,"suffix":""},{"dropping-particle":"","family":"Lee","given":"Ryan K.","non-dropping-particle":"","parse-names":false,"suffix":""},{"dropping-particle":"","family":"Yellen-Nelson","given":"Thomas","non-dropping-particle":"","parse-names":false,"suffix":""},{"dropping-particle":"","family":"Schindera","given":"Sebastian","non-dropping-particle":"","parse-names":false,"suffix":""},{"dropping-particle":"","family":"Seibert","given":"Anthony","non-dropping-particle":"","parse-names":false,"suffix":""},{"dropping-particle":"","family":"Starkey","given":"Jay","non-dropping-particle":"","parse-names":false,"suffix":""},{"dropping-particle":"","family":"Suntharalingam","given":"Saravanabavaan","non-dropping-particle":"","parse-names":false,"suffix":""},{"dropping-particle":"","family":"Wetter","given":"Axel","non-dropping-particle":"","parse-names":false,"suffix":""},{"dropping-particle":"","family":"Wildberger","given":"Joachim E.","non-dropping-particle":"","parse-names":false,"suffix":""},{"dropping-particle":"","family":"Miglioretti","given":"Diana L.","non-dropping-particle":"","parse-names":false,"suffix":""}],"container-title":"BMJ (Online)","id":"ITEM-1","issued":{"date-parts":[["2019"]]},"page":"1-12","title":"International variation in radiation dose for computed tomography examinations: Prospective cohort study","type":"article-journal","volume":"364"},"uris":["http://www.mendeley.com/documents/?uuid=c1e7ad5c-7be9-4393-940e-9c3c201bc4ed"]}],"mendeley":{"formattedCitation":"(Smith-Bindman et al., 2019)","manualFormatting":"Smith-Bindman et al. (2019)","plainTextFormattedCitation":"(Smith-Bindman et al., 2019)","previouslyFormattedCitation":"(Smith-Bindman et al., 2019)"},"properties":{"noteIndex":0},"schema":"https://github.com/citation-style-language/schema/raw/master/csl-citation.json"}</w:instrText>
      </w:r>
      <w:r w:rsidR="00B0647C" w:rsidRPr="00FE7240">
        <w:rPr>
          <w:rFonts w:cs="Times New Roman"/>
          <w:szCs w:val="24"/>
        </w:rPr>
        <w:fldChar w:fldCharType="separate"/>
      </w:r>
      <w:r w:rsidR="00B0647C" w:rsidRPr="00FE7240">
        <w:rPr>
          <w:rFonts w:cs="Times New Roman"/>
          <w:noProof/>
          <w:szCs w:val="24"/>
        </w:rPr>
        <w:t>Smith-Bindman et al</w:t>
      </w:r>
      <w:r w:rsidR="00376AF8">
        <w:rPr>
          <w:rFonts w:cs="Times New Roman"/>
          <w:noProof/>
          <w:szCs w:val="24"/>
        </w:rPr>
        <w:t>., (</w:t>
      </w:r>
      <w:r w:rsidR="00B0647C" w:rsidRPr="00FE7240">
        <w:rPr>
          <w:rFonts w:cs="Times New Roman"/>
          <w:szCs w:val="24"/>
        </w:rPr>
        <w:fldChar w:fldCharType="end"/>
      </w:r>
      <w:r w:rsidR="00376AF8">
        <w:rPr>
          <w:rFonts w:cs="Times New Roman"/>
          <w:szCs w:val="24"/>
        </w:rPr>
        <w:t>2019)</w:t>
      </w:r>
      <w:r w:rsidR="00B0647C" w:rsidRPr="00FE7240">
        <w:rPr>
          <w:rFonts w:cs="Times New Roman"/>
          <w:szCs w:val="24"/>
        </w:rPr>
        <w:t xml:space="preserve"> </w:t>
      </w:r>
      <w:r w:rsidR="00020691" w:rsidRPr="00FE7240">
        <w:rPr>
          <w:rFonts w:cs="Times New Roman"/>
          <w:szCs w:val="24"/>
        </w:rPr>
        <w:t xml:space="preserve">also </w:t>
      </w:r>
      <w:r w:rsidR="00B0647C" w:rsidRPr="00FE7240">
        <w:rPr>
          <w:rFonts w:cs="Times New Roman"/>
          <w:szCs w:val="24"/>
        </w:rPr>
        <w:t xml:space="preserve">suggested that </w:t>
      </w:r>
      <w:r w:rsidR="00C12A2D">
        <w:rPr>
          <w:rFonts w:cs="Times New Roman"/>
          <w:szCs w:val="24"/>
        </w:rPr>
        <w:t xml:space="preserve">a </w:t>
      </w:r>
      <w:r w:rsidR="00B0647C" w:rsidRPr="00FE7240">
        <w:rPr>
          <w:rFonts w:cs="Times New Roman"/>
          <w:szCs w:val="24"/>
        </w:rPr>
        <w:t>50.0%</w:t>
      </w:r>
      <w:r w:rsidR="0071431B">
        <w:rPr>
          <w:rFonts w:cs="Times New Roman"/>
          <w:szCs w:val="24"/>
        </w:rPr>
        <w:t xml:space="preserve"> dose</w:t>
      </w:r>
      <w:r w:rsidR="00B0647C" w:rsidRPr="00FE7240">
        <w:rPr>
          <w:rFonts w:cs="Times New Roman"/>
          <w:szCs w:val="24"/>
        </w:rPr>
        <w:t xml:space="preserve"> reduction</w:t>
      </w:r>
      <w:r w:rsidR="00550D21">
        <w:rPr>
          <w:rFonts w:cs="Times New Roman"/>
          <w:szCs w:val="24"/>
        </w:rPr>
        <w:t xml:space="preserve"> </w:t>
      </w:r>
      <w:r w:rsidR="007B00D6">
        <w:rPr>
          <w:rFonts w:cs="Times New Roman"/>
          <w:szCs w:val="24"/>
        </w:rPr>
        <w:t xml:space="preserve">is </w:t>
      </w:r>
      <w:r w:rsidR="00B0647C" w:rsidRPr="00FE7240">
        <w:rPr>
          <w:rFonts w:cs="Times New Roman"/>
          <w:szCs w:val="24"/>
        </w:rPr>
        <w:t>achiev</w:t>
      </w:r>
      <w:r w:rsidR="007B00D6">
        <w:rPr>
          <w:rFonts w:cs="Times New Roman"/>
          <w:szCs w:val="24"/>
        </w:rPr>
        <w:t>abl</w:t>
      </w:r>
      <w:r w:rsidR="00B0647C" w:rsidRPr="00FE7240">
        <w:rPr>
          <w:rFonts w:cs="Times New Roman"/>
          <w:szCs w:val="24"/>
        </w:rPr>
        <w:t>e without reducing its diagnostic purpose.</w:t>
      </w:r>
      <w:r w:rsidR="00997A5E">
        <w:rPr>
          <w:rFonts w:cs="Times New Roman"/>
          <w:szCs w:val="24"/>
        </w:rPr>
        <w:t xml:space="preserve"> </w:t>
      </w:r>
    </w:p>
    <w:p w14:paraId="2FA446B7" w14:textId="675D2A95" w:rsidR="00B0647C" w:rsidRDefault="00020691" w:rsidP="00B0647C">
      <w:pPr>
        <w:spacing w:line="480" w:lineRule="auto"/>
        <w:rPr>
          <w:rFonts w:cs="Times New Roman"/>
          <w:szCs w:val="24"/>
        </w:rPr>
      </w:pPr>
      <w:r w:rsidRPr="00FE7240">
        <w:rPr>
          <w:rFonts w:cs="Times New Roman"/>
          <w:szCs w:val="24"/>
        </w:rPr>
        <w:tab/>
      </w:r>
      <w:r w:rsidR="00B0647C" w:rsidRPr="00FE7240">
        <w:rPr>
          <w:rFonts w:cs="Times New Roman"/>
          <w:szCs w:val="24"/>
        </w:rPr>
        <w:fldChar w:fldCharType="begin" w:fldLock="1"/>
      </w:r>
      <w:r w:rsidR="00B0647C" w:rsidRPr="00FE7240">
        <w:rPr>
          <w:rFonts w:cs="Times New Roman"/>
          <w:szCs w:val="24"/>
        </w:rPr>
        <w:instrText>ADDIN CSL_CITATION {"citationItems":[{"id":"ITEM-1","itemData":{"DOI":"10.1097/01.HP.0000324200.73903.5b","ISSN":"0017-9078","author":[{"dropping-particle":"","family":"Vetter","given":"Richard J.","non-dropping-particle":"","parse-names":false,"suffix":""}],"container-title":"Health Physics","id":"ITEM-1","issue":"4","issued":{"date-parts":[["2008","10"]]},"page":"445-446","title":"ICRP Publication 103, The Recommendations of the International Commission on Radiological Protection","type":"article-journal","volume":"95"},"uris":["http://www.mendeley.com/documents/?uuid=403f7723-8f3e-3ff0-9ae5-f32448b0fa50"]}],"mendeley":{"formattedCitation":"(Vetter, 2008)","manualFormatting":"Vetter (2008)","plainTextFormattedCitation":"(Vetter, 2008)","previouslyFormattedCitation":"(Vetter, 2008)"},"properties":{"noteIndex":0},"schema":"https://github.com/citation-style-language/schema/raw/master/csl-citation.json"}</w:instrText>
      </w:r>
      <w:r w:rsidR="00B0647C" w:rsidRPr="00FE7240">
        <w:rPr>
          <w:rFonts w:cs="Times New Roman"/>
          <w:szCs w:val="24"/>
        </w:rPr>
        <w:fldChar w:fldCharType="separate"/>
      </w:r>
      <w:r w:rsidR="00B0647C" w:rsidRPr="00FE7240">
        <w:rPr>
          <w:rFonts w:cs="Times New Roman"/>
          <w:noProof/>
          <w:szCs w:val="24"/>
        </w:rPr>
        <w:t xml:space="preserve">Vetter </w:t>
      </w:r>
      <w:r w:rsidR="00376AF8">
        <w:rPr>
          <w:rFonts w:cs="Times New Roman"/>
          <w:noProof/>
          <w:szCs w:val="24"/>
        </w:rPr>
        <w:t xml:space="preserve">(2008) </w:t>
      </w:r>
      <w:r w:rsidR="00B0647C" w:rsidRPr="00FE7240">
        <w:rPr>
          <w:rFonts w:cs="Times New Roman"/>
          <w:szCs w:val="24"/>
        </w:rPr>
        <w:fldChar w:fldCharType="end"/>
      </w:r>
      <w:r w:rsidR="00B0647C" w:rsidRPr="00FE7240">
        <w:rPr>
          <w:rFonts w:cs="Times New Roman"/>
          <w:szCs w:val="24"/>
        </w:rPr>
        <w:t xml:space="preserve">reported that </w:t>
      </w:r>
      <w:r w:rsidRPr="00FE7240">
        <w:rPr>
          <w:rFonts w:cs="Times New Roman"/>
          <w:szCs w:val="24"/>
        </w:rPr>
        <w:t xml:space="preserve">dose reduction strategies </w:t>
      </w:r>
      <w:r w:rsidR="005E2907">
        <w:rPr>
          <w:rFonts w:cs="Times New Roman"/>
          <w:szCs w:val="24"/>
        </w:rPr>
        <w:t xml:space="preserve">using AEC systems </w:t>
      </w:r>
      <w:r w:rsidR="00B0647C" w:rsidRPr="00FE7240">
        <w:rPr>
          <w:rFonts w:cs="Times New Roman"/>
          <w:szCs w:val="24"/>
        </w:rPr>
        <w:t>significantly reduce</w:t>
      </w:r>
      <w:r w:rsidR="005E2907">
        <w:rPr>
          <w:rFonts w:cs="Times New Roman"/>
          <w:szCs w:val="24"/>
        </w:rPr>
        <w:t>d</w:t>
      </w:r>
      <w:r w:rsidR="00B0647C" w:rsidRPr="00FE7240">
        <w:rPr>
          <w:rFonts w:cs="Times New Roman"/>
          <w:szCs w:val="24"/>
        </w:rPr>
        <w:t xml:space="preserve"> </w:t>
      </w:r>
      <w:r w:rsidRPr="00FE7240">
        <w:rPr>
          <w:rFonts w:cs="Times New Roman"/>
          <w:szCs w:val="24"/>
        </w:rPr>
        <w:t xml:space="preserve">radiation </w:t>
      </w:r>
      <w:r w:rsidR="00B0647C" w:rsidRPr="00FE7240">
        <w:rPr>
          <w:rFonts w:cs="Times New Roman"/>
          <w:szCs w:val="24"/>
        </w:rPr>
        <w:t>dose</w:t>
      </w:r>
      <w:r w:rsidRPr="00FE7240">
        <w:rPr>
          <w:rFonts w:cs="Times New Roman"/>
          <w:szCs w:val="24"/>
        </w:rPr>
        <w:t xml:space="preserve"> in CT imaging</w:t>
      </w:r>
      <w:r w:rsidR="00B0647C" w:rsidRPr="00FE7240">
        <w:rPr>
          <w:rFonts w:cs="Times New Roman"/>
          <w:szCs w:val="24"/>
        </w:rPr>
        <w:t xml:space="preserve">. However, </w:t>
      </w:r>
      <w:r w:rsidR="00B0647C" w:rsidRPr="00FE7240">
        <w:rPr>
          <w:rFonts w:cs="Times New Roman"/>
          <w:szCs w:val="24"/>
        </w:rPr>
        <w:fldChar w:fldCharType="begin" w:fldLock="1"/>
      </w:r>
      <w:r w:rsidR="00B0647C" w:rsidRPr="00FE7240">
        <w:rPr>
          <w:rFonts w:cs="Times New Roman"/>
          <w:szCs w:val="24"/>
        </w:rPr>
        <w:instrText>ADDIN CSL_CITATION {"citationItems":[{"id":"ITEM-1","itemData":{"abstract":"Introduction The use of spiral computed tomography (CT) and the advent of faster and more powerful scanners (multi-slice-scanners) for volume imaging in spiral mode has led to a new enthusiasm for CT. Although CT examinations constitute only 4±6 % of all X-ray examinations in Germany, they cause more than 30 % of the exposure due to medical X-ray applications [1]. This background has added to the interest in reducing dose in CT examinations. A new technical approach to doing so uses a software based modulation of the tube current (Smartscan, General Electric Systems, Milwaukee, Wis., USA). Local absorption is measured in the 100 central channels of two localizer radiographs (lateral and anteroposteri-or) and used for sinusoidal modulation of the tube current [2, 3, 4]. In contrast to this, our own approach uses attenuation-based on-line modulation of tube current (Siemens, Erlangen, Germany). In a phantom and a ca-daver study [5] and an initial patient study (involving the shoulder region) [6] we showed that a substantial dose reduction is possible with the same or improved image quality using attenuation-based on-line modulation of tube current. We found that dose can be reduced by an average of 38 % in the shoulder region without loss in image quality; generally, we observed more homogeneous noise and fewer noise artifacts with tube current modulation than with constant tube [6]. The present study examined the extent of reducing patient exposure in various anatomical regions. We chose six different anatomical regions which are typically covered by routine CT examinations. These were the base of the skull, shoulder region, thorax, abdomen, pelvis , and knee region. Abstract. This study investigated the potential of at-tenuation-based on-line modulation of tube current to reduce the dose of computed tomography (in mil-liamperes) without loss in image quality. The dose can be reduced for non-circular patient cross-sections by reducing the tube current at the angular positions at which the diameter through the patient diameter is smallest. We investigated a new technical approach with attenuation-based on-line modulation of tube current. Computed tomographic projection data were analyzed to determine the optimal milliampere values for each projection angle in real time, instead of performing prior measurements with localizer ra-diographs. We compared image quality, noise pattern , and dose for standard scans and for scans with attenuation-based on-line mo…","author":[{"dropping-particle":"","family":"Greess","given":"H","non-dropping-particle":"","parse-names":false,"suffix":""},{"dropping-particle":"","family":"Wolf","given":"H","non-dropping-particle":"","parse-names":false,"suffix":""},{"dropping-particle":"","family":"Baum","given":"U","non-dropping-particle":"","parse-names":false,"suffix":""},{"dropping-particle":"","family":"Lell","given":"M","non-dropping-particle":"","parse-names":false,"suffix":""},{"dropping-particle":"","family":"Pirkl","given":"M","non-dropping-particle":"","parse-names":false,"suffix":""},{"dropping-particle":"","family":"Kalender","given":"W","non-dropping-particle":"","parse-names":false,"suffix":""},{"dropping-particle":"","family":"Bautz","given":"W A","non-dropping-particle":"","parse-names":false,"suffix":""}],"container-title":"Eur. Radiol","id":"ITEM-1","issued":{"date-parts":[["2000"]]},"publisher":"Springer-Verlag","title":"Physics European Radiology Dose reduction in computed tomography by attenuation-based on-line modulation of tube current: evaluation of six anatomical regions","type":"article-journal","volume":"10"},"uris":["http://www.mendeley.com/documents/?uuid=ae447ee0-b7e3-36af-8cb8-46b0bd55614b"]}],"mendeley":{"formattedCitation":"(Greess et al., 2000)","manualFormatting":"Greess et al. (2000)","plainTextFormattedCitation":"(Greess et al., 2000)","previouslyFormattedCitation":"(Greess et al., 2000)"},"properties":{"noteIndex":0},"schema":"https://github.com/citation-style-language/schema/raw/master/csl-citation.json"}</w:instrText>
      </w:r>
      <w:r w:rsidR="00B0647C" w:rsidRPr="00FE7240">
        <w:rPr>
          <w:rFonts w:cs="Times New Roman"/>
          <w:szCs w:val="24"/>
        </w:rPr>
        <w:fldChar w:fldCharType="separate"/>
      </w:r>
      <w:r w:rsidR="00B0647C" w:rsidRPr="00FE7240">
        <w:rPr>
          <w:rFonts w:cs="Times New Roman"/>
          <w:noProof/>
          <w:szCs w:val="24"/>
        </w:rPr>
        <w:t>Greess et al.</w:t>
      </w:r>
      <w:r w:rsidR="00376AF8">
        <w:rPr>
          <w:rFonts w:cs="Times New Roman"/>
          <w:noProof/>
          <w:szCs w:val="24"/>
        </w:rPr>
        <w:t>, (2000)</w:t>
      </w:r>
      <w:r w:rsidR="00B0647C" w:rsidRPr="00FE7240">
        <w:rPr>
          <w:rFonts w:cs="Times New Roman"/>
          <w:noProof/>
          <w:szCs w:val="24"/>
        </w:rPr>
        <w:t xml:space="preserve"> </w:t>
      </w:r>
      <w:r w:rsidR="00B0647C" w:rsidRPr="00FE7240">
        <w:rPr>
          <w:rFonts w:cs="Times New Roman"/>
          <w:szCs w:val="24"/>
        </w:rPr>
        <w:fldChar w:fldCharType="end"/>
      </w:r>
      <w:r w:rsidR="00B0647C" w:rsidRPr="00FE7240">
        <w:rPr>
          <w:rFonts w:cs="Times New Roman"/>
          <w:szCs w:val="24"/>
        </w:rPr>
        <w:t xml:space="preserve">emphasized that the use of AEC as a dose reduction </w:t>
      </w:r>
      <w:r w:rsidRPr="00FE7240">
        <w:rPr>
          <w:rFonts w:cs="Times New Roman"/>
          <w:szCs w:val="24"/>
        </w:rPr>
        <w:t xml:space="preserve">approach </w:t>
      </w:r>
      <w:r w:rsidR="00B0647C" w:rsidRPr="00FE7240">
        <w:rPr>
          <w:rFonts w:cs="Times New Roman"/>
          <w:szCs w:val="24"/>
        </w:rPr>
        <w:t>was depen</w:t>
      </w:r>
      <w:r w:rsidRPr="00FE7240">
        <w:rPr>
          <w:rFonts w:cs="Times New Roman"/>
          <w:szCs w:val="24"/>
        </w:rPr>
        <w:t>dent on the scanned body region</w:t>
      </w:r>
      <w:r w:rsidR="00B0647C" w:rsidRPr="00FE7240">
        <w:rPr>
          <w:rFonts w:cs="Times New Roman"/>
          <w:szCs w:val="24"/>
        </w:rPr>
        <w:t xml:space="preserve"> </w:t>
      </w:r>
      <w:r w:rsidRPr="00FE7240">
        <w:rPr>
          <w:rFonts w:cs="Times New Roman"/>
          <w:szCs w:val="24"/>
        </w:rPr>
        <w:t xml:space="preserve">and </w:t>
      </w:r>
      <w:r w:rsidR="00B0647C" w:rsidRPr="00FE7240">
        <w:rPr>
          <w:rFonts w:cs="Times New Roman"/>
          <w:szCs w:val="24"/>
        </w:rPr>
        <w:t xml:space="preserve">certain circumstances. According to </w:t>
      </w:r>
      <w:r w:rsidR="00B0647C" w:rsidRPr="00FE7240">
        <w:rPr>
          <w:rFonts w:cs="Times New Roman"/>
          <w:szCs w:val="24"/>
        </w:rPr>
        <w:fldChar w:fldCharType="begin" w:fldLock="1"/>
      </w:r>
      <w:r w:rsidR="00B0647C" w:rsidRPr="00FE7240">
        <w:rPr>
          <w:rFonts w:cs="Times New Roman"/>
          <w:szCs w:val="24"/>
        </w:rPr>
        <w:instrText>ADDIN CSL_CITATION {"citationItems":[{"id":"ITEM-1","itemData":{"DOI":"10.1016/J.JACR.2011.03.001","ISSN":"1558-349X","PMID":"21636062","author":[{"dropping-particle":"","family":"S","given":"Singh","non-dropping-particle":"","parse-names":false,"suffix":""},{"dropping-particle":"","family":"MK","given":"Kalra","non-dropping-particle":"","parse-names":false,"suffix":""},{"dropping-particle":"","family":"JH","given":"Thrall","non-dropping-particle":"","parse-names":false,"suffix":""},{"dropping-particle":"","family":"M","given":"Mahesh","non-dropping-particle":"","parse-names":false,"suffix":""}],"container-title":"Journal of the American College of Radiology : JACR","id":"ITEM-1","issue":"6","issued":{"date-parts":[["2011"]]},"page":"446-449","publisher":"J Am Coll Radiol","title":"Automatic exposure control in CT: applications and limitations","type":"article-journal","volume":"8"},"uris":["http://www.mendeley.com/documents/?uuid=632ccb84-3864-3b7f-a18c-d8bee607931f"]}],"mendeley":{"formattedCitation":"(S et al., 2011)","manualFormatting":"Singh et al. (2011)","plainTextFormattedCitation":"(S et al., 2011)","previouslyFormattedCitation":"(S et al., 2011)"},"properties":{"noteIndex":0},"schema":"https://github.com/citation-style-language/schema/raw/master/csl-citation.json"}</w:instrText>
      </w:r>
      <w:r w:rsidR="00B0647C" w:rsidRPr="00FE7240">
        <w:rPr>
          <w:rFonts w:cs="Times New Roman"/>
          <w:szCs w:val="24"/>
        </w:rPr>
        <w:fldChar w:fldCharType="separate"/>
      </w:r>
      <w:r w:rsidR="00B0647C" w:rsidRPr="00FE7240">
        <w:rPr>
          <w:rFonts w:cs="Times New Roman"/>
          <w:noProof/>
          <w:szCs w:val="24"/>
        </w:rPr>
        <w:t>Singh et al</w:t>
      </w:r>
      <w:r w:rsidR="00376AF8">
        <w:rPr>
          <w:rFonts w:cs="Times New Roman"/>
          <w:noProof/>
          <w:szCs w:val="24"/>
        </w:rPr>
        <w:t>., (2011)</w:t>
      </w:r>
      <w:r w:rsidR="00B0647C" w:rsidRPr="00FE7240">
        <w:rPr>
          <w:rFonts w:cs="Times New Roman"/>
          <w:szCs w:val="24"/>
        </w:rPr>
        <w:fldChar w:fldCharType="end"/>
      </w:r>
      <w:r w:rsidR="00B0647C" w:rsidRPr="00FE7240">
        <w:rPr>
          <w:rFonts w:cs="Times New Roman"/>
          <w:szCs w:val="24"/>
        </w:rPr>
        <w:t xml:space="preserve">, the use of </w:t>
      </w:r>
      <w:r w:rsidR="00FC5C2D" w:rsidRPr="00FE7240">
        <w:rPr>
          <w:rFonts w:cs="Times New Roman"/>
          <w:szCs w:val="24"/>
        </w:rPr>
        <w:t xml:space="preserve">AEC </w:t>
      </w:r>
      <w:r w:rsidR="00B0647C" w:rsidRPr="00FE7240">
        <w:rPr>
          <w:rFonts w:cs="Times New Roman"/>
          <w:szCs w:val="24"/>
        </w:rPr>
        <w:t xml:space="preserve">may not be recommended in CT head scans due to </w:t>
      </w:r>
      <w:r w:rsidR="001F15EB">
        <w:rPr>
          <w:rFonts w:cs="Times New Roman"/>
          <w:szCs w:val="24"/>
        </w:rPr>
        <w:t>the fact that t</w:t>
      </w:r>
      <w:r w:rsidR="00B371DA" w:rsidRPr="00B371DA">
        <w:rPr>
          <w:rFonts w:cs="Times New Roman"/>
          <w:szCs w:val="24"/>
        </w:rPr>
        <w:t xml:space="preserve">he variations of patients' brain sizes and shapes are expected to be small. </w:t>
      </w:r>
      <w:r w:rsidR="00B0647C" w:rsidRPr="00FE7240">
        <w:rPr>
          <w:rFonts w:cs="Times New Roman"/>
          <w:szCs w:val="24"/>
        </w:rPr>
        <w:t xml:space="preserve">Also, relatively different lesser attenuations in the head compared to other regions may attribute to the poor recommendation of AEC in head CT scans. Generally, AEC </w:t>
      </w:r>
      <w:r w:rsidRPr="00FE7240">
        <w:rPr>
          <w:rFonts w:cs="Times New Roman"/>
          <w:szCs w:val="24"/>
        </w:rPr>
        <w:t xml:space="preserve">systems </w:t>
      </w:r>
      <w:r w:rsidR="00B0647C" w:rsidRPr="00FE7240">
        <w:rPr>
          <w:rFonts w:cs="Times New Roman"/>
          <w:szCs w:val="24"/>
        </w:rPr>
        <w:t>reduce patient dose</w:t>
      </w:r>
      <w:r w:rsidR="004D0D16" w:rsidRPr="00FE7240">
        <w:rPr>
          <w:rFonts w:cs="Times New Roman"/>
          <w:szCs w:val="24"/>
        </w:rPr>
        <w:t>;</w:t>
      </w:r>
      <w:r w:rsidR="00B0647C" w:rsidRPr="00FE7240">
        <w:rPr>
          <w:rFonts w:cs="Times New Roman"/>
          <w:szCs w:val="24"/>
        </w:rPr>
        <w:t xml:space="preserve"> therefore in cases where image quality may be significantly deteriorated using fixed tube current and tube potential, </w:t>
      </w:r>
      <w:r w:rsidR="00FC5C2D" w:rsidRPr="00FE7240">
        <w:rPr>
          <w:rFonts w:cs="Times New Roman"/>
          <w:szCs w:val="24"/>
        </w:rPr>
        <w:t xml:space="preserve">AEC </w:t>
      </w:r>
      <w:r w:rsidR="00B0647C" w:rsidRPr="00FE7240">
        <w:rPr>
          <w:rFonts w:cs="Times New Roman"/>
          <w:szCs w:val="24"/>
        </w:rPr>
        <w:t>may be incorporated</w:t>
      </w:r>
      <w:r w:rsidR="00DE3FD8">
        <w:rPr>
          <w:rFonts w:cs="Times New Roman"/>
          <w:szCs w:val="24"/>
        </w:rPr>
        <w:t xml:space="preserve"> </w:t>
      </w:r>
      <w:r w:rsidR="00376AF8">
        <w:rPr>
          <w:rFonts w:cs="Times New Roman"/>
          <w:szCs w:val="24"/>
        </w:rPr>
        <w:t>(</w:t>
      </w:r>
      <w:proofErr w:type="spellStart"/>
      <w:r w:rsidR="00376AF8" w:rsidRPr="00FE7240">
        <w:rPr>
          <w:rFonts w:cs="Times New Roman"/>
          <w:noProof/>
          <w:szCs w:val="24"/>
        </w:rPr>
        <w:t>Greess</w:t>
      </w:r>
      <w:proofErr w:type="spellEnd"/>
      <w:r w:rsidR="00376AF8" w:rsidRPr="00FE7240">
        <w:rPr>
          <w:rFonts w:cs="Times New Roman"/>
          <w:noProof/>
          <w:szCs w:val="24"/>
        </w:rPr>
        <w:t xml:space="preserve"> et al.</w:t>
      </w:r>
      <w:r w:rsidR="00376AF8">
        <w:rPr>
          <w:rFonts w:cs="Times New Roman"/>
          <w:noProof/>
          <w:szCs w:val="24"/>
        </w:rPr>
        <w:t xml:space="preserve">, 2000). </w:t>
      </w:r>
      <w:r w:rsidR="00B0647C" w:rsidRPr="00FE7240">
        <w:rPr>
          <w:rFonts w:cs="Times New Roman"/>
          <w:szCs w:val="24"/>
        </w:rPr>
        <w:t xml:space="preserve">If </w:t>
      </w:r>
      <w:r w:rsidR="004D0D16" w:rsidRPr="00FE7240">
        <w:rPr>
          <w:rFonts w:cs="Times New Roman"/>
          <w:szCs w:val="24"/>
        </w:rPr>
        <w:t xml:space="preserve">the use of </w:t>
      </w:r>
      <w:r w:rsidR="00B0647C" w:rsidRPr="00FE7240">
        <w:rPr>
          <w:rFonts w:cs="Times New Roman"/>
          <w:szCs w:val="24"/>
        </w:rPr>
        <w:t xml:space="preserve">AEC is prevalent, then </w:t>
      </w:r>
      <w:r w:rsidR="00C71178" w:rsidRPr="00FE7240">
        <w:rPr>
          <w:rFonts w:cs="Times New Roman"/>
          <w:szCs w:val="24"/>
        </w:rPr>
        <w:t xml:space="preserve">the optimization method adopted for </w:t>
      </w:r>
      <w:r w:rsidR="00B0647C" w:rsidRPr="00FE7240">
        <w:rPr>
          <w:rFonts w:cs="Times New Roman"/>
          <w:szCs w:val="24"/>
        </w:rPr>
        <w:t xml:space="preserve">image G </w:t>
      </w:r>
      <w:r w:rsidR="00C71178" w:rsidRPr="00FE7240">
        <w:rPr>
          <w:rFonts w:cs="Times New Roman"/>
          <w:szCs w:val="24"/>
        </w:rPr>
        <w:t xml:space="preserve">in this study </w:t>
      </w:r>
      <w:r w:rsidR="00B0647C" w:rsidRPr="00FE7240">
        <w:rPr>
          <w:rFonts w:cs="Times New Roman"/>
          <w:szCs w:val="24"/>
        </w:rPr>
        <w:t>will be deemed s</w:t>
      </w:r>
      <w:r w:rsidRPr="00FE7240">
        <w:rPr>
          <w:rFonts w:cs="Times New Roman"/>
          <w:szCs w:val="24"/>
        </w:rPr>
        <w:t>uitable for diagnostic purposes</w:t>
      </w:r>
      <w:r w:rsidR="00F53DF0">
        <w:rPr>
          <w:rFonts w:cs="Times New Roman"/>
          <w:szCs w:val="24"/>
        </w:rPr>
        <w:t xml:space="preserve">, </w:t>
      </w:r>
      <w:proofErr w:type="spellStart"/>
      <w:r w:rsidR="00F53DF0" w:rsidRPr="00550D21">
        <w:rPr>
          <w:rFonts w:cs="Times New Roman"/>
          <w:color w:val="222222"/>
          <w:shd w:val="clear" w:color="auto" w:fill="FFFFFF"/>
        </w:rPr>
        <w:t>eventhough</w:t>
      </w:r>
      <w:proofErr w:type="spellEnd"/>
      <w:r w:rsidR="00F53DF0" w:rsidRPr="00550D21">
        <w:rPr>
          <w:rFonts w:cs="Times New Roman"/>
          <w:color w:val="222222"/>
          <w:shd w:val="clear" w:color="auto" w:fill="FFFFFF"/>
        </w:rPr>
        <w:t xml:space="preserve"> </w:t>
      </w:r>
      <w:r w:rsidR="0071431B">
        <w:rPr>
          <w:rFonts w:cs="Times New Roman"/>
          <w:color w:val="222222"/>
          <w:shd w:val="clear" w:color="auto" w:fill="FFFFFF"/>
        </w:rPr>
        <w:t xml:space="preserve">it </w:t>
      </w:r>
      <w:r w:rsidR="00F53DF0" w:rsidRPr="00550D21">
        <w:rPr>
          <w:rFonts w:cs="Times New Roman"/>
          <w:color w:val="222222"/>
          <w:shd w:val="clear" w:color="auto" w:fill="FFFFFF"/>
        </w:rPr>
        <w:t>is expected that the dose reductions by using AEC would be small for these patients</w:t>
      </w:r>
      <w:r w:rsidR="00C71178" w:rsidRPr="00F53DF0">
        <w:rPr>
          <w:rFonts w:cs="Times New Roman"/>
          <w:szCs w:val="24"/>
        </w:rPr>
        <w:t>.</w:t>
      </w:r>
      <w:r w:rsidRPr="00FE7240">
        <w:rPr>
          <w:rFonts w:cs="Times New Roman"/>
          <w:szCs w:val="24"/>
        </w:rPr>
        <w:t xml:space="preserve"> </w:t>
      </w:r>
    </w:p>
    <w:p w14:paraId="4D065C45" w14:textId="77777777" w:rsidR="005E2907" w:rsidRPr="00FE7240" w:rsidRDefault="005E2907" w:rsidP="005E2907">
      <w:pPr>
        <w:spacing w:line="240" w:lineRule="auto"/>
        <w:rPr>
          <w:rFonts w:cs="Times New Roman"/>
          <w:szCs w:val="24"/>
        </w:rPr>
      </w:pPr>
    </w:p>
    <w:p w14:paraId="3CD7B183" w14:textId="451FBFA3" w:rsidR="005B74D7" w:rsidRPr="00FE7240" w:rsidRDefault="00DE3FDB" w:rsidP="00A9592C">
      <w:pPr>
        <w:pStyle w:val="Heading2"/>
        <w:spacing w:before="0" w:after="0" w:line="480" w:lineRule="auto"/>
        <w:ind w:left="567" w:hanging="567"/>
      </w:pPr>
      <w:bookmarkStart w:id="13" w:name="_Toc82774843"/>
      <w:r>
        <w:t>5.</w:t>
      </w:r>
      <w:r>
        <w:tab/>
      </w:r>
      <w:r w:rsidR="00C71178" w:rsidRPr="00FE7240">
        <w:t>Conclusion</w:t>
      </w:r>
      <w:bookmarkEnd w:id="13"/>
    </w:p>
    <w:p w14:paraId="44DC4B3D" w14:textId="7C378D56" w:rsidR="005762E2" w:rsidRDefault="005762E2" w:rsidP="00A9592C">
      <w:pPr>
        <w:spacing w:line="480" w:lineRule="auto"/>
        <w:ind w:firstLine="567"/>
      </w:pPr>
      <w:r w:rsidRPr="00FE7240">
        <w:t>The measured CTDI</w:t>
      </w:r>
      <w:r w:rsidRPr="00FE7240">
        <w:rPr>
          <w:vertAlign w:val="subscript"/>
        </w:rPr>
        <w:t>vol</w:t>
      </w:r>
      <w:r w:rsidRPr="00FE7240">
        <w:t xml:space="preserve"> and DLP values were higher than the ICRP 73 recommended value</w:t>
      </w:r>
      <w:r w:rsidR="00A9592C">
        <w:t>s</w:t>
      </w:r>
      <w:r w:rsidRPr="00FE7240">
        <w:t xml:space="preserve"> and other published studies.</w:t>
      </w:r>
      <w:r w:rsidR="004D0D16" w:rsidRPr="00FE7240">
        <w:t xml:space="preserve"> </w:t>
      </w:r>
      <w:r w:rsidR="006600B0">
        <w:t xml:space="preserve">The consideration of </w:t>
      </w:r>
      <w:r w:rsidR="00C71178" w:rsidRPr="00FE7240">
        <w:t xml:space="preserve">tube potential </w:t>
      </w:r>
      <w:r w:rsidR="006600B0">
        <w:t xml:space="preserve">alteration </w:t>
      </w:r>
      <w:r w:rsidR="00C71178" w:rsidRPr="00FE7240">
        <w:t xml:space="preserve">and utilization of AEC as </w:t>
      </w:r>
      <w:r w:rsidR="005B74D7" w:rsidRPr="00FE7240">
        <w:t xml:space="preserve">dose optimization protocols </w:t>
      </w:r>
      <w:r w:rsidR="00537EA5" w:rsidRPr="00FE7240">
        <w:t>for adult head CT examinations</w:t>
      </w:r>
      <w:r w:rsidR="006600B0">
        <w:t xml:space="preserve"> resulted in </w:t>
      </w:r>
      <w:r w:rsidRPr="00FE7240">
        <w:t>reduction</w:t>
      </w:r>
      <w:r w:rsidR="006600B0">
        <w:t>s</w:t>
      </w:r>
      <w:r w:rsidRPr="00FE7240">
        <w:t xml:space="preserve"> in the</w:t>
      </w:r>
      <w:r w:rsidR="0062028D">
        <w:t xml:space="preserve"> DLP and</w:t>
      </w:r>
      <w:r w:rsidRPr="00FE7240">
        <w:t xml:space="preserve"> </w:t>
      </w:r>
      <w:proofErr w:type="spellStart"/>
      <w:r w:rsidR="006600B0" w:rsidRPr="005E2907">
        <w:rPr>
          <w:i/>
        </w:rPr>
        <w:t>D</w:t>
      </w:r>
      <w:r w:rsidR="005E2907" w:rsidRPr="005E2907">
        <w:rPr>
          <w:i/>
          <w:vertAlign w:val="subscript"/>
        </w:rPr>
        <w:t>eff</w:t>
      </w:r>
      <w:proofErr w:type="spellEnd"/>
      <w:r w:rsidRPr="00FE7240">
        <w:t xml:space="preserve"> without affecting image q</w:t>
      </w:r>
      <w:r w:rsidR="006600B0">
        <w:t>uality</w:t>
      </w:r>
      <w:r w:rsidR="0066417C">
        <w:t xml:space="preserve"> </w:t>
      </w:r>
      <w:proofErr w:type="spellStart"/>
      <w:r w:rsidR="0066417C">
        <w:t>sustancially</w:t>
      </w:r>
      <w:proofErr w:type="spellEnd"/>
      <w:r w:rsidR="006600B0">
        <w:t xml:space="preserve"> for diagnostic purposes.</w:t>
      </w:r>
      <w:r w:rsidR="0066417C">
        <w:t xml:space="preserve"> Therefore the study recommends o</w:t>
      </w:r>
      <w:r w:rsidR="0066417C" w:rsidRPr="00FE7240">
        <w:rPr>
          <w:rFonts w:cs="Times New Roman"/>
          <w:szCs w:val="24"/>
        </w:rPr>
        <w:t>ptimization methods</w:t>
      </w:r>
      <w:r w:rsidR="0066417C">
        <w:rPr>
          <w:rFonts w:cs="Times New Roman"/>
          <w:szCs w:val="24"/>
        </w:rPr>
        <w:t xml:space="preserve"> </w:t>
      </w:r>
      <w:r w:rsidR="0066417C" w:rsidRPr="00FE7240">
        <w:rPr>
          <w:rFonts w:cs="Times New Roman"/>
          <w:szCs w:val="24"/>
        </w:rPr>
        <w:t xml:space="preserve">C </w:t>
      </w:r>
      <w:r w:rsidR="0066417C">
        <w:rPr>
          <w:rFonts w:cs="Times New Roman"/>
          <w:szCs w:val="24"/>
        </w:rPr>
        <w:t>and the associated exposure parameters (Table 4) for scanning CT head when using the only AquilionOne</w:t>
      </w:r>
      <w:r w:rsidR="003E6500">
        <w:rPr>
          <w:rFonts w:cs="Times New Roman"/>
          <w:szCs w:val="24"/>
        </w:rPr>
        <w:t>-</w:t>
      </w:r>
      <w:r w:rsidR="0066417C">
        <w:rPr>
          <w:rFonts w:cs="Times New Roman"/>
          <w:szCs w:val="24"/>
        </w:rPr>
        <w:t xml:space="preserve">640 slice scanner currently in Ghana. </w:t>
      </w:r>
      <w:r w:rsidRPr="00FE7240">
        <w:t>However, due to</w:t>
      </w:r>
      <w:r w:rsidR="0062028D" w:rsidRPr="0062028D">
        <w:t xml:space="preserve"> </w:t>
      </w:r>
      <w:r w:rsidR="0062028D">
        <w:t>the small</w:t>
      </w:r>
      <w:r w:rsidR="0062028D" w:rsidRPr="0062028D">
        <w:t xml:space="preserve"> variations </w:t>
      </w:r>
      <w:r w:rsidR="0062028D">
        <w:t xml:space="preserve">in </w:t>
      </w:r>
      <w:r w:rsidR="0062028D" w:rsidRPr="0062028D">
        <w:t xml:space="preserve">patients' </w:t>
      </w:r>
      <w:r w:rsidR="0062028D">
        <w:t>head</w:t>
      </w:r>
      <w:r w:rsidR="0062028D" w:rsidRPr="0062028D">
        <w:t xml:space="preserve"> sizes and shapes</w:t>
      </w:r>
      <w:r w:rsidRPr="00FE7240">
        <w:t>, the AEC approach is not strongly recommended and may be utilized when fixed tube potential significantly deteriorates image quality.</w:t>
      </w:r>
    </w:p>
    <w:p w14:paraId="12A98EA5" w14:textId="77777777" w:rsidR="00550D21" w:rsidRDefault="00550D21" w:rsidP="009E0D59">
      <w:pPr>
        <w:spacing w:line="480" w:lineRule="auto"/>
        <w:rPr>
          <w:rFonts w:eastAsia="Calibri" w:cs="Times New Roman"/>
          <w:b/>
          <w:szCs w:val="24"/>
          <w:lang w:val="en-GB"/>
        </w:rPr>
      </w:pPr>
    </w:p>
    <w:p w14:paraId="1C2AD62B" w14:textId="0EF61C54" w:rsidR="009E0D59" w:rsidRPr="009E0D59" w:rsidRDefault="00C12A2D" w:rsidP="009E0D59">
      <w:pPr>
        <w:spacing w:line="480" w:lineRule="auto"/>
        <w:rPr>
          <w:rFonts w:eastAsia="Calibri" w:cs="Times New Roman"/>
          <w:b/>
          <w:szCs w:val="24"/>
          <w:lang w:val="en-GB"/>
        </w:rPr>
      </w:pPr>
      <w:r>
        <w:rPr>
          <w:rFonts w:eastAsia="Calibri" w:cs="Times New Roman"/>
          <w:b/>
          <w:szCs w:val="24"/>
          <w:lang w:val="en-GB"/>
        </w:rPr>
        <w:t>Acknowledgement</w:t>
      </w:r>
    </w:p>
    <w:p w14:paraId="3266F229" w14:textId="5009F7D0" w:rsidR="009E0D59" w:rsidRPr="009E0D59" w:rsidRDefault="009E0D59" w:rsidP="009E0D59">
      <w:pPr>
        <w:spacing w:line="480" w:lineRule="auto"/>
        <w:rPr>
          <w:rFonts w:eastAsia="Calibri" w:cs="Times New Roman"/>
          <w:szCs w:val="24"/>
          <w:lang w:val="en-GB"/>
        </w:rPr>
      </w:pPr>
      <w:r w:rsidRPr="009E0D59">
        <w:rPr>
          <w:rFonts w:eastAsia="Calibri" w:cs="Times New Roman"/>
          <w:szCs w:val="24"/>
          <w:lang w:val="en-GB"/>
        </w:rPr>
        <w:t xml:space="preserve">The support of the </w:t>
      </w:r>
      <w:r>
        <w:rPr>
          <w:rFonts w:eastAsia="Calibri" w:cs="Times New Roman"/>
          <w:szCs w:val="24"/>
          <w:lang w:val="en-GB"/>
        </w:rPr>
        <w:t xml:space="preserve">radiology department of the hospital </w:t>
      </w:r>
      <w:r w:rsidRPr="009E0D59">
        <w:rPr>
          <w:rFonts w:eastAsia="Calibri" w:cs="Times New Roman"/>
          <w:szCs w:val="24"/>
          <w:lang w:val="en-GB"/>
        </w:rPr>
        <w:t>is duly acknowledged.</w:t>
      </w:r>
    </w:p>
    <w:p w14:paraId="3264CDC3" w14:textId="77777777" w:rsidR="009E0D59" w:rsidRPr="009E0D59" w:rsidRDefault="009E0D59" w:rsidP="00DE3FDB">
      <w:pPr>
        <w:spacing w:line="480" w:lineRule="auto"/>
        <w:rPr>
          <w:rFonts w:eastAsia="Calibri" w:cs="Times New Roman"/>
          <w:b/>
          <w:szCs w:val="24"/>
          <w:lang w:val="en-GB"/>
        </w:rPr>
      </w:pPr>
      <w:r w:rsidRPr="009E0D59">
        <w:rPr>
          <w:rFonts w:eastAsia="Calibri" w:cs="Times New Roman"/>
          <w:b/>
          <w:szCs w:val="24"/>
          <w:lang w:val="en-GB"/>
        </w:rPr>
        <w:t>Conflict of interest</w:t>
      </w:r>
    </w:p>
    <w:p w14:paraId="60367486" w14:textId="6C159CBF" w:rsidR="009E0D59" w:rsidRPr="009E0D59" w:rsidRDefault="009E0D59" w:rsidP="00DE3FDB">
      <w:pPr>
        <w:spacing w:line="480" w:lineRule="auto"/>
        <w:rPr>
          <w:rFonts w:eastAsia="Calibri" w:cs="Times New Roman"/>
          <w:szCs w:val="24"/>
          <w:lang w:val="en-GB"/>
        </w:rPr>
      </w:pPr>
      <w:r w:rsidRPr="009E0D59">
        <w:rPr>
          <w:rFonts w:eastAsia="Calibri" w:cs="Times New Roman"/>
          <w:szCs w:val="24"/>
          <w:lang w:val="en-GB"/>
        </w:rPr>
        <w:t xml:space="preserve">None declared  </w:t>
      </w:r>
    </w:p>
    <w:p w14:paraId="44612A5A" w14:textId="6765D97C" w:rsidR="00DE3FDB" w:rsidRPr="00DE3FDB" w:rsidRDefault="00DE3FDB" w:rsidP="00DE3FDB">
      <w:pPr>
        <w:pStyle w:val="Heading1"/>
        <w:spacing w:before="0" w:line="480" w:lineRule="auto"/>
        <w:rPr>
          <w:rFonts w:cs="Times New Roman"/>
          <w:b/>
          <w:bCs/>
          <w:sz w:val="24"/>
          <w:szCs w:val="24"/>
        </w:rPr>
      </w:pPr>
      <w:bookmarkStart w:id="14" w:name="_Hlk96714242"/>
      <w:r w:rsidRPr="00DE3FDB">
        <w:rPr>
          <w:rFonts w:cs="Times New Roman"/>
          <w:b/>
          <w:bCs/>
          <w:sz w:val="24"/>
          <w:szCs w:val="24"/>
        </w:rPr>
        <w:t>Data availability</w:t>
      </w:r>
    </w:p>
    <w:p w14:paraId="6E079D8A" w14:textId="5EA291DD" w:rsidR="00DE3FDB" w:rsidRDefault="00DE3FDB" w:rsidP="00DE3FDB">
      <w:pPr>
        <w:pStyle w:val="Heading1"/>
        <w:spacing w:before="0" w:line="480" w:lineRule="auto"/>
        <w:rPr>
          <w:rFonts w:cs="Times New Roman"/>
          <w:bCs/>
          <w:sz w:val="24"/>
          <w:szCs w:val="24"/>
        </w:rPr>
      </w:pPr>
      <w:r w:rsidRPr="00DE3FDB">
        <w:rPr>
          <w:rFonts w:cs="Times New Roman"/>
          <w:bCs/>
          <w:sz w:val="24"/>
          <w:szCs w:val="24"/>
        </w:rPr>
        <w:t>Data will be made available on request.</w:t>
      </w:r>
    </w:p>
    <w:p w14:paraId="474454CB" w14:textId="1F95C7E4" w:rsidR="00936FE9" w:rsidRPr="00936FE9" w:rsidRDefault="00936FE9" w:rsidP="00936FE9">
      <w:pPr>
        <w:spacing w:after="231" w:line="248" w:lineRule="auto"/>
        <w:ind w:left="10" w:right="37" w:hanging="10"/>
        <w:rPr>
          <w:rFonts w:eastAsia="Verdana" w:cs="Times New Roman"/>
          <w:b/>
          <w:color w:val="000000"/>
          <w:szCs w:val="24"/>
        </w:rPr>
      </w:pPr>
      <w:r w:rsidRPr="00936FE9">
        <w:rPr>
          <w:rFonts w:eastAsia="Verdana" w:cs="Times New Roman"/>
          <w:b/>
          <w:color w:val="000000"/>
          <w:szCs w:val="24"/>
        </w:rPr>
        <w:t xml:space="preserve">Funding: </w:t>
      </w:r>
    </w:p>
    <w:p w14:paraId="2375C4CB" w14:textId="77777777" w:rsidR="00936FE9" w:rsidRPr="00936FE9" w:rsidRDefault="00936FE9" w:rsidP="00936FE9">
      <w:pPr>
        <w:spacing w:after="104" w:line="480" w:lineRule="auto"/>
        <w:ind w:left="10" w:right="37" w:hanging="10"/>
        <w:rPr>
          <w:rFonts w:ascii="Verdana" w:eastAsia="Verdana" w:hAnsi="Verdana" w:cs="Verdana"/>
          <w:color w:val="000000"/>
          <w:sz w:val="20"/>
        </w:rPr>
      </w:pPr>
      <w:r w:rsidRPr="00936FE9">
        <w:rPr>
          <w:rFonts w:eastAsia="Verdana" w:cs="Times New Roman"/>
          <w:color w:val="000000"/>
          <w:szCs w:val="24"/>
        </w:rPr>
        <w:t>This research did not receive any specific grant from funding agencies in the public, commercial, or not-for-profit sectors</w:t>
      </w:r>
      <w:r w:rsidRPr="00936FE9">
        <w:rPr>
          <w:rFonts w:ascii="Verdana" w:eastAsia="Verdana" w:hAnsi="Verdana" w:cs="Verdana"/>
          <w:color w:val="000000"/>
          <w:sz w:val="20"/>
        </w:rPr>
        <w:t>.</w:t>
      </w:r>
    </w:p>
    <w:p w14:paraId="173CF68F" w14:textId="3533A25B" w:rsidR="00E53DB7" w:rsidRDefault="00E53DB7" w:rsidP="00E53DB7">
      <w:pPr>
        <w:pStyle w:val="Heading1"/>
        <w:spacing w:line="360" w:lineRule="auto"/>
        <w:rPr>
          <w:rFonts w:cs="Times New Roman"/>
          <w:b/>
          <w:bCs/>
          <w:sz w:val="24"/>
          <w:szCs w:val="24"/>
        </w:rPr>
      </w:pPr>
      <w:r>
        <w:rPr>
          <w:rFonts w:cs="Times New Roman"/>
          <w:b/>
          <w:bCs/>
          <w:sz w:val="24"/>
          <w:szCs w:val="24"/>
        </w:rPr>
        <w:t>References</w:t>
      </w:r>
    </w:p>
    <w:bookmarkEnd w:id="14"/>
    <w:p w14:paraId="2F093F7D" w14:textId="77777777" w:rsidR="00177323" w:rsidRPr="00177323" w:rsidRDefault="00177323" w:rsidP="00D40B38">
      <w:pPr>
        <w:spacing w:line="480" w:lineRule="auto"/>
        <w:ind w:left="284" w:hanging="284"/>
        <w:rPr>
          <w:rFonts w:eastAsia="Calibri" w:cs="Times New Roman"/>
          <w:szCs w:val="24"/>
        </w:rPr>
      </w:pPr>
      <w:r w:rsidRPr="00177323">
        <w:rPr>
          <w:rFonts w:eastAsia="Calibri" w:cs="Times New Roman"/>
          <w:szCs w:val="24"/>
        </w:rPr>
        <w:t>ACR, 2008. ACR Practice Guideline for Diagnostic Reference Levels in Medical X-Ray Imaging. Continuing Medical Education. 1–6.</w:t>
      </w:r>
    </w:p>
    <w:p w14:paraId="10D563CC" w14:textId="77777777" w:rsidR="00177323" w:rsidRPr="00177323" w:rsidRDefault="00177323" w:rsidP="00D40B38">
      <w:pPr>
        <w:spacing w:line="480" w:lineRule="auto"/>
        <w:ind w:left="284" w:hanging="284"/>
        <w:rPr>
          <w:rFonts w:eastAsia="Calibri" w:cs="Times New Roman"/>
          <w:szCs w:val="24"/>
        </w:rPr>
      </w:pPr>
      <w:proofErr w:type="spellStart"/>
      <w:r w:rsidRPr="00177323">
        <w:rPr>
          <w:rFonts w:eastAsia="Calibri" w:cs="Times New Roman"/>
          <w:szCs w:val="24"/>
        </w:rPr>
        <w:t>Akyea</w:t>
      </w:r>
      <w:proofErr w:type="spellEnd"/>
      <w:r w:rsidRPr="00177323">
        <w:rPr>
          <w:rFonts w:eastAsia="Calibri" w:cs="Times New Roman"/>
          <w:szCs w:val="24"/>
        </w:rPr>
        <w:t xml:space="preserve">-Larbi, K. O. 2015. Effective Dose Estimation and Cancer Risk Assessment due to some Selected CT Examinations at Sweden Ghana Medical Centre. M.Phil. Thesis.  University of Ghana. </w:t>
      </w:r>
    </w:p>
    <w:p w14:paraId="73CA0D6F" w14:textId="3EA848BB" w:rsidR="00EB0B43" w:rsidRPr="00177323" w:rsidRDefault="00EB0B43" w:rsidP="00D40B38">
      <w:pPr>
        <w:spacing w:line="480" w:lineRule="auto"/>
        <w:ind w:left="284" w:hanging="284"/>
        <w:rPr>
          <w:rFonts w:eastAsia="Calibri" w:cs="Times New Roman"/>
          <w:szCs w:val="24"/>
        </w:rPr>
      </w:pPr>
      <w:proofErr w:type="spellStart"/>
      <w:r>
        <w:t>Alm</w:t>
      </w:r>
      <w:proofErr w:type="spellEnd"/>
      <w:r>
        <w:t xml:space="preserve">-Carlsson G, Dance D R, </w:t>
      </w:r>
      <w:proofErr w:type="spellStart"/>
      <w:r>
        <w:t>DeWerd</w:t>
      </w:r>
      <w:proofErr w:type="spellEnd"/>
      <w:r>
        <w:t xml:space="preserve"> L, Kramer H-M, Ng K-H, </w:t>
      </w:r>
      <w:proofErr w:type="spellStart"/>
      <w:r>
        <w:t>Pernicka</w:t>
      </w:r>
      <w:proofErr w:type="spellEnd"/>
      <w:r>
        <w:t xml:space="preserve"> F</w:t>
      </w:r>
      <w:r w:rsidR="00D40B38">
        <w:t>,</w:t>
      </w:r>
      <w:r>
        <w:t xml:space="preserve"> and Ortiz-Lopez P</w:t>
      </w:r>
      <w:r w:rsidR="00D40B38">
        <w:t>.</w:t>
      </w:r>
      <w:r>
        <w:t xml:space="preserve"> 2007</w:t>
      </w:r>
      <w:r w:rsidR="00D40B38">
        <w:t>.</w:t>
      </w:r>
      <w:r>
        <w:t xml:space="preserve"> Dosimetry in Diagnostic Radiology: An International Code of Practice IAEA Technical Reports Series No. 457 (Vienna: International Atomic Energy Agency)</w:t>
      </w:r>
    </w:p>
    <w:p w14:paraId="05E04AFA" w14:textId="604C6B1A" w:rsidR="00177323" w:rsidRPr="00177323" w:rsidRDefault="00177323" w:rsidP="00B83D49">
      <w:pPr>
        <w:spacing w:line="480" w:lineRule="auto"/>
        <w:ind w:left="284" w:hanging="284"/>
        <w:rPr>
          <w:rFonts w:eastAsia="Calibri" w:cs="Times New Roman"/>
          <w:szCs w:val="24"/>
        </w:rPr>
      </w:pPr>
      <w:proofErr w:type="spellStart"/>
      <w:r w:rsidRPr="00177323">
        <w:rPr>
          <w:rFonts w:eastAsia="Calibri" w:cs="Times New Roman"/>
          <w:szCs w:val="24"/>
        </w:rPr>
        <w:t>Anim-Sampong</w:t>
      </w:r>
      <w:proofErr w:type="spellEnd"/>
      <w:r w:rsidRPr="00177323">
        <w:rPr>
          <w:rFonts w:eastAsia="Calibri" w:cs="Times New Roman"/>
          <w:szCs w:val="24"/>
        </w:rPr>
        <w:t xml:space="preserve">, S., Antwi, W. K., Ohene-Botwe, B., Boateng, R. S. 2016. Comparison of 640-slice </w:t>
      </w:r>
      <w:proofErr w:type="spellStart"/>
      <w:r w:rsidRPr="00177323">
        <w:rPr>
          <w:rFonts w:eastAsia="Calibri" w:cs="Times New Roman"/>
          <w:szCs w:val="24"/>
        </w:rPr>
        <w:t>Aquilon</w:t>
      </w:r>
      <w:proofErr w:type="spellEnd"/>
      <w:r w:rsidRPr="00177323">
        <w:rPr>
          <w:rFonts w:eastAsia="Calibri" w:cs="Times New Roman"/>
          <w:szCs w:val="24"/>
        </w:rPr>
        <w:t xml:space="preserve"> ONE CT scanner’s measured </w:t>
      </w:r>
      <w:proofErr w:type="spellStart"/>
      <w:r w:rsidRPr="00177323">
        <w:rPr>
          <w:rFonts w:eastAsia="Calibri" w:cs="Times New Roman"/>
          <w:szCs w:val="24"/>
        </w:rPr>
        <w:t>dosimetric</w:t>
      </w:r>
      <w:proofErr w:type="spellEnd"/>
      <w:r w:rsidRPr="00177323">
        <w:rPr>
          <w:rFonts w:eastAsia="Calibri" w:cs="Times New Roman"/>
          <w:szCs w:val="24"/>
        </w:rPr>
        <w:t xml:space="preserve"> parameters with ICRP dose reference levels for head, chest</w:t>
      </w:r>
      <w:r w:rsidR="007C53C0">
        <w:rPr>
          <w:rFonts w:eastAsia="Calibri" w:cs="Times New Roman"/>
          <w:szCs w:val="24"/>
        </w:rPr>
        <w:t>,</w:t>
      </w:r>
      <w:r w:rsidRPr="00177323">
        <w:rPr>
          <w:rFonts w:eastAsia="Calibri" w:cs="Times New Roman"/>
          <w:szCs w:val="24"/>
        </w:rPr>
        <w:t xml:space="preserve"> and abdominal CT examinations. Safety in Health. 2(1), 1–8. </w:t>
      </w:r>
    </w:p>
    <w:p w14:paraId="08A90D80" w14:textId="77777777" w:rsidR="00177323" w:rsidRPr="00177323" w:rsidRDefault="00177323" w:rsidP="00B83D49">
      <w:pPr>
        <w:spacing w:line="480" w:lineRule="auto"/>
        <w:ind w:left="284" w:hanging="284"/>
        <w:rPr>
          <w:rFonts w:eastAsia="Calibri" w:cs="Times New Roman"/>
          <w:szCs w:val="24"/>
        </w:rPr>
      </w:pPr>
      <w:proofErr w:type="spellStart"/>
      <w:r w:rsidRPr="00177323">
        <w:rPr>
          <w:rFonts w:eastAsia="Calibri" w:cs="Times New Roman"/>
          <w:szCs w:val="24"/>
        </w:rPr>
        <w:t>Bongartz</w:t>
      </w:r>
      <w:proofErr w:type="spellEnd"/>
      <w:r w:rsidRPr="00177323">
        <w:rPr>
          <w:rFonts w:eastAsia="Calibri" w:cs="Times New Roman"/>
          <w:szCs w:val="24"/>
        </w:rPr>
        <w:t xml:space="preserve">, G., Golding, S. J., </w:t>
      </w:r>
      <w:proofErr w:type="spellStart"/>
      <w:r w:rsidRPr="00177323">
        <w:rPr>
          <w:rFonts w:eastAsia="Calibri" w:cs="Times New Roman"/>
          <w:szCs w:val="24"/>
        </w:rPr>
        <w:t>Jurik</w:t>
      </w:r>
      <w:proofErr w:type="spellEnd"/>
      <w:r w:rsidRPr="00177323">
        <w:rPr>
          <w:rFonts w:eastAsia="Calibri" w:cs="Times New Roman"/>
          <w:szCs w:val="24"/>
        </w:rPr>
        <w:t xml:space="preserve">, A. G., Leonardi, M., </w:t>
      </w:r>
      <w:proofErr w:type="spellStart"/>
      <w:r w:rsidRPr="00177323">
        <w:rPr>
          <w:rFonts w:eastAsia="Calibri" w:cs="Times New Roman"/>
          <w:szCs w:val="24"/>
        </w:rPr>
        <w:t>Meerten</w:t>
      </w:r>
      <w:proofErr w:type="spellEnd"/>
      <w:r w:rsidRPr="00177323">
        <w:rPr>
          <w:rFonts w:eastAsia="Calibri" w:cs="Times New Roman"/>
          <w:szCs w:val="24"/>
        </w:rPr>
        <w:t xml:space="preserve">, </w:t>
      </w:r>
      <w:proofErr w:type="spellStart"/>
      <w:r w:rsidRPr="00177323">
        <w:rPr>
          <w:rFonts w:eastAsia="Calibri" w:cs="Times New Roman"/>
          <w:szCs w:val="24"/>
        </w:rPr>
        <w:t>Geleijns</w:t>
      </w:r>
      <w:proofErr w:type="spellEnd"/>
      <w:r w:rsidRPr="00177323">
        <w:rPr>
          <w:rFonts w:eastAsia="Calibri" w:cs="Times New Roman"/>
          <w:szCs w:val="24"/>
        </w:rPr>
        <w:t xml:space="preserve">, J., Jessen, K. A., Panzer, W., Shrimpton, P. C., Tosi, G. 2000. European guidelines on quality criteria for computed tomography - Publications Office of the EU. European Commission. </w:t>
      </w:r>
    </w:p>
    <w:p w14:paraId="58778F36" w14:textId="1AA38D57" w:rsidR="00177323" w:rsidRPr="00177323" w:rsidRDefault="00177323" w:rsidP="00B83D49">
      <w:pPr>
        <w:spacing w:line="480" w:lineRule="auto"/>
        <w:ind w:left="284" w:hanging="284"/>
        <w:rPr>
          <w:rFonts w:eastAsia="Calibri" w:cs="Times New Roman"/>
          <w:szCs w:val="24"/>
        </w:rPr>
      </w:pPr>
      <w:r w:rsidRPr="00177323">
        <w:rPr>
          <w:rFonts w:eastAsia="Calibri" w:cs="Times New Roman"/>
          <w:szCs w:val="24"/>
        </w:rPr>
        <w:t xml:space="preserve">Botwe, B. O., </w:t>
      </w:r>
      <w:proofErr w:type="spellStart"/>
      <w:r w:rsidRPr="00177323">
        <w:rPr>
          <w:rFonts w:eastAsia="Calibri" w:cs="Times New Roman"/>
          <w:szCs w:val="24"/>
        </w:rPr>
        <w:t>Schandorf</w:t>
      </w:r>
      <w:proofErr w:type="spellEnd"/>
      <w:r w:rsidRPr="00177323">
        <w:rPr>
          <w:rFonts w:eastAsia="Calibri" w:cs="Times New Roman"/>
          <w:szCs w:val="24"/>
        </w:rPr>
        <w:t xml:space="preserve">, C., </w:t>
      </w:r>
      <w:proofErr w:type="spellStart"/>
      <w:r w:rsidRPr="00177323">
        <w:rPr>
          <w:rFonts w:eastAsia="Calibri" w:cs="Times New Roman"/>
          <w:szCs w:val="24"/>
        </w:rPr>
        <w:t>Inkoom</w:t>
      </w:r>
      <w:proofErr w:type="spellEnd"/>
      <w:r w:rsidRPr="00177323">
        <w:rPr>
          <w:rFonts w:eastAsia="Calibri" w:cs="Times New Roman"/>
          <w:szCs w:val="24"/>
        </w:rPr>
        <w:t xml:space="preserve">, S., </w:t>
      </w:r>
      <w:proofErr w:type="spellStart"/>
      <w:r w:rsidRPr="00177323">
        <w:rPr>
          <w:rFonts w:eastAsia="Calibri" w:cs="Times New Roman"/>
          <w:szCs w:val="24"/>
        </w:rPr>
        <w:t>Faanu</w:t>
      </w:r>
      <w:proofErr w:type="spellEnd"/>
      <w:r w:rsidRPr="00177323">
        <w:rPr>
          <w:rFonts w:eastAsia="Calibri" w:cs="Times New Roman"/>
          <w:szCs w:val="24"/>
        </w:rPr>
        <w:t xml:space="preserve">, A., </w:t>
      </w:r>
      <w:proofErr w:type="spellStart"/>
      <w:r w:rsidRPr="00177323">
        <w:rPr>
          <w:rFonts w:eastAsia="Calibri" w:cs="Times New Roman"/>
          <w:szCs w:val="24"/>
        </w:rPr>
        <w:t>Rolstadaas</w:t>
      </w:r>
      <w:proofErr w:type="spellEnd"/>
      <w:r w:rsidRPr="00177323">
        <w:rPr>
          <w:rFonts w:eastAsia="Calibri" w:cs="Times New Roman"/>
          <w:szCs w:val="24"/>
        </w:rPr>
        <w:t>, L., Goa, P. E. 2021. National indication-based diagnostic reference level values in computed tomography: Preliminary</w:t>
      </w:r>
      <w:r w:rsidR="005542E3" w:rsidRPr="005542E3">
        <w:rPr>
          <w:rFonts w:cs="Times New Roman"/>
          <w:noProof/>
          <w:szCs w:val="24"/>
        </w:rPr>
        <w:t xml:space="preserve"> </w:t>
      </w:r>
      <w:r w:rsidR="005542E3" w:rsidRPr="00393C22">
        <w:rPr>
          <w:rFonts w:cs="Times New Roman"/>
          <w:noProof/>
          <w:szCs w:val="24"/>
        </w:rPr>
        <w:t xml:space="preserve">results from Ghana. Physica Medica, 84(March), 274–284. </w:t>
      </w:r>
      <w:r w:rsidRPr="00177323">
        <w:rPr>
          <w:rFonts w:eastAsia="Calibri" w:cs="Times New Roman"/>
          <w:szCs w:val="24"/>
        </w:rPr>
        <w:t xml:space="preserve"> </w:t>
      </w:r>
    </w:p>
    <w:p w14:paraId="7DBDEECB" w14:textId="77777777" w:rsidR="00177323" w:rsidRPr="00177323" w:rsidRDefault="00177323" w:rsidP="00B83D49">
      <w:pPr>
        <w:spacing w:line="480" w:lineRule="auto"/>
        <w:ind w:left="284" w:hanging="284"/>
        <w:rPr>
          <w:rFonts w:eastAsia="Calibri" w:cs="Times New Roman"/>
          <w:szCs w:val="24"/>
        </w:rPr>
      </w:pPr>
      <w:r w:rsidRPr="00177323">
        <w:rPr>
          <w:rFonts w:eastAsia="Calibri" w:cs="Times New Roman"/>
          <w:szCs w:val="24"/>
        </w:rPr>
        <w:t xml:space="preserve">Botwe, B., </w:t>
      </w:r>
      <w:proofErr w:type="spellStart"/>
      <w:r w:rsidRPr="00177323">
        <w:rPr>
          <w:rFonts w:eastAsia="Calibri" w:cs="Times New Roman"/>
          <w:szCs w:val="24"/>
        </w:rPr>
        <w:t>Schandorf</w:t>
      </w:r>
      <w:proofErr w:type="spellEnd"/>
      <w:r w:rsidRPr="00177323">
        <w:rPr>
          <w:rFonts w:eastAsia="Calibri" w:cs="Times New Roman"/>
          <w:szCs w:val="24"/>
        </w:rPr>
        <w:t xml:space="preserve">, C., </w:t>
      </w:r>
      <w:proofErr w:type="spellStart"/>
      <w:r w:rsidRPr="00177323">
        <w:rPr>
          <w:rFonts w:eastAsia="Calibri" w:cs="Times New Roman"/>
          <w:szCs w:val="24"/>
        </w:rPr>
        <w:t>Inkoom</w:t>
      </w:r>
      <w:proofErr w:type="spellEnd"/>
      <w:r w:rsidRPr="00177323">
        <w:rPr>
          <w:rFonts w:eastAsia="Calibri" w:cs="Times New Roman"/>
          <w:szCs w:val="24"/>
        </w:rPr>
        <w:t xml:space="preserve">, S., </w:t>
      </w:r>
      <w:proofErr w:type="spellStart"/>
      <w:r w:rsidRPr="00177323">
        <w:rPr>
          <w:rFonts w:eastAsia="Calibri" w:cs="Times New Roman"/>
          <w:szCs w:val="24"/>
        </w:rPr>
        <w:t>Faanu</w:t>
      </w:r>
      <w:proofErr w:type="spellEnd"/>
      <w:r w:rsidRPr="00177323">
        <w:rPr>
          <w:rFonts w:eastAsia="Calibri" w:cs="Times New Roman"/>
          <w:szCs w:val="24"/>
        </w:rPr>
        <w:t>, A. 2020. An investigation into the infrastructure and management of computerized tomography units in Ghana. Journal of Medical Imaging and Radiation Sciences. 51(1), 165–172.</w:t>
      </w:r>
    </w:p>
    <w:p w14:paraId="7A7EDC53" w14:textId="77777777" w:rsidR="00177323" w:rsidRPr="00090DEB" w:rsidRDefault="00177323" w:rsidP="00B83D49">
      <w:pPr>
        <w:spacing w:line="480" w:lineRule="auto"/>
        <w:ind w:left="284" w:hanging="284"/>
        <w:rPr>
          <w:rFonts w:eastAsia="Calibri" w:cs="Times New Roman"/>
          <w:szCs w:val="24"/>
        </w:rPr>
      </w:pPr>
      <w:r w:rsidRPr="00177323">
        <w:rPr>
          <w:rFonts w:eastAsia="Calibri" w:cs="Times New Roman"/>
          <w:szCs w:val="24"/>
        </w:rPr>
        <w:t xml:space="preserve">Brady, S. L., </w:t>
      </w:r>
      <w:proofErr w:type="spellStart"/>
      <w:r w:rsidRPr="00177323">
        <w:rPr>
          <w:rFonts w:eastAsia="Calibri" w:cs="Times New Roman"/>
          <w:szCs w:val="24"/>
        </w:rPr>
        <w:t>Mirro</w:t>
      </w:r>
      <w:proofErr w:type="spellEnd"/>
      <w:r w:rsidRPr="00177323">
        <w:rPr>
          <w:rFonts w:eastAsia="Calibri" w:cs="Times New Roman"/>
          <w:szCs w:val="24"/>
        </w:rPr>
        <w:t>, A. E., Moore, B. M., &amp; Kaufman</w:t>
      </w:r>
      <w:r w:rsidRPr="00090DEB">
        <w:rPr>
          <w:rFonts w:eastAsia="Calibri" w:cs="Times New Roman"/>
          <w:szCs w:val="24"/>
        </w:rPr>
        <w:t xml:space="preserve">, R. A. 2015. How to appropriately calculate effective dose for CT using either size-specific dose estimates or dose-length product. American Journal of Roentgenology. 204 (5), 953–958. </w:t>
      </w:r>
    </w:p>
    <w:p w14:paraId="2CD6C079" w14:textId="68285C81" w:rsidR="00784290" w:rsidRPr="00090DEB" w:rsidRDefault="00784290" w:rsidP="00B83D49">
      <w:pPr>
        <w:spacing w:line="480" w:lineRule="auto"/>
        <w:ind w:left="284" w:hanging="284"/>
        <w:rPr>
          <w:rFonts w:eastAsia="Calibri" w:cs="Times New Roman"/>
          <w:szCs w:val="24"/>
        </w:rPr>
      </w:pPr>
      <w:r w:rsidRPr="00090DEB">
        <w:rPr>
          <w:rFonts w:eastAsia="Calibri" w:cs="Times New Roman"/>
          <w:szCs w:val="24"/>
        </w:rPr>
        <w:t xml:space="preserve">Burgess, A.E. 1999.  The Rose model, revisited. Journal of the Optical Society of America A. 16(3), 633-646 </w:t>
      </w:r>
    </w:p>
    <w:p w14:paraId="6FD762A5" w14:textId="7A612E34" w:rsidR="00177323" w:rsidRPr="00090DEB" w:rsidRDefault="00177323" w:rsidP="00C86906">
      <w:pPr>
        <w:spacing w:line="480" w:lineRule="auto"/>
        <w:ind w:left="284" w:hanging="284"/>
        <w:rPr>
          <w:rFonts w:eastAsia="Calibri" w:cs="Times New Roman"/>
          <w:szCs w:val="24"/>
        </w:rPr>
      </w:pPr>
      <w:r w:rsidRPr="00090DEB">
        <w:rPr>
          <w:rFonts w:eastAsia="Calibri" w:cs="Times New Roman"/>
          <w:szCs w:val="24"/>
          <w:lang w:val="fr-FR"/>
        </w:rPr>
        <w:t>Chang, K</w:t>
      </w:r>
      <w:r w:rsidR="00B7173F" w:rsidRPr="00090DEB">
        <w:rPr>
          <w:rFonts w:eastAsia="Calibri" w:cs="Times New Roman"/>
          <w:szCs w:val="24"/>
          <w:lang w:val="fr-FR"/>
        </w:rPr>
        <w:t>-P</w:t>
      </w:r>
      <w:r w:rsidRPr="00090DEB">
        <w:rPr>
          <w:rFonts w:eastAsia="Calibri" w:cs="Times New Roman"/>
          <w:szCs w:val="24"/>
          <w:lang w:val="fr-FR"/>
        </w:rPr>
        <w:t>., Hsu, T</w:t>
      </w:r>
      <w:r w:rsidR="00B7173F" w:rsidRPr="00090DEB">
        <w:rPr>
          <w:rFonts w:eastAsia="Calibri" w:cs="Times New Roman"/>
          <w:szCs w:val="24"/>
          <w:lang w:val="fr-FR"/>
        </w:rPr>
        <w:t>-K</w:t>
      </w:r>
      <w:r w:rsidRPr="00090DEB">
        <w:rPr>
          <w:rFonts w:eastAsia="Calibri" w:cs="Times New Roman"/>
          <w:szCs w:val="24"/>
          <w:lang w:val="fr-FR"/>
        </w:rPr>
        <w:t>., Lin, W</w:t>
      </w:r>
      <w:r w:rsidR="00B7173F" w:rsidRPr="00090DEB">
        <w:rPr>
          <w:rFonts w:eastAsia="Calibri" w:cs="Times New Roman"/>
          <w:szCs w:val="24"/>
          <w:lang w:val="fr-FR"/>
        </w:rPr>
        <w:t>-T</w:t>
      </w:r>
      <w:r w:rsidRPr="00090DEB">
        <w:rPr>
          <w:rFonts w:eastAsia="Calibri" w:cs="Times New Roman"/>
          <w:szCs w:val="24"/>
          <w:lang w:val="fr-FR"/>
        </w:rPr>
        <w:t xml:space="preserve"> </w:t>
      </w:r>
      <w:r w:rsidR="00B7173F" w:rsidRPr="00090DEB">
        <w:rPr>
          <w:rFonts w:eastAsia="Calibri" w:cs="Times New Roman"/>
          <w:szCs w:val="24"/>
          <w:lang w:val="fr-FR"/>
        </w:rPr>
        <w:t>Hsu, W-H</w:t>
      </w:r>
      <w:r w:rsidRPr="00090DEB">
        <w:rPr>
          <w:rFonts w:eastAsia="Calibri" w:cs="Times New Roman"/>
          <w:szCs w:val="24"/>
          <w:lang w:val="fr-FR"/>
        </w:rPr>
        <w:t xml:space="preserve">.  </w:t>
      </w:r>
      <w:r w:rsidRPr="00090DEB">
        <w:rPr>
          <w:rFonts w:eastAsia="Calibri" w:cs="Times New Roman"/>
          <w:szCs w:val="24"/>
        </w:rPr>
        <w:t>2017, Optimization of dose and image quality in adult and pediatric computed tomography scans.</w:t>
      </w:r>
      <w:r w:rsidR="00571A50" w:rsidRPr="00090DEB">
        <w:rPr>
          <w:rFonts w:eastAsia="Calibri" w:cs="Times New Roman"/>
          <w:szCs w:val="24"/>
          <w:lang w:val="en-GB"/>
        </w:rPr>
        <w:t xml:space="preserve"> Radiation Physics and Chemistry 140, 260-265. </w:t>
      </w:r>
      <w:r w:rsidR="00571A50" w:rsidRPr="00090DEB">
        <w:rPr>
          <w:rFonts w:eastAsia="Calibri" w:cs="Times New Roman"/>
          <w:szCs w:val="24"/>
        </w:rPr>
        <w:t xml:space="preserve">Doi: </w:t>
      </w:r>
      <w:hyperlink r:id="rId14" w:history="1">
        <w:r w:rsidR="00571A50" w:rsidRPr="001F3902">
          <w:rPr>
            <w:rStyle w:val="Hyperlink"/>
            <w:color w:val="auto"/>
            <w:u w:val="none"/>
          </w:rPr>
          <w:t>https://doi.org/10.1016/j.radphyschem.2017.02.006</w:t>
        </w:r>
      </w:hyperlink>
    </w:p>
    <w:p w14:paraId="2123ACE8" w14:textId="0228F830" w:rsidR="00C86906" w:rsidRPr="00090DEB" w:rsidRDefault="00000000" w:rsidP="00C86906">
      <w:pPr>
        <w:spacing w:line="480" w:lineRule="auto"/>
        <w:ind w:left="284"/>
        <w:rPr>
          <w:rFonts w:eastAsia="Calibri" w:cs="Times New Roman"/>
          <w:szCs w:val="24"/>
        </w:rPr>
      </w:pPr>
      <w:hyperlink r:id="rId15" w:history="1">
        <w:r w:rsidR="00C86906" w:rsidRPr="001F3902">
          <w:rPr>
            <w:rStyle w:val="Hyperlink"/>
            <w:rFonts w:eastAsia="Calibri" w:cs="Times New Roman"/>
            <w:color w:val="auto"/>
            <w:szCs w:val="24"/>
            <w:u w:val="none"/>
          </w:rPr>
          <w:t>https://inis.iaea.org/search/search.aspx?orig_q=RN:47020872</w:t>
        </w:r>
      </w:hyperlink>
    </w:p>
    <w:p w14:paraId="031DDE17" w14:textId="70AD098F" w:rsidR="00177323" w:rsidRPr="00177323" w:rsidRDefault="00177323" w:rsidP="00B83D49">
      <w:pPr>
        <w:spacing w:line="480" w:lineRule="auto"/>
        <w:ind w:left="284" w:hanging="284"/>
        <w:rPr>
          <w:rFonts w:eastAsia="Calibri" w:cs="Times New Roman"/>
          <w:szCs w:val="24"/>
        </w:rPr>
      </w:pPr>
      <w:r w:rsidRPr="00177323">
        <w:rPr>
          <w:rFonts w:eastAsia="Calibri" w:cs="Times New Roman"/>
          <w:szCs w:val="24"/>
        </w:rPr>
        <w:t xml:space="preserve">Demb, J., Chu, P., Nelson, T., Hall, D., Seibert, A., Lamba, R., Boone, J., Krishnam, M., </w:t>
      </w:r>
      <w:proofErr w:type="spellStart"/>
      <w:r w:rsidRPr="00177323">
        <w:rPr>
          <w:rFonts w:eastAsia="Calibri" w:cs="Times New Roman"/>
          <w:szCs w:val="24"/>
        </w:rPr>
        <w:t>Cagnon</w:t>
      </w:r>
      <w:proofErr w:type="spellEnd"/>
      <w:r w:rsidRPr="00177323">
        <w:rPr>
          <w:rFonts w:eastAsia="Calibri" w:cs="Times New Roman"/>
          <w:szCs w:val="24"/>
        </w:rPr>
        <w:t xml:space="preserve">, C., </w:t>
      </w:r>
      <w:proofErr w:type="spellStart"/>
      <w:r w:rsidRPr="00177323">
        <w:rPr>
          <w:rFonts w:eastAsia="Calibri" w:cs="Times New Roman"/>
          <w:szCs w:val="24"/>
        </w:rPr>
        <w:t>Bostani</w:t>
      </w:r>
      <w:proofErr w:type="spellEnd"/>
      <w:r w:rsidRPr="00177323">
        <w:rPr>
          <w:rFonts w:eastAsia="Calibri" w:cs="Times New Roman"/>
          <w:szCs w:val="24"/>
        </w:rPr>
        <w:t xml:space="preserve">, M., Gould, R., </w:t>
      </w:r>
      <w:proofErr w:type="spellStart"/>
      <w:r w:rsidRPr="00177323">
        <w:rPr>
          <w:rFonts w:eastAsia="Calibri" w:cs="Times New Roman"/>
          <w:szCs w:val="24"/>
        </w:rPr>
        <w:t>Miglioretti</w:t>
      </w:r>
      <w:proofErr w:type="spellEnd"/>
      <w:r w:rsidRPr="00177323">
        <w:rPr>
          <w:rFonts w:eastAsia="Calibri" w:cs="Times New Roman"/>
          <w:szCs w:val="24"/>
        </w:rPr>
        <w:t xml:space="preserve">, D., Smith-Bindman, R. 2017. Optimizing radiation doses for computed tomography across institutions: Dose auditing and best practices. JAMA Internal Medicine. 177(6), 810–817. </w:t>
      </w:r>
    </w:p>
    <w:p w14:paraId="2BDDBC2C" w14:textId="798D1375" w:rsidR="00177323" w:rsidRPr="00177323" w:rsidRDefault="00177323" w:rsidP="00B83D49">
      <w:pPr>
        <w:spacing w:line="480" w:lineRule="auto"/>
        <w:ind w:left="284" w:hanging="284"/>
        <w:rPr>
          <w:rFonts w:eastAsia="Calibri" w:cs="Times New Roman"/>
          <w:szCs w:val="24"/>
        </w:rPr>
      </w:pPr>
      <w:proofErr w:type="spellStart"/>
      <w:r w:rsidRPr="00177323">
        <w:rPr>
          <w:rFonts w:eastAsia="Calibri" w:cs="Times New Roman"/>
          <w:szCs w:val="24"/>
        </w:rPr>
        <w:t>Gharbi</w:t>
      </w:r>
      <w:proofErr w:type="spellEnd"/>
      <w:r w:rsidRPr="00177323">
        <w:rPr>
          <w:rFonts w:eastAsia="Calibri" w:cs="Times New Roman"/>
          <w:szCs w:val="24"/>
        </w:rPr>
        <w:t xml:space="preserve">, S., </w:t>
      </w:r>
      <w:proofErr w:type="spellStart"/>
      <w:r w:rsidRPr="00177323">
        <w:rPr>
          <w:rFonts w:eastAsia="Calibri" w:cs="Times New Roman"/>
          <w:szCs w:val="24"/>
        </w:rPr>
        <w:t>Labidi</w:t>
      </w:r>
      <w:proofErr w:type="spellEnd"/>
      <w:r w:rsidRPr="00177323">
        <w:rPr>
          <w:rFonts w:eastAsia="Calibri" w:cs="Times New Roman"/>
          <w:szCs w:val="24"/>
        </w:rPr>
        <w:t xml:space="preserve">, S. 2017. Radiation dose optimization in computed tomography with current modulation and Iterative Reconstruction. 2016 7th International Conference on Sciences of Electronics, Technologies of Information and </w:t>
      </w:r>
      <w:r w:rsidRPr="00182BA6">
        <w:rPr>
          <w:rFonts w:eastAsia="Calibri" w:cs="Times New Roman"/>
          <w:szCs w:val="24"/>
        </w:rPr>
        <w:t xml:space="preserve">Telecommunications, </w:t>
      </w:r>
      <w:r w:rsidR="00471296">
        <w:rPr>
          <w:rFonts w:eastAsia="Calibri" w:cs="Times New Roman"/>
          <w:szCs w:val="24"/>
        </w:rPr>
        <w:t>(</w:t>
      </w:r>
      <w:r w:rsidRPr="00182BA6">
        <w:rPr>
          <w:rFonts w:eastAsia="Calibri" w:cs="Times New Roman"/>
          <w:szCs w:val="24"/>
        </w:rPr>
        <w:t>SETIT</w:t>
      </w:r>
      <w:r w:rsidR="00471296">
        <w:rPr>
          <w:rFonts w:eastAsia="Calibri" w:cs="Times New Roman"/>
          <w:szCs w:val="24"/>
        </w:rPr>
        <w:t>)</w:t>
      </w:r>
      <w:r w:rsidRPr="00182BA6">
        <w:rPr>
          <w:rFonts w:eastAsia="Calibri" w:cs="Times New Roman"/>
          <w:szCs w:val="24"/>
        </w:rPr>
        <w:t xml:space="preserve"> 2016. 220–223</w:t>
      </w:r>
      <w:r w:rsidRPr="00177323">
        <w:rPr>
          <w:rFonts w:eastAsia="Calibri" w:cs="Times New Roman"/>
          <w:szCs w:val="24"/>
        </w:rPr>
        <w:t xml:space="preserve">. </w:t>
      </w:r>
    </w:p>
    <w:p w14:paraId="7488B714" w14:textId="3CF415BB" w:rsidR="00177323" w:rsidRPr="00177323" w:rsidRDefault="00177323" w:rsidP="00B83D49">
      <w:pPr>
        <w:spacing w:line="480" w:lineRule="auto"/>
        <w:ind w:left="284" w:hanging="284"/>
        <w:rPr>
          <w:rFonts w:eastAsia="Calibri" w:cs="Times New Roman"/>
          <w:szCs w:val="24"/>
        </w:rPr>
      </w:pPr>
      <w:proofErr w:type="spellStart"/>
      <w:r w:rsidRPr="00B77B04">
        <w:rPr>
          <w:rFonts w:eastAsia="Calibri" w:cs="Times New Roman"/>
          <w:szCs w:val="24"/>
        </w:rPr>
        <w:t>Greess</w:t>
      </w:r>
      <w:proofErr w:type="spellEnd"/>
      <w:r w:rsidRPr="00B77B04">
        <w:rPr>
          <w:rFonts w:eastAsia="Calibri" w:cs="Times New Roman"/>
          <w:szCs w:val="24"/>
        </w:rPr>
        <w:t xml:space="preserve">, H., Wolf, H., Baum, U., </w:t>
      </w:r>
      <w:proofErr w:type="spellStart"/>
      <w:r w:rsidRPr="00B77B04">
        <w:rPr>
          <w:rFonts w:eastAsia="Calibri" w:cs="Times New Roman"/>
          <w:szCs w:val="24"/>
        </w:rPr>
        <w:t>Lell</w:t>
      </w:r>
      <w:proofErr w:type="spellEnd"/>
      <w:r w:rsidRPr="00B77B04">
        <w:rPr>
          <w:rFonts w:eastAsia="Calibri" w:cs="Times New Roman"/>
          <w:szCs w:val="24"/>
        </w:rPr>
        <w:t xml:space="preserve">, M., </w:t>
      </w:r>
      <w:proofErr w:type="spellStart"/>
      <w:r w:rsidRPr="00B77B04">
        <w:rPr>
          <w:rFonts w:eastAsia="Calibri" w:cs="Times New Roman"/>
          <w:szCs w:val="24"/>
        </w:rPr>
        <w:t>Pirkl</w:t>
      </w:r>
      <w:proofErr w:type="spellEnd"/>
      <w:r w:rsidRPr="00B77B04">
        <w:rPr>
          <w:rFonts w:eastAsia="Calibri" w:cs="Times New Roman"/>
          <w:szCs w:val="24"/>
        </w:rPr>
        <w:t xml:space="preserve">, M., </w:t>
      </w:r>
      <w:proofErr w:type="spellStart"/>
      <w:r w:rsidRPr="00B77B04">
        <w:rPr>
          <w:rFonts w:eastAsia="Calibri" w:cs="Times New Roman"/>
          <w:szCs w:val="24"/>
        </w:rPr>
        <w:t>Kalender</w:t>
      </w:r>
      <w:proofErr w:type="spellEnd"/>
      <w:r w:rsidRPr="00B77B04">
        <w:rPr>
          <w:rFonts w:eastAsia="Calibri" w:cs="Times New Roman"/>
          <w:szCs w:val="24"/>
        </w:rPr>
        <w:t xml:space="preserve">, W., </w:t>
      </w:r>
      <w:proofErr w:type="spellStart"/>
      <w:r w:rsidRPr="00B77B04">
        <w:rPr>
          <w:rFonts w:eastAsia="Calibri" w:cs="Times New Roman"/>
          <w:szCs w:val="24"/>
        </w:rPr>
        <w:t>Bautz</w:t>
      </w:r>
      <w:proofErr w:type="spellEnd"/>
      <w:r w:rsidRPr="00B77B04">
        <w:rPr>
          <w:rFonts w:eastAsia="Calibri" w:cs="Times New Roman"/>
          <w:szCs w:val="24"/>
        </w:rPr>
        <w:t xml:space="preserve">, W. A. 2000. Dose reduction in computed tomography by attenuation-based on-line modulation of tube current: evaluation of six anatomical </w:t>
      </w:r>
      <w:proofErr w:type="spellStart"/>
      <w:r w:rsidRPr="00B77B04">
        <w:rPr>
          <w:rFonts w:eastAsia="Calibri" w:cs="Times New Roman"/>
          <w:szCs w:val="24"/>
        </w:rPr>
        <w:t>regions.</w:t>
      </w:r>
      <w:r w:rsidR="00471296" w:rsidRPr="00471296">
        <w:rPr>
          <w:rFonts w:eastAsia="Calibri" w:cs="Times New Roman"/>
          <w:szCs w:val="24"/>
        </w:rPr>
        <w:t>Eur</w:t>
      </w:r>
      <w:proofErr w:type="spellEnd"/>
      <w:r w:rsidR="00471296" w:rsidRPr="00471296">
        <w:rPr>
          <w:rFonts w:eastAsia="Calibri" w:cs="Times New Roman"/>
          <w:szCs w:val="24"/>
        </w:rPr>
        <w:t xml:space="preserve"> </w:t>
      </w:r>
      <w:proofErr w:type="spellStart"/>
      <w:r w:rsidR="00471296" w:rsidRPr="00471296">
        <w:rPr>
          <w:rFonts w:eastAsia="Calibri" w:cs="Times New Roman"/>
          <w:szCs w:val="24"/>
        </w:rPr>
        <w:t>Radiol</w:t>
      </w:r>
      <w:proofErr w:type="spellEnd"/>
      <w:r w:rsidR="00471296" w:rsidRPr="00471296">
        <w:rPr>
          <w:rFonts w:eastAsia="Calibri" w:cs="Times New Roman"/>
          <w:szCs w:val="24"/>
        </w:rPr>
        <w:t xml:space="preserve">. 10(2):391-4. </w:t>
      </w:r>
      <w:proofErr w:type="spellStart"/>
      <w:r w:rsidR="00471296" w:rsidRPr="00471296">
        <w:rPr>
          <w:rFonts w:eastAsia="Calibri" w:cs="Times New Roman"/>
          <w:szCs w:val="24"/>
        </w:rPr>
        <w:t>doi</w:t>
      </w:r>
      <w:proofErr w:type="spellEnd"/>
      <w:r w:rsidR="00471296" w:rsidRPr="00471296">
        <w:rPr>
          <w:rFonts w:eastAsia="Calibri" w:cs="Times New Roman"/>
          <w:szCs w:val="24"/>
        </w:rPr>
        <w:t>: 10.1007/s003300050062.</w:t>
      </w:r>
    </w:p>
    <w:p w14:paraId="3BE47BF8" w14:textId="77777777" w:rsidR="00177323" w:rsidRPr="00177323" w:rsidRDefault="00177323" w:rsidP="00B83D49">
      <w:pPr>
        <w:spacing w:line="480" w:lineRule="auto"/>
        <w:ind w:left="284" w:hanging="284"/>
        <w:rPr>
          <w:rFonts w:eastAsia="Calibri" w:cs="Times New Roman"/>
          <w:szCs w:val="24"/>
        </w:rPr>
      </w:pPr>
      <w:r w:rsidRPr="00177323">
        <w:rPr>
          <w:rFonts w:eastAsia="Calibri" w:cs="Times New Roman"/>
          <w:szCs w:val="24"/>
        </w:rPr>
        <w:t xml:space="preserve">Hernández, L., </w:t>
      </w:r>
      <w:proofErr w:type="spellStart"/>
      <w:r w:rsidRPr="00177323">
        <w:rPr>
          <w:rFonts w:eastAsia="Calibri" w:cs="Times New Roman"/>
          <w:szCs w:val="24"/>
        </w:rPr>
        <w:t>Terradas</w:t>
      </w:r>
      <w:proofErr w:type="spellEnd"/>
      <w:r w:rsidRPr="00177323">
        <w:rPr>
          <w:rFonts w:eastAsia="Calibri" w:cs="Times New Roman"/>
          <w:szCs w:val="24"/>
        </w:rPr>
        <w:t xml:space="preserve">, M., Camps, J., Martín, M., </w:t>
      </w:r>
      <w:proofErr w:type="spellStart"/>
      <w:r w:rsidRPr="00177323">
        <w:rPr>
          <w:rFonts w:eastAsia="Calibri" w:cs="Times New Roman"/>
          <w:szCs w:val="24"/>
        </w:rPr>
        <w:t>Tusell</w:t>
      </w:r>
      <w:proofErr w:type="spellEnd"/>
      <w:r w:rsidRPr="00177323">
        <w:rPr>
          <w:rFonts w:eastAsia="Calibri" w:cs="Times New Roman"/>
          <w:szCs w:val="24"/>
        </w:rPr>
        <w:t xml:space="preserve">, L., </w:t>
      </w:r>
      <w:proofErr w:type="spellStart"/>
      <w:r w:rsidRPr="00177323">
        <w:rPr>
          <w:rFonts w:eastAsia="Calibri" w:cs="Times New Roman"/>
          <w:szCs w:val="24"/>
        </w:rPr>
        <w:t>Genescà</w:t>
      </w:r>
      <w:proofErr w:type="spellEnd"/>
      <w:r w:rsidRPr="00177323">
        <w:rPr>
          <w:rFonts w:eastAsia="Calibri" w:cs="Times New Roman"/>
          <w:szCs w:val="24"/>
        </w:rPr>
        <w:t xml:space="preserve">, A. 2015. Aging and radiation: Bad companions. In Aging Cell Vol. 14, Issue 2, pp. 153–161). </w:t>
      </w:r>
    </w:p>
    <w:p w14:paraId="71D609A2" w14:textId="53940F10" w:rsidR="00B83D49" w:rsidRPr="00784290" w:rsidRDefault="00B83D49" w:rsidP="00C86906">
      <w:pPr>
        <w:spacing w:line="480" w:lineRule="auto"/>
        <w:ind w:left="284" w:hanging="284"/>
        <w:rPr>
          <w:rFonts w:cs="Times New Roman"/>
          <w:bCs/>
          <w:szCs w:val="24"/>
        </w:rPr>
      </w:pPr>
      <w:r w:rsidRPr="00784290">
        <w:rPr>
          <w:rFonts w:cs="Times New Roman"/>
          <w:bCs/>
          <w:szCs w:val="24"/>
        </w:rPr>
        <w:t>Hsieh,</w:t>
      </w:r>
      <w:r>
        <w:rPr>
          <w:rFonts w:cs="Times New Roman"/>
          <w:bCs/>
          <w:szCs w:val="24"/>
        </w:rPr>
        <w:t xml:space="preserve"> S.S., </w:t>
      </w:r>
      <w:proofErr w:type="spellStart"/>
      <w:r w:rsidRPr="00784290">
        <w:rPr>
          <w:rFonts w:cs="Times New Roman"/>
          <w:bCs/>
          <w:szCs w:val="24"/>
        </w:rPr>
        <w:t>Leng</w:t>
      </w:r>
      <w:proofErr w:type="spellEnd"/>
      <w:r w:rsidRPr="00784290">
        <w:rPr>
          <w:rFonts w:cs="Times New Roman"/>
          <w:bCs/>
          <w:szCs w:val="24"/>
        </w:rPr>
        <w:t>,</w:t>
      </w:r>
      <w:r>
        <w:rPr>
          <w:rFonts w:cs="Times New Roman"/>
          <w:bCs/>
          <w:szCs w:val="24"/>
        </w:rPr>
        <w:t xml:space="preserve"> S., </w:t>
      </w:r>
      <w:r w:rsidRPr="00784290">
        <w:rPr>
          <w:rFonts w:cs="Times New Roman"/>
          <w:bCs/>
          <w:szCs w:val="24"/>
        </w:rPr>
        <w:t>Yu,</w:t>
      </w:r>
      <w:r>
        <w:rPr>
          <w:rFonts w:cs="Times New Roman"/>
          <w:bCs/>
          <w:szCs w:val="24"/>
        </w:rPr>
        <w:t xml:space="preserve"> L., </w:t>
      </w:r>
      <w:r w:rsidRPr="00784290">
        <w:rPr>
          <w:rFonts w:cs="Times New Roman"/>
          <w:bCs/>
          <w:szCs w:val="24"/>
        </w:rPr>
        <w:t>Huber,</w:t>
      </w:r>
      <w:r>
        <w:rPr>
          <w:rFonts w:cs="Times New Roman"/>
          <w:bCs/>
          <w:szCs w:val="24"/>
        </w:rPr>
        <w:t xml:space="preserve"> N.R., </w:t>
      </w:r>
      <w:r w:rsidRPr="00784290">
        <w:rPr>
          <w:rFonts w:cs="Times New Roman"/>
          <w:bCs/>
          <w:szCs w:val="24"/>
        </w:rPr>
        <w:t>McCollough</w:t>
      </w:r>
      <w:r>
        <w:rPr>
          <w:rFonts w:cs="Times New Roman"/>
          <w:bCs/>
          <w:szCs w:val="24"/>
        </w:rPr>
        <w:t>, C.H.</w:t>
      </w:r>
      <w:r w:rsidRPr="00784290">
        <w:rPr>
          <w:rFonts w:cs="Times New Roman"/>
          <w:bCs/>
          <w:szCs w:val="24"/>
        </w:rPr>
        <w:t xml:space="preserve"> </w:t>
      </w:r>
      <w:r>
        <w:rPr>
          <w:rFonts w:cs="Times New Roman"/>
          <w:bCs/>
          <w:szCs w:val="24"/>
        </w:rPr>
        <w:t xml:space="preserve">2022. </w:t>
      </w:r>
      <w:r w:rsidRPr="00784290">
        <w:rPr>
          <w:rFonts w:cs="Times New Roman"/>
          <w:bCs/>
          <w:szCs w:val="24"/>
        </w:rPr>
        <w:t>A minimum SNR criterion for computed tomography object detection in the projection domain</w:t>
      </w:r>
      <w:r w:rsidR="00C86906">
        <w:rPr>
          <w:rFonts w:cs="Times New Roman"/>
          <w:bCs/>
          <w:szCs w:val="24"/>
        </w:rPr>
        <w:t xml:space="preserve">. </w:t>
      </w:r>
      <w:r w:rsidRPr="00784290">
        <w:rPr>
          <w:rFonts w:cs="Times New Roman"/>
          <w:bCs/>
          <w:szCs w:val="24"/>
        </w:rPr>
        <w:t>Med</w:t>
      </w:r>
      <w:r>
        <w:rPr>
          <w:rFonts w:cs="Times New Roman"/>
          <w:bCs/>
          <w:szCs w:val="24"/>
        </w:rPr>
        <w:t>ical</w:t>
      </w:r>
      <w:r w:rsidRPr="00784290">
        <w:rPr>
          <w:rFonts w:cs="Times New Roman"/>
          <w:bCs/>
          <w:szCs w:val="24"/>
        </w:rPr>
        <w:t xml:space="preserve"> Phys</w:t>
      </w:r>
      <w:r>
        <w:rPr>
          <w:rFonts w:cs="Times New Roman"/>
          <w:bCs/>
          <w:szCs w:val="24"/>
        </w:rPr>
        <w:t>ics</w:t>
      </w:r>
      <w:r w:rsidRPr="00784290">
        <w:rPr>
          <w:rFonts w:cs="Times New Roman"/>
          <w:bCs/>
          <w:szCs w:val="24"/>
        </w:rPr>
        <w:t>.</w:t>
      </w:r>
      <w:r>
        <w:rPr>
          <w:rFonts w:cs="Times New Roman"/>
          <w:bCs/>
          <w:szCs w:val="24"/>
        </w:rPr>
        <w:t xml:space="preserve"> </w:t>
      </w:r>
      <w:r w:rsidRPr="00784290">
        <w:rPr>
          <w:rFonts w:cs="Times New Roman"/>
          <w:bCs/>
          <w:szCs w:val="24"/>
        </w:rPr>
        <w:t>49:4988–4998.</w:t>
      </w:r>
    </w:p>
    <w:p w14:paraId="47749CC1" w14:textId="19A7882F" w:rsidR="00177323" w:rsidRPr="00177323" w:rsidRDefault="00177323" w:rsidP="00B83D49">
      <w:pPr>
        <w:spacing w:line="480" w:lineRule="auto"/>
        <w:ind w:left="284" w:hanging="284"/>
        <w:rPr>
          <w:rFonts w:eastAsia="Calibri" w:cs="Times New Roman"/>
          <w:szCs w:val="24"/>
        </w:rPr>
      </w:pPr>
      <w:r w:rsidRPr="00177323">
        <w:rPr>
          <w:rFonts w:eastAsia="Calibri" w:cs="Times New Roman"/>
          <w:szCs w:val="24"/>
        </w:rPr>
        <w:t xml:space="preserve">Khan, A. N., </w:t>
      </w:r>
      <w:proofErr w:type="spellStart"/>
      <w:r w:rsidRPr="00177323">
        <w:rPr>
          <w:rFonts w:eastAsia="Calibri" w:cs="Times New Roman"/>
          <w:szCs w:val="24"/>
        </w:rPr>
        <w:t>Khosa</w:t>
      </w:r>
      <w:proofErr w:type="spellEnd"/>
      <w:r w:rsidRPr="00177323">
        <w:rPr>
          <w:rFonts w:eastAsia="Calibri" w:cs="Times New Roman"/>
          <w:szCs w:val="24"/>
        </w:rPr>
        <w:t xml:space="preserve">, F., Shuaib, W., Nasir, K., </w:t>
      </w:r>
      <w:proofErr w:type="spellStart"/>
      <w:r w:rsidRPr="00177323">
        <w:rPr>
          <w:rFonts w:eastAsia="Calibri" w:cs="Times New Roman"/>
          <w:szCs w:val="24"/>
        </w:rPr>
        <w:t>Blankstein</w:t>
      </w:r>
      <w:proofErr w:type="spellEnd"/>
      <w:r w:rsidRPr="00177323">
        <w:rPr>
          <w:rFonts w:eastAsia="Calibri" w:cs="Times New Roman"/>
          <w:szCs w:val="24"/>
        </w:rPr>
        <w:t xml:space="preserve">, R., Clouse, M. 2013. Effect of tube voltage (100 kVp vs. 120 kVp) on radiation dose and image quality using prospective gating </w:t>
      </w:r>
      <w:r w:rsidR="0006138A">
        <w:rPr>
          <w:rFonts w:eastAsia="Calibri" w:cs="Times New Roman"/>
          <w:szCs w:val="24"/>
        </w:rPr>
        <w:t>320-row</w:t>
      </w:r>
      <w:r w:rsidRPr="00177323">
        <w:rPr>
          <w:rFonts w:eastAsia="Calibri" w:cs="Times New Roman"/>
          <w:szCs w:val="24"/>
        </w:rPr>
        <w:t xml:space="preserve"> multi-detector computed tomography angiography. Journal of Clinical Imaging Science. 3, 62. </w:t>
      </w:r>
    </w:p>
    <w:p w14:paraId="5FAE72C6" w14:textId="34047FB6" w:rsidR="00177323" w:rsidRPr="00177323" w:rsidRDefault="00177323" w:rsidP="00B83D49">
      <w:pPr>
        <w:spacing w:line="480" w:lineRule="auto"/>
        <w:ind w:left="284" w:hanging="284"/>
        <w:rPr>
          <w:rFonts w:eastAsia="Calibri" w:cs="Times New Roman"/>
          <w:szCs w:val="24"/>
        </w:rPr>
      </w:pPr>
      <w:proofErr w:type="spellStart"/>
      <w:r w:rsidRPr="00177323">
        <w:rPr>
          <w:rFonts w:eastAsia="Calibri" w:cs="Times New Roman"/>
          <w:szCs w:val="24"/>
        </w:rPr>
        <w:t>Kisembo</w:t>
      </w:r>
      <w:proofErr w:type="spellEnd"/>
      <w:r w:rsidRPr="00177323">
        <w:rPr>
          <w:rFonts w:eastAsia="Calibri" w:cs="Times New Roman"/>
          <w:szCs w:val="24"/>
        </w:rPr>
        <w:t xml:space="preserve">, N., H., </w:t>
      </w:r>
      <w:proofErr w:type="spellStart"/>
      <w:r w:rsidRPr="00177323">
        <w:rPr>
          <w:rFonts w:eastAsia="Calibri" w:cs="Times New Roman"/>
          <w:szCs w:val="24"/>
        </w:rPr>
        <w:t>Kisembo</w:t>
      </w:r>
      <w:proofErr w:type="spellEnd"/>
      <w:r w:rsidRPr="00177323">
        <w:rPr>
          <w:rFonts w:eastAsia="Calibri" w:cs="Times New Roman"/>
          <w:szCs w:val="24"/>
        </w:rPr>
        <w:t xml:space="preserve">, H., Samson, S., </w:t>
      </w:r>
      <w:proofErr w:type="spellStart"/>
      <w:r w:rsidRPr="00177323">
        <w:rPr>
          <w:rFonts w:eastAsia="Calibri" w:cs="Times New Roman"/>
          <w:szCs w:val="24"/>
        </w:rPr>
        <w:t>Kavuma</w:t>
      </w:r>
      <w:proofErr w:type="spellEnd"/>
      <w:r w:rsidRPr="00177323">
        <w:rPr>
          <w:rFonts w:eastAsia="Calibri" w:cs="Times New Roman"/>
          <w:szCs w:val="24"/>
        </w:rPr>
        <w:t xml:space="preserve">, A., </w:t>
      </w:r>
      <w:proofErr w:type="spellStart"/>
      <w:r w:rsidRPr="00177323">
        <w:rPr>
          <w:rFonts w:eastAsia="Calibri" w:cs="Times New Roman"/>
          <w:szCs w:val="24"/>
        </w:rPr>
        <w:t>Nakatudde</w:t>
      </w:r>
      <w:proofErr w:type="spellEnd"/>
      <w:r w:rsidRPr="00177323">
        <w:rPr>
          <w:rFonts w:eastAsia="Calibri" w:cs="Times New Roman"/>
          <w:szCs w:val="24"/>
        </w:rPr>
        <w:t xml:space="preserve">, R., </w:t>
      </w:r>
      <w:proofErr w:type="spellStart"/>
      <w:r w:rsidRPr="00177323">
        <w:rPr>
          <w:rFonts w:eastAsia="Calibri" w:cs="Times New Roman"/>
          <w:szCs w:val="24"/>
        </w:rPr>
        <w:t>Bugeza</w:t>
      </w:r>
      <w:proofErr w:type="spellEnd"/>
      <w:r w:rsidRPr="00177323">
        <w:rPr>
          <w:rFonts w:eastAsia="Calibri" w:cs="Times New Roman"/>
          <w:szCs w:val="24"/>
        </w:rPr>
        <w:t xml:space="preserve">, S. 2015. A survey of </w:t>
      </w:r>
      <w:r w:rsidR="0006138A">
        <w:rPr>
          <w:rFonts w:eastAsia="Calibri" w:cs="Times New Roman"/>
          <w:szCs w:val="24"/>
        </w:rPr>
        <w:t>pediatric</w:t>
      </w:r>
      <w:r w:rsidRPr="00177323">
        <w:rPr>
          <w:rFonts w:eastAsia="Calibri" w:cs="Times New Roman"/>
          <w:szCs w:val="24"/>
        </w:rPr>
        <w:t xml:space="preserve"> CT radiation doses in two selected hospitals in Kampala, Uganda: A radiation safety survey of </w:t>
      </w:r>
      <w:proofErr w:type="spellStart"/>
      <w:r w:rsidRPr="00177323">
        <w:rPr>
          <w:rFonts w:eastAsia="Calibri" w:cs="Times New Roman"/>
          <w:szCs w:val="24"/>
        </w:rPr>
        <w:t>paediatric</w:t>
      </w:r>
      <w:proofErr w:type="spellEnd"/>
      <w:r w:rsidRPr="00177323">
        <w:rPr>
          <w:rFonts w:eastAsia="Calibri" w:cs="Times New Roman"/>
          <w:szCs w:val="24"/>
        </w:rPr>
        <w:t xml:space="preserve"> CT radiation doses in two selected hospitals in Kampala, Uganda: </w:t>
      </w:r>
      <w:r w:rsidR="00C86906">
        <w:rPr>
          <w:rFonts w:eastAsia="Calibri" w:cs="Times New Roman"/>
          <w:szCs w:val="24"/>
        </w:rPr>
        <w:t>A</w:t>
      </w:r>
      <w:r w:rsidRPr="00177323">
        <w:rPr>
          <w:rFonts w:eastAsia="Calibri" w:cs="Times New Roman"/>
          <w:szCs w:val="24"/>
        </w:rPr>
        <w:t xml:space="preserve"> radiation safety concern. Int J Cancer </w:t>
      </w:r>
      <w:proofErr w:type="spellStart"/>
      <w:r w:rsidRPr="00177323">
        <w:rPr>
          <w:rFonts w:eastAsia="Calibri" w:cs="Times New Roman"/>
          <w:szCs w:val="24"/>
        </w:rPr>
        <w:t>Ther</w:t>
      </w:r>
      <w:proofErr w:type="spellEnd"/>
      <w:r w:rsidRPr="00177323">
        <w:rPr>
          <w:rFonts w:eastAsia="Calibri" w:cs="Times New Roman"/>
          <w:szCs w:val="24"/>
        </w:rPr>
        <w:t xml:space="preserve"> Oncol. 3(3), 13–17. </w:t>
      </w:r>
    </w:p>
    <w:p w14:paraId="42760DE4" w14:textId="2F071ECB" w:rsidR="00177323" w:rsidRPr="00177323" w:rsidRDefault="00177323" w:rsidP="00B83D49">
      <w:pPr>
        <w:spacing w:line="480" w:lineRule="auto"/>
        <w:ind w:left="284" w:hanging="284"/>
        <w:rPr>
          <w:rFonts w:eastAsia="Calibri" w:cs="Times New Roman"/>
          <w:szCs w:val="24"/>
        </w:rPr>
      </w:pPr>
      <w:proofErr w:type="spellStart"/>
      <w:r w:rsidRPr="001F3902">
        <w:rPr>
          <w:rFonts w:eastAsia="Calibri" w:cs="Times New Roman"/>
          <w:szCs w:val="24"/>
        </w:rPr>
        <w:t>Korir</w:t>
      </w:r>
      <w:proofErr w:type="spellEnd"/>
      <w:r w:rsidRPr="001F3902">
        <w:rPr>
          <w:rFonts w:eastAsia="Calibri" w:cs="Times New Roman"/>
          <w:szCs w:val="24"/>
        </w:rPr>
        <w:t xml:space="preserve">, G. K., </w:t>
      </w:r>
      <w:proofErr w:type="spellStart"/>
      <w:r w:rsidRPr="001F3902">
        <w:rPr>
          <w:rFonts w:eastAsia="Calibri" w:cs="Times New Roman"/>
          <w:szCs w:val="24"/>
        </w:rPr>
        <w:t>Wambani</w:t>
      </w:r>
      <w:proofErr w:type="spellEnd"/>
      <w:r w:rsidRPr="001F3902">
        <w:rPr>
          <w:rFonts w:eastAsia="Calibri" w:cs="Times New Roman"/>
          <w:szCs w:val="24"/>
        </w:rPr>
        <w:t xml:space="preserve">, J. S., </w:t>
      </w:r>
      <w:proofErr w:type="spellStart"/>
      <w:r w:rsidRPr="001F3902">
        <w:rPr>
          <w:rFonts w:eastAsia="Calibri" w:cs="Times New Roman"/>
          <w:szCs w:val="24"/>
        </w:rPr>
        <w:t>Korir</w:t>
      </w:r>
      <w:proofErr w:type="spellEnd"/>
      <w:r w:rsidRPr="001F3902">
        <w:rPr>
          <w:rFonts w:eastAsia="Calibri" w:cs="Times New Roman"/>
          <w:szCs w:val="24"/>
        </w:rPr>
        <w:t xml:space="preserve">, I. K., Tries, M. A., </w:t>
      </w:r>
      <w:proofErr w:type="spellStart"/>
      <w:r w:rsidRPr="001F3902">
        <w:rPr>
          <w:rFonts w:eastAsia="Calibri" w:cs="Times New Roman"/>
          <w:szCs w:val="24"/>
        </w:rPr>
        <w:t>Boen</w:t>
      </w:r>
      <w:proofErr w:type="spellEnd"/>
      <w:r w:rsidRPr="001F3902">
        <w:rPr>
          <w:rFonts w:eastAsia="Calibri" w:cs="Times New Roman"/>
          <w:szCs w:val="24"/>
        </w:rPr>
        <w:t>, P. K. 201</w:t>
      </w:r>
      <w:r w:rsidR="003A4502" w:rsidRPr="001F3902">
        <w:rPr>
          <w:rFonts w:eastAsia="Calibri" w:cs="Times New Roman"/>
          <w:szCs w:val="24"/>
        </w:rPr>
        <w:t>6</w:t>
      </w:r>
      <w:r w:rsidRPr="001F3902">
        <w:rPr>
          <w:rFonts w:eastAsia="Calibri" w:cs="Times New Roman"/>
          <w:szCs w:val="24"/>
        </w:rPr>
        <w:t xml:space="preserve">. National </w:t>
      </w:r>
      <w:r w:rsidR="001F3902" w:rsidRPr="001F3902">
        <w:rPr>
          <w:rFonts w:eastAsia="Calibri" w:cs="Times New Roman"/>
          <w:szCs w:val="24"/>
        </w:rPr>
        <w:t>diagnostic reference level initiative</w:t>
      </w:r>
      <w:r w:rsidRPr="001F3902">
        <w:rPr>
          <w:rFonts w:eastAsia="Calibri" w:cs="Times New Roman"/>
          <w:szCs w:val="24"/>
        </w:rPr>
        <w:t xml:space="preserve"> for computed tomography examinations in Kenya.</w:t>
      </w:r>
      <w:r w:rsidR="00471296" w:rsidRPr="00471296">
        <w:t xml:space="preserve"> </w:t>
      </w:r>
      <w:proofErr w:type="spellStart"/>
      <w:r w:rsidR="00471296" w:rsidRPr="00471296">
        <w:rPr>
          <w:rFonts w:eastAsia="Calibri" w:cs="Times New Roman"/>
          <w:szCs w:val="24"/>
        </w:rPr>
        <w:t>Radiat</w:t>
      </w:r>
      <w:proofErr w:type="spellEnd"/>
      <w:r w:rsidR="00471296" w:rsidRPr="00471296">
        <w:rPr>
          <w:rFonts w:eastAsia="Calibri" w:cs="Times New Roman"/>
          <w:szCs w:val="24"/>
        </w:rPr>
        <w:t xml:space="preserve"> </w:t>
      </w:r>
      <w:proofErr w:type="spellStart"/>
      <w:r w:rsidR="00471296" w:rsidRPr="00471296">
        <w:rPr>
          <w:rFonts w:eastAsia="Calibri" w:cs="Times New Roman"/>
          <w:szCs w:val="24"/>
        </w:rPr>
        <w:t>Prot</w:t>
      </w:r>
      <w:proofErr w:type="spellEnd"/>
      <w:r w:rsidR="00471296" w:rsidRPr="00471296">
        <w:rPr>
          <w:rFonts w:eastAsia="Calibri" w:cs="Times New Roman"/>
          <w:szCs w:val="24"/>
        </w:rPr>
        <w:t xml:space="preserve"> Dosimetry.168(2):242-52. </w:t>
      </w:r>
      <w:proofErr w:type="spellStart"/>
      <w:r w:rsidR="00471296" w:rsidRPr="00471296">
        <w:rPr>
          <w:rFonts w:eastAsia="Calibri" w:cs="Times New Roman"/>
          <w:szCs w:val="24"/>
        </w:rPr>
        <w:t>doi</w:t>
      </w:r>
      <w:proofErr w:type="spellEnd"/>
      <w:r w:rsidR="00471296" w:rsidRPr="00471296">
        <w:rPr>
          <w:rFonts w:eastAsia="Calibri" w:cs="Times New Roman"/>
          <w:szCs w:val="24"/>
        </w:rPr>
        <w:t>: 10.1093/</w:t>
      </w:r>
      <w:proofErr w:type="spellStart"/>
      <w:r w:rsidR="00471296" w:rsidRPr="00471296">
        <w:rPr>
          <w:rFonts w:eastAsia="Calibri" w:cs="Times New Roman"/>
          <w:szCs w:val="24"/>
        </w:rPr>
        <w:t>rpd</w:t>
      </w:r>
      <w:proofErr w:type="spellEnd"/>
      <w:r w:rsidR="00471296" w:rsidRPr="00471296">
        <w:rPr>
          <w:rFonts w:eastAsia="Calibri" w:cs="Times New Roman"/>
          <w:szCs w:val="24"/>
        </w:rPr>
        <w:t>/ncv020.</w:t>
      </w:r>
      <w:r w:rsidRPr="00177323">
        <w:rPr>
          <w:rFonts w:eastAsia="Calibri" w:cs="Times New Roman"/>
          <w:szCs w:val="24"/>
        </w:rPr>
        <w:t xml:space="preserve"> </w:t>
      </w:r>
    </w:p>
    <w:p w14:paraId="3E4401F9" w14:textId="6D61AE7D" w:rsidR="009A2DB7" w:rsidRPr="009A2DB7" w:rsidRDefault="00177323" w:rsidP="009A2DB7">
      <w:pPr>
        <w:spacing w:line="480" w:lineRule="auto"/>
        <w:ind w:left="284" w:hanging="284"/>
        <w:rPr>
          <w:rFonts w:eastAsia="Calibri" w:cs="Times New Roman"/>
          <w:szCs w:val="24"/>
        </w:rPr>
      </w:pPr>
      <w:r w:rsidRPr="001F3902">
        <w:rPr>
          <w:rFonts w:eastAsia="Calibri" w:cs="Times New Roman"/>
          <w:szCs w:val="24"/>
        </w:rPr>
        <w:t>Nagel, H. D. 2007</w:t>
      </w:r>
      <w:r w:rsidR="003A4502" w:rsidRPr="001F3902">
        <w:rPr>
          <w:rFonts w:eastAsia="Calibri" w:cs="Times New Roman"/>
          <w:szCs w:val="24"/>
        </w:rPr>
        <w:t>.</w:t>
      </w:r>
      <w:r w:rsidR="003A4502">
        <w:rPr>
          <w:rFonts w:eastAsia="Calibri" w:cs="Times New Roman"/>
          <w:szCs w:val="24"/>
        </w:rPr>
        <w:t xml:space="preserve"> </w:t>
      </w:r>
      <w:r w:rsidR="009A2DB7" w:rsidRPr="009A2DB7">
        <w:rPr>
          <w:rFonts w:eastAsia="Calibri" w:cs="Times New Roman"/>
          <w:szCs w:val="24"/>
        </w:rPr>
        <w:t xml:space="preserve">CT Parameters that Influence the Radiation Dose. In: Tack, D., </w:t>
      </w:r>
      <w:proofErr w:type="spellStart"/>
      <w:r w:rsidR="009A2DB7" w:rsidRPr="009A2DB7">
        <w:rPr>
          <w:rFonts w:eastAsia="Calibri" w:cs="Times New Roman"/>
          <w:szCs w:val="24"/>
        </w:rPr>
        <w:t>Gevenois</w:t>
      </w:r>
      <w:proofErr w:type="spellEnd"/>
      <w:r w:rsidR="009A2DB7" w:rsidRPr="009A2DB7">
        <w:rPr>
          <w:rFonts w:eastAsia="Calibri" w:cs="Times New Roman"/>
          <w:szCs w:val="24"/>
        </w:rPr>
        <w:t xml:space="preserve">, P.A. (eds) Radiation Dose from Adult and Pediatric Multidetector Computed Tomography. Medical Radiology. Springer, Berlin, Heidelberg. </w:t>
      </w:r>
      <w:r w:rsidR="001F3902">
        <w:rPr>
          <w:rFonts w:eastAsia="Calibri" w:cs="Times New Roman"/>
          <w:szCs w:val="24"/>
        </w:rPr>
        <w:t xml:space="preserve">51-79 </w:t>
      </w:r>
      <w:r w:rsidR="009A2DB7" w:rsidRPr="009A2DB7">
        <w:rPr>
          <w:rFonts w:eastAsia="Calibri" w:cs="Times New Roman"/>
          <w:szCs w:val="24"/>
        </w:rPr>
        <w:t>https://doi.org/10.1007/978-3-540-68575-3_4</w:t>
      </w:r>
    </w:p>
    <w:p w14:paraId="7DFF8798" w14:textId="3B86747A" w:rsidR="00177323" w:rsidRPr="00177323" w:rsidRDefault="00177323" w:rsidP="00B83D49">
      <w:pPr>
        <w:spacing w:line="480" w:lineRule="auto"/>
        <w:ind w:left="284" w:hanging="284"/>
        <w:rPr>
          <w:rFonts w:eastAsia="Calibri" w:cs="Times New Roman"/>
          <w:szCs w:val="24"/>
        </w:rPr>
      </w:pPr>
      <w:r w:rsidRPr="002E582C">
        <w:rPr>
          <w:rFonts w:eastAsia="Calibri" w:cs="Times New Roman"/>
          <w:szCs w:val="24"/>
        </w:rPr>
        <w:t>Orozco-</w:t>
      </w:r>
      <w:proofErr w:type="spellStart"/>
      <w:r w:rsidRPr="002E582C">
        <w:rPr>
          <w:rFonts w:eastAsia="Calibri" w:cs="Times New Roman"/>
          <w:szCs w:val="24"/>
        </w:rPr>
        <w:t>Arroyave</w:t>
      </w:r>
      <w:proofErr w:type="spellEnd"/>
      <w:r w:rsidRPr="002E582C">
        <w:rPr>
          <w:rFonts w:eastAsia="Calibri" w:cs="Times New Roman"/>
          <w:szCs w:val="24"/>
        </w:rPr>
        <w:t>, J. R., Arias-</w:t>
      </w:r>
      <w:proofErr w:type="spellStart"/>
      <w:r w:rsidRPr="002E582C">
        <w:rPr>
          <w:rFonts w:eastAsia="Calibri" w:cs="Times New Roman"/>
          <w:szCs w:val="24"/>
        </w:rPr>
        <w:t>Londõ</w:t>
      </w:r>
      <w:proofErr w:type="spellEnd"/>
      <w:r w:rsidRPr="002E582C">
        <w:rPr>
          <w:rFonts w:eastAsia="Calibri" w:cs="Times New Roman"/>
          <w:szCs w:val="24"/>
        </w:rPr>
        <w:t xml:space="preserve"> No, J. D., Vargas-Bonilla, J. F., González-</w:t>
      </w:r>
      <w:proofErr w:type="spellStart"/>
      <w:r w:rsidRPr="002E582C">
        <w:rPr>
          <w:rFonts w:eastAsia="Calibri" w:cs="Times New Roman"/>
          <w:szCs w:val="24"/>
        </w:rPr>
        <w:t>Rátiva</w:t>
      </w:r>
      <w:proofErr w:type="spellEnd"/>
      <w:r w:rsidRPr="002E582C">
        <w:rPr>
          <w:rFonts w:eastAsia="Calibri" w:cs="Times New Roman"/>
          <w:szCs w:val="24"/>
        </w:rPr>
        <w:t xml:space="preserve">, M. C., </w:t>
      </w:r>
      <w:proofErr w:type="spellStart"/>
      <w:r w:rsidRPr="002E582C">
        <w:rPr>
          <w:rFonts w:eastAsia="Calibri" w:cs="Times New Roman"/>
          <w:szCs w:val="24"/>
        </w:rPr>
        <w:t>Nöth</w:t>
      </w:r>
      <w:proofErr w:type="spellEnd"/>
      <w:r w:rsidRPr="002E582C">
        <w:rPr>
          <w:rFonts w:eastAsia="Calibri" w:cs="Times New Roman"/>
          <w:szCs w:val="24"/>
        </w:rPr>
        <w:t>, E. 2014. New Spanish speech corpus database for the analysis of people suffering from Parkinson’s disease.</w:t>
      </w:r>
      <w:r w:rsidR="009A2DB7" w:rsidRPr="009A2DB7">
        <w:t xml:space="preserve"> </w:t>
      </w:r>
      <w:r w:rsidR="009A2DB7" w:rsidRPr="009A2DB7">
        <w:rPr>
          <w:rFonts w:eastAsia="Calibri" w:cs="Times New Roman"/>
          <w:szCs w:val="24"/>
        </w:rPr>
        <w:t>In Proceedings of the Ninth International Conference on Language Resources and Evaluation (LREC'14), 342–347, Reykjavik, Iceland. European Language Resources Association (ELRA).</w:t>
      </w:r>
    </w:p>
    <w:p w14:paraId="4F01C3F6" w14:textId="37FBECFD" w:rsidR="00177323" w:rsidRPr="00177323" w:rsidRDefault="00177323" w:rsidP="00B83D49">
      <w:pPr>
        <w:spacing w:line="480" w:lineRule="auto"/>
        <w:ind w:left="284" w:hanging="284"/>
        <w:rPr>
          <w:rFonts w:eastAsia="Calibri" w:cs="Times New Roman"/>
          <w:szCs w:val="24"/>
        </w:rPr>
      </w:pPr>
      <w:proofErr w:type="spellStart"/>
      <w:r w:rsidRPr="00177323">
        <w:rPr>
          <w:rFonts w:eastAsia="Calibri" w:cs="Times New Roman"/>
          <w:szCs w:val="24"/>
        </w:rPr>
        <w:t>Postorino</w:t>
      </w:r>
      <w:proofErr w:type="spellEnd"/>
      <w:r w:rsidRPr="00177323">
        <w:rPr>
          <w:rFonts w:eastAsia="Calibri" w:cs="Times New Roman"/>
          <w:szCs w:val="24"/>
        </w:rPr>
        <w:t xml:space="preserve">, M., </w:t>
      </w:r>
      <w:proofErr w:type="spellStart"/>
      <w:r w:rsidRPr="00177323">
        <w:rPr>
          <w:rFonts w:eastAsia="Calibri" w:cs="Times New Roman"/>
          <w:szCs w:val="24"/>
        </w:rPr>
        <w:t>Lizio</w:t>
      </w:r>
      <w:proofErr w:type="spellEnd"/>
      <w:r w:rsidRPr="00177323">
        <w:rPr>
          <w:rFonts w:eastAsia="Calibri" w:cs="Times New Roman"/>
          <w:szCs w:val="24"/>
        </w:rPr>
        <w:t xml:space="preserve">, D., De Mauri, A., Marino, C., </w:t>
      </w:r>
      <w:proofErr w:type="spellStart"/>
      <w:r w:rsidRPr="00177323">
        <w:rPr>
          <w:rFonts w:eastAsia="Calibri" w:cs="Times New Roman"/>
          <w:szCs w:val="24"/>
        </w:rPr>
        <w:t>Tripepi</w:t>
      </w:r>
      <w:proofErr w:type="spellEnd"/>
      <w:r w:rsidRPr="00177323">
        <w:rPr>
          <w:rFonts w:eastAsia="Calibri" w:cs="Times New Roman"/>
          <w:szCs w:val="24"/>
        </w:rPr>
        <w:t xml:space="preserve">, G. L., Zoccali, C., Brambilla, M., Balestra, E., </w:t>
      </w:r>
      <w:proofErr w:type="spellStart"/>
      <w:r w:rsidRPr="00177323">
        <w:rPr>
          <w:rFonts w:eastAsia="Calibri" w:cs="Times New Roman"/>
          <w:szCs w:val="24"/>
        </w:rPr>
        <w:t>Bellino</w:t>
      </w:r>
      <w:proofErr w:type="spellEnd"/>
      <w:r w:rsidRPr="00177323">
        <w:rPr>
          <w:rFonts w:eastAsia="Calibri" w:cs="Times New Roman"/>
          <w:szCs w:val="24"/>
        </w:rPr>
        <w:t xml:space="preserve">, D., Benevento, R., </w:t>
      </w:r>
      <w:proofErr w:type="spellStart"/>
      <w:r w:rsidRPr="00177323">
        <w:rPr>
          <w:rFonts w:eastAsia="Calibri" w:cs="Times New Roman"/>
          <w:szCs w:val="24"/>
        </w:rPr>
        <w:t>Bregant</w:t>
      </w:r>
      <w:proofErr w:type="spellEnd"/>
      <w:r w:rsidRPr="00177323">
        <w:rPr>
          <w:rFonts w:eastAsia="Calibri" w:cs="Times New Roman"/>
          <w:szCs w:val="24"/>
        </w:rPr>
        <w:t xml:space="preserve">, C., </w:t>
      </w:r>
      <w:proofErr w:type="spellStart"/>
      <w:r w:rsidRPr="00177323">
        <w:rPr>
          <w:rFonts w:eastAsia="Calibri" w:cs="Times New Roman"/>
          <w:szCs w:val="24"/>
        </w:rPr>
        <w:t>Bregant</w:t>
      </w:r>
      <w:proofErr w:type="spellEnd"/>
      <w:r w:rsidRPr="00177323">
        <w:rPr>
          <w:rFonts w:eastAsia="Calibri" w:cs="Times New Roman"/>
          <w:szCs w:val="24"/>
        </w:rPr>
        <w:t xml:space="preserve">, P., </w:t>
      </w:r>
      <w:proofErr w:type="spellStart"/>
      <w:r w:rsidRPr="00177323">
        <w:rPr>
          <w:rFonts w:eastAsia="Calibri" w:cs="Times New Roman"/>
          <w:szCs w:val="24"/>
        </w:rPr>
        <w:t>Cannillo</w:t>
      </w:r>
      <w:proofErr w:type="spellEnd"/>
      <w:r w:rsidRPr="00177323">
        <w:rPr>
          <w:rFonts w:eastAsia="Calibri" w:cs="Times New Roman"/>
          <w:szCs w:val="24"/>
        </w:rPr>
        <w:t xml:space="preserve">, B., </w:t>
      </w:r>
      <w:proofErr w:type="spellStart"/>
      <w:r w:rsidRPr="00177323">
        <w:rPr>
          <w:rFonts w:eastAsia="Calibri" w:cs="Times New Roman"/>
          <w:szCs w:val="24"/>
        </w:rPr>
        <w:t>Casto</w:t>
      </w:r>
      <w:proofErr w:type="spellEnd"/>
      <w:r w:rsidRPr="00177323">
        <w:rPr>
          <w:rFonts w:eastAsia="Calibri" w:cs="Times New Roman"/>
          <w:szCs w:val="24"/>
        </w:rPr>
        <w:t xml:space="preserve">, G., </w:t>
      </w:r>
      <w:proofErr w:type="spellStart"/>
      <w:r w:rsidRPr="00177323">
        <w:rPr>
          <w:rFonts w:eastAsia="Calibri" w:cs="Times New Roman"/>
          <w:szCs w:val="24"/>
        </w:rPr>
        <w:t>Chiarinotti</w:t>
      </w:r>
      <w:proofErr w:type="spellEnd"/>
      <w:r w:rsidRPr="00177323">
        <w:rPr>
          <w:rFonts w:eastAsia="Calibri" w:cs="Times New Roman"/>
          <w:szCs w:val="24"/>
        </w:rPr>
        <w:t xml:space="preserve">, D., </w:t>
      </w:r>
      <w:proofErr w:type="spellStart"/>
      <w:r w:rsidRPr="00177323">
        <w:rPr>
          <w:rFonts w:eastAsia="Calibri" w:cs="Times New Roman"/>
          <w:szCs w:val="24"/>
        </w:rPr>
        <w:t>Cimolai</w:t>
      </w:r>
      <w:proofErr w:type="spellEnd"/>
      <w:r w:rsidRPr="00177323">
        <w:rPr>
          <w:rFonts w:eastAsia="Calibri" w:cs="Times New Roman"/>
          <w:szCs w:val="24"/>
        </w:rPr>
        <w:t xml:space="preserve">, S., </w:t>
      </w:r>
      <w:proofErr w:type="spellStart"/>
      <w:r w:rsidRPr="00177323">
        <w:rPr>
          <w:rFonts w:eastAsia="Calibri" w:cs="Times New Roman"/>
          <w:szCs w:val="24"/>
        </w:rPr>
        <w:t>Colussi</w:t>
      </w:r>
      <w:proofErr w:type="spellEnd"/>
      <w:r w:rsidRPr="00177323">
        <w:rPr>
          <w:rFonts w:eastAsia="Calibri" w:cs="Times New Roman"/>
          <w:szCs w:val="24"/>
        </w:rPr>
        <w:t xml:space="preserve">, G., De Agostini, A., </w:t>
      </w:r>
      <w:proofErr w:type="spellStart"/>
      <w:r w:rsidRPr="00177323">
        <w:rPr>
          <w:rFonts w:eastAsia="Calibri" w:cs="Times New Roman"/>
          <w:szCs w:val="24"/>
        </w:rPr>
        <w:t>Declich</w:t>
      </w:r>
      <w:proofErr w:type="spellEnd"/>
      <w:r w:rsidRPr="00177323">
        <w:rPr>
          <w:rFonts w:eastAsia="Calibri" w:cs="Times New Roman"/>
          <w:szCs w:val="24"/>
        </w:rPr>
        <w:t xml:space="preserve">, F., … </w:t>
      </w:r>
      <w:proofErr w:type="spellStart"/>
      <w:r w:rsidRPr="00177323">
        <w:rPr>
          <w:rFonts w:eastAsia="Calibri" w:cs="Times New Roman"/>
          <w:szCs w:val="24"/>
        </w:rPr>
        <w:t>Zeni</w:t>
      </w:r>
      <w:proofErr w:type="spellEnd"/>
      <w:r w:rsidRPr="00177323">
        <w:rPr>
          <w:rFonts w:eastAsia="Calibri" w:cs="Times New Roman"/>
          <w:szCs w:val="24"/>
        </w:rPr>
        <w:t xml:space="preserve">, L. 2021. Radiation dose from medical imaging in </w:t>
      </w:r>
      <w:r w:rsidR="00C12A2D">
        <w:rPr>
          <w:rFonts w:eastAsia="Calibri" w:cs="Times New Roman"/>
          <w:szCs w:val="24"/>
        </w:rPr>
        <w:t>end-stage</w:t>
      </w:r>
      <w:r w:rsidRPr="00177323">
        <w:rPr>
          <w:rFonts w:eastAsia="Calibri" w:cs="Times New Roman"/>
          <w:szCs w:val="24"/>
        </w:rPr>
        <w:t xml:space="preserve"> renal disease patients: a Nationwide Italian Survey. Journal of Nephrology. 1–9. </w:t>
      </w:r>
    </w:p>
    <w:p w14:paraId="11C78405" w14:textId="77777777" w:rsidR="00177323" w:rsidRPr="00177323" w:rsidRDefault="00177323" w:rsidP="00B83D49">
      <w:pPr>
        <w:spacing w:line="480" w:lineRule="auto"/>
        <w:ind w:left="284" w:hanging="284"/>
        <w:rPr>
          <w:rFonts w:eastAsia="Calibri" w:cs="Times New Roman"/>
          <w:szCs w:val="24"/>
        </w:rPr>
      </w:pPr>
      <w:r w:rsidRPr="00177323">
        <w:rPr>
          <w:rFonts w:eastAsia="Calibri" w:cs="Times New Roman"/>
          <w:szCs w:val="24"/>
        </w:rPr>
        <w:t>Power, S. P., Moloney, F., Twomey, M., James, K., O’Connor, O. J., Maher, M. M. 2016. Computed tomography and patient risk: Facts, perceptions and uncertainties. World Journal of Radiology. 8(12), 902</w:t>
      </w:r>
    </w:p>
    <w:p w14:paraId="2E206A84" w14:textId="455B3315" w:rsidR="00177323" w:rsidRPr="00177323" w:rsidRDefault="00177323" w:rsidP="00B83D49">
      <w:pPr>
        <w:spacing w:line="480" w:lineRule="auto"/>
        <w:ind w:left="284" w:hanging="284"/>
        <w:rPr>
          <w:rFonts w:eastAsia="Calibri" w:cs="Times New Roman"/>
          <w:szCs w:val="24"/>
        </w:rPr>
      </w:pPr>
      <w:r w:rsidRPr="00182BA6">
        <w:rPr>
          <w:rFonts w:eastAsia="Calibri" w:cs="Times New Roman"/>
          <w:szCs w:val="24"/>
        </w:rPr>
        <w:t>Sackey, T. A. 2015. Cancer risk assessment of patients undergoing computed tomo</w:t>
      </w:r>
      <w:r w:rsidR="0006138A" w:rsidRPr="00182BA6">
        <w:rPr>
          <w:rFonts w:eastAsia="Calibri" w:cs="Times New Roman"/>
          <w:szCs w:val="24"/>
        </w:rPr>
        <w:t xml:space="preserve">graphy examination at the Korle </w:t>
      </w:r>
      <w:r w:rsidRPr="00182BA6">
        <w:rPr>
          <w:rFonts w:eastAsia="Calibri" w:cs="Times New Roman"/>
          <w:szCs w:val="24"/>
        </w:rPr>
        <w:t>Bu Teaching Hospital (KBTH). University of Ghana http://ugspace.ug.edu.gh.</w:t>
      </w:r>
    </w:p>
    <w:p w14:paraId="2CA3145C" w14:textId="7C0F0CBF" w:rsidR="00177323" w:rsidRPr="00177323" w:rsidRDefault="00177323" w:rsidP="00B83D49">
      <w:pPr>
        <w:spacing w:line="480" w:lineRule="auto"/>
        <w:ind w:left="284" w:hanging="284"/>
        <w:rPr>
          <w:rFonts w:eastAsia="Calibri" w:cs="Times New Roman"/>
          <w:szCs w:val="24"/>
        </w:rPr>
      </w:pPr>
      <w:proofErr w:type="spellStart"/>
      <w:r w:rsidRPr="002E582C">
        <w:rPr>
          <w:rFonts w:eastAsia="Calibri" w:cs="Times New Roman"/>
          <w:szCs w:val="24"/>
        </w:rPr>
        <w:t>Sakhnini</w:t>
      </w:r>
      <w:proofErr w:type="spellEnd"/>
      <w:r w:rsidRPr="002E582C">
        <w:rPr>
          <w:rFonts w:eastAsia="Calibri" w:cs="Times New Roman"/>
          <w:szCs w:val="24"/>
        </w:rPr>
        <w:t xml:space="preserve">, L. 2017. </w:t>
      </w:r>
      <w:r w:rsidR="00604FF1" w:rsidRPr="002E582C">
        <w:rPr>
          <w:rFonts w:eastAsia="Calibri" w:cs="Times New Roman"/>
          <w:szCs w:val="24"/>
        </w:rPr>
        <w:t xml:space="preserve">CT radiation dose optimization and reduction for routine head, chest and abdominal CT examination. </w:t>
      </w:r>
      <w:proofErr w:type="spellStart"/>
      <w:r w:rsidR="00604FF1" w:rsidRPr="002E582C">
        <w:rPr>
          <w:rFonts w:eastAsia="Calibri" w:cs="Times New Roman"/>
          <w:szCs w:val="24"/>
        </w:rPr>
        <w:t>Radiol</w:t>
      </w:r>
      <w:proofErr w:type="spellEnd"/>
      <w:r w:rsidR="00604FF1" w:rsidRPr="002E582C">
        <w:rPr>
          <w:rFonts w:eastAsia="Calibri" w:cs="Times New Roman"/>
          <w:szCs w:val="24"/>
        </w:rPr>
        <w:t xml:space="preserve"> </w:t>
      </w:r>
      <w:proofErr w:type="spellStart"/>
      <w:r w:rsidR="00604FF1" w:rsidRPr="002E582C">
        <w:rPr>
          <w:rFonts w:eastAsia="Calibri" w:cs="Times New Roman"/>
          <w:szCs w:val="24"/>
        </w:rPr>
        <w:t>Diagn</w:t>
      </w:r>
      <w:proofErr w:type="spellEnd"/>
      <w:r w:rsidR="00604FF1" w:rsidRPr="002E582C">
        <w:rPr>
          <w:rFonts w:eastAsia="Calibri" w:cs="Times New Roman"/>
          <w:szCs w:val="24"/>
        </w:rPr>
        <w:t xml:space="preserve"> Imaging. </w:t>
      </w:r>
      <w:r w:rsidRPr="002E582C">
        <w:rPr>
          <w:rFonts w:eastAsia="Calibri" w:cs="Times New Roman"/>
          <w:szCs w:val="24"/>
        </w:rPr>
        <w:t xml:space="preserve">2(1), 1–4. </w:t>
      </w:r>
      <w:proofErr w:type="spellStart"/>
      <w:r w:rsidR="002E582C" w:rsidRPr="00604FF1">
        <w:rPr>
          <w:rFonts w:eastAsia="Calibri" w:cs="Times New Roman"/>
          <w:szCs w:val="24"/>
        </w:rPr>
        <w:t>doi</w:t>
      </w:r>
      <w:proofErr w:type="spellEnd"/>
      <w:r w:rsidR="002E582C" w:rsidRPr="00604FF1">
        <w:rPr>
          <w:rFonts w:eastAsia="Calibri" w:cs="Times New Roman"/>
          <w:szCs w:val="24"/>
        </w:rPr>
        <w:t>:</w:t>
      </w:r>
      <w:r w:rsidR="00604FF1" w:rsidRPr="00604FF1">
        <w:rPr>
          <w:rFonts w:eastAsia="Calibri" w:cs="Times New Roman"/>
          <w:szCs w:val="24"/>
        </w:rPr>
        <w:t xml:space="preserve"> 10.15761/RDI.1000120</w:t>
      </w:r>
    </w:p>
    <w:p w14:paraId="0750CF10" w14:textId="77777777" w:rsidR="00177323" w:rsidRPr="00177323" w:rsidRDefault="00177323" w:rsidP="00B83D49">
      <w:pPr>
        <w:spacing w:line="480" w:lineRule="auto"/>
        <w:ind w:left="284" w:hanging="284"/>
        <w:rPr>
          <w:rFonts w:eastAsia="Calibri" w:cs="Times New Roman"/>
          <w:szCs w:val="24"/>
        </w:rPr>
      </w:pPr>
      <w:r w:rsidRPr="00177323">
        <w:rPr>
          <w:rFonts w:eastAsia="Calibri" w:cs="Times New Roman"/>
          <w:szCs w:val="24"/>
        </w:rPr>
        <w:t xml:space="preserve">Salama, D. H., </w:t>
      </w:r>
      <w:proofErr w:type="spellStart"/>
      <w:r w:rsidRPr="00177323">
        <w:rPr>
          <w:rFonts w:eastAsia="Calibri" w:cs="Times New Roman"/>
          <w:szCs w:val="24"/>
        </w:rPr>
        <w:t>Vassileva</w:t>
      </w:r>
      <w:proofErr w:type="spellEnd"/>
      <w:r w:rsidRPr="00177323">
        <w:rPr>
          <w:rFonts w:eastAsia="Calibri" w:cs="Times New Roman"/>
          <w:szCs w:val="24"/>
        </w:rPr>
        <w:t xml:space="preserve">, J., </w:t>
      </w:r>
      <w:proofErr w:type="spellStart"/>
      <w:r w:rsidRPr="00177323">
        <w:rPr>
          <w:rFonts w:eastAsia="Calibri" w:cs="Times New Roman"/>
          <w:szCs w:val="24"/>
        </w:rPr>
        <w:t>Mahdaly</w:t>
      </w:r>
      <w:proofErr w:type="spellEnd"/>
      <w:r w:rsidRPr="00177323">
        <w:rPr>
          <w:rFonts w:eastAsia="Calibri" w:cs="Times New Roman"/>
          <w:szCs w:val="24"/>
        </w:rPr>
        <w:t xml:space="preserve">, G., </w:t>
      </w:r>
      <w:proofErr w:type="spellStart"/>
      <w:r w:rsidRPr="00177323">
        <w:rPr>
          <w:rFonts w:eastAsia="Calibri" w:cs="Times New Roman"/>
          <w:szCs w:val="24"/>
        </w:rPr>
        <w:t>Shawki</w:t>
      </w:r>
      <w:proofErr w:type="spellEnd"/>
      <w:r w:rsidRPr="00177323">
        <w:rPr>
          <w:rFonts w:eastAsia="Calibri" w:cs="Times New Roman"/>
          <w:szCs w:val="24"/>
        </w:rPr>
        <w:t xml:space="preserve">, M., Salama, A., Gilley, D., Rehani, M. M. 2017. Establishing national diagnostic reference levels (DRLs) for computed tomography in Egypt. </w:t>
      </w:r>
      <w:proofErr w:type="spellStart"/>
      <w:r w:rsidRPr="00177323">
        <w:rPr>
          <w:rFonts w:eastAsia="Calibri" w:cs="Times New Roman"/>
          <w:szCs w:val="24"/>
        </w:rPr>
        <w:t>Physica</w:t>
      </w:r>
      <w:proofErr w:type="spellEnd"/>
      <w:r w:rsidRPr="00177323">
        <w:rPr>
          <w:rFonts w:eastAsia="Calibri" w:cs="Times New Roman"/>
          <w:szCs w:val="24"/>
        </w:rPr>
        <w:t xml:space="preserve"> Medica. 39, 16–24. </w:t>
      </w:r>
    </w:p>
    <w:p w14:paraId="422450C9" w14:textId="77777777" w:rsidR="00177323" w:rsidRPr="00177323" w:rsidRDefault="00177323" w:rsidP="00B83D49">
      <w:pPr>
        <w:spacing w:line="480" w:lineRule="auto"/>
        <w:ind w:left="284" w:hanging="284"/>
        <w:rPr>
          <w:rFonts w:eastAsia="Calibri" w:cs="Times New Roman"/>
          <w:szCs w:val="24"/>
        </w:rPr>
      </w:pPr>
      <w:proofErr w:type="spellStart"/>
      <w:r w:rsidRPr="00177323">
        <w:rPr>
          <w:rFonts w:eastAsia="Calibri" w:cs="Times New Roman"/>
          <w:szCs w:val="24"/>
        </w:rPr>
        <w:t>Semelka</w:t>
      </w:r>
      <w:proofErr w:type="spellEnd"/>
      <w:r w:rsidRPr="00177323">
        <w:rPr>
          <w:rFonts w:eastAsia="Calibri" w:cs="Times New Roman"/>
          <w:szCs w:val="24"/>
        </w:rPr>
        <w:t xml:space="preserve">, R. C., </w:t>
      </w:r>
      <w:proofErr w:type="spellStart"/>
      <w:r w:rsidRPr="00177323">
        <w:rPr>
          <w:rFonts w:eastAsia="Calibri" w:cs="Times New Roman"/>
          <w:szCs w:val="24"/>
        </w:rPr>
        <w:t>Armao</w:t>
      </w:r>
      <w:proofErr w:type="spellEnd"/>
      <w:r w:rsidRPr="00177323">
        <w:rPr>
          <w:rFonts w:eastAsia="Calibri" w:cs="Times New Roman"/>
          <w:szCs w:val="24"/>
        </w:rPr>
        <w:t>, D. M., Elias, J., Huda, W. 2007. Imaging strategies to reduce the risk of radiation in CT studies, including selective substitution with MRI. Journal of Magnetic Resonance Imaging. 25(5), 900–909.</w:t>
      </w:r>
    </w:p>
    <w:p w14:paraId="063BFCCD" w14:textId="77777777" w:rsidR="00177323" w:rsidRPr="00177323" w:rsidRDefault="00177323" w:rsidP="00B83D49">
      <w:pPr>
        <w:spacing w:line="480" w:lineRule="auto"/>
        <w:ind w:left="284" w:hanging="284"/>
        <w:rPr>
          <w:rFonts w:eastAsia="Calibri" w:cs="Times New Roman"/>
          <w:szCs w:val="24"/>
        </w:rPr>
      </w:pPr>
      <w:r w:rsidRPr="00177323">
        <w:rPr>
          <w:rFonts w:eastAsia="Calibri" w:cs="Times New Roman"/>
          <w:szCs w:val="24"/>
        </w:rPr>
        <w:t xml:space="preserve">Shrimpton, P.C., Jansen, J.T., Harrison, J.D. 2016. Updated estimates of typical effective doses for common CT examinations in the UK following the 2011 national review. Br J </w:t>
      </w:r>
      <w:proofErr w:type="spellStart"/>
      <w:r w:rsidRPr="00177323">
        <w:rPr>
          <w:rFonts w:eastAsia="Calibri" w:cs="Times New Roman"/>
          <w:szCs w:val="24"/>
        </w:rPr>
        <w:t>Radiol</w:t>
      </w:r>
      <w:proofErr w:type="spellEnd"/>
      <w:r w:rsidRPr="00177323">
        <w:rPr>
          <w:rFonts w:eastAsia="Calibri" w:cs="Times New Roman"/>
          <w:szCs w:val="24"/>
        </w:rPr>
        <w:t xml:space="preserve">. 89 (1057):20150346. </w:t>
      </w:r>
    </w:p>
    <w:p w14:paraId="465DE66A" w14:textId="0A9D7719" w:rsidR="00177323" w:rsidRPr="00177323" w:rsidRDefault="00177323" w:rsidP="00B83D49">
      <w:pPr>
        <w:spacing w:line="480" w:lineRule="auto"/>
        <w:ind w:left="284" w:hanging="284"/>
        <w:rPr>
          <w:rFonts w:eastAsia="Calibri" w:cs="Times New Roman"/>
          <w:szCs w:val="24"/>
        </w:rPr>
      </w:pPr>
      <w:r w:rsidRPr="002E582C">
        <w:rPr>
          <w:rFonts w:eastAsia="Calibri" w:cs="Times New Roman"/>
          <w:szCs w:val="24"/>
        </w:rPr>
        <w:t xml:space="preserve">Singh, S., Kalra, M. K., Thrall, J. H., Mahesh, M. 2011. Pointers for optimizing radiation dose in head CT protocols. </w:t>
      </w:r>
      <w:r w:rsidR="00604FF1" w:rsidRPr="00604FF1">
        <w:rPr>
          <w:rFonts w:eastAsia="Calibri" w:cs="Times New Roman"/>
          <w:szCs w:val="24"/>
        </w:rPr>
        <w:t xml:space="preserve">J Am Coll </w:t>
      </w:r>
      <w:proofErr w:type="spellStart"/>
      <w:r w:rsidR="00604FF1" w:rsidRPr="00604FF1">
        <w:rPr>
          <w:rFonts w:eastAsia="Calibri" w:cs="Times New Roman"/>
          <w:szCs w:val="24"/>
        </w:rPr>
        <w:t>Radiol</w:t>
      </w:r>
      <w:proofErr w:type="spellEnd"/>
      <w:r w:rsidR="00604FF1" w:rsidRPr="00604FF1">
        <w:rPr>
          <w:rFonts w:eastAsia="Calibri" w:cs="Times New Roman"/>
          <w:szCs w:val="24"/>
        </w:rPr>
        <w:t xml:space="preserve">. 8(8):591-3. </w:t>
      </w:r>
      <w:proofErr w:type="spellStart"/>
      <w:r w:rsidR="00604FF1" w:rsidRPr="00604FF1">
        <w:rPr>
          <w:rFonts w:eastAsia="Calibri" w:cs="Times New Roman"/>
          <w:szCs w:val="24"/>
        </w:rPr>
        <w:t>doi</w:t>
      </w:r>
      <w:proofErr w:type="spellEnd"/>
      <w:r w:rsidR="00604FF1" w:rsidRPr="00604FF1">
        <w:rPr>
          <w:rFonts w:eastAsia="Calibri" w:cs="Times New Roman"/>
          <w:szCs w:val="24"/>
        </w:rPr>
        <w:t>: 10.1016/j.jacr.2011.05.001.</w:t>
      </w:r>
    </w:p>
    <w:p w14:paraId="1B5D5537" w14:textId="6D060289" w:rsidR="00177323" w:rsidRPr="00177323" w:rsidRDefault="00177323" w:rsidP="00B83D49">
      <w:pPr>
        <w:spacing w:line="480" w:lineRule="auto"/>
        <w:ind w:left="284" w:hanging="284"/>
        <w:rPr>
          <w:rFonts w:eastAsia="Calibri" w:cs="Times New Roman"/>
          <w:szCs w:val="24"/>
        </w:rPr>
      </w:pPr>
      <w:r w:rsidRPr="00177323">
        <w:rPr>
          <w:rFonts w:eastAsia="Calibri" w:cs="Times New Roman"/>
          <w:szCs w:val="24"/>
        </w:rPr>
        <w:t xml:space="preserve">Smith-Bindman, R., </w:t>
      </w:r>
      <w:proofErr w:type="spellStart"/>
      <w:r w:rsidRPr="00177323">
        <w:rPr>
          <w:rFonts w:eastAsia="Calibri" w:cs="Times New Roman"/>
          <w:szCs w:val="24"/>
        </w:rPr>
        <w:t>Miglioretti</w:t>
      </w:r>
      <w:proofErr w:type="spellEnd"/>
      <w:r w:rsidRPr="00177323">
        <w:rPr>
          <w:rFonts w:eastAsia="Calibri" w:cs="Times New Roman"/>
          <w:szCs w:val="24"/>
        </w:rPr>
        <w:t xml:space="preserve">, D. L., </w:t>
      </w:r>
      <w:r w:rsidR="00A9592C">
        <w:rPr>
          <w:rFonts w:eastAsia="Calibri" w:cs="Times New Roman"/>
          <w:szCs w:val="24"/>
        </w:rPr>
        <w:t>McCollough</w:t>
      </w:r>
      <w:r w:rsidRPr="00177323">
        <w:rPr>
          <w:rFonts w:eastAsia="Calibri" w:cs="Times New Roman"/>
          <w:szCs w:val="24"/>
        </w:rPr>
        <w:t xml:space="preserve">, C. H., </w:t>
      </w:r>
      <w:proofErr w:type="spellStart"/>
      <w:r w:rsidRPr="00177323">
        <w:rPr>
          <w:rFonts w:eastAsia="Calibri" w:cs="Times New Roman"/>
          <w:szCs w:val="24"/>
        </w:rPr>
        <w:t>Leng</w:t>
      </w:r>
      <w:proofErr w:type="spellEnd"/>
      <w:r w:rsidRPr="00177323">
        <w:rPr>
          <w:rFonts w:eastAsia="Calibri" w:cs="Times New Roman"/>
          <w:szCs w:val="24"/>
        </w:rPr>
        <w:t xml:space="preserve">, S., Yu, L., Cody, D. D., Boone, </w:t>
      </w:r>
      <w:r w:rsidR="00A9592C">
        <w:rPr>
          <w:rFonts w:eastAsia="Calibri" w:cs="Times New Roman"/>
          <w:szCs w:val="24"/>
        </w:rPr>
        <w:t>J. M., McN</w:t>
      </w:r>
      <w:r w:rsidRPr="00177323">
        <w:rPr>
          <w:rFonts w:eastAsia="Calibri" w:cs="Times New Roman"/>
          <w:szCs w:val="24"/>
        </w:rPr>
        <w:t xml:space="preserve">itt-Gray, M. F. 2011. CTDI </w:t>
      </w:r>
      <w:r w:rsidRPr="00177323">
        <w:rPr>
          <w:rFonts w:eastAsia="Calibri" w:cs="Times New Roman"/>
          <w:szCs w:val="24"/>
          <w:vertAlign w:val="subscript"/>
        </w:rPr>
        <w:t>vol</w:t>
      </w:r>
      <w:r w:rsidRPr="00177323">
        <w:rPr>
          <w:rFonts w:eastAsia="Calibri" w:cs="Times New Roman"/>
          <w:szCs w:val="24"/>
        </w:rPr>
        <w:t>, DLP, and effective dose are excellent measures for use in CT quality improvement</w:t>
      </w:r>
      <w:r w:rsidR="00F77549">
        <w:rPr>
          <w:rFonts w:eastAsia="Calibri" w:cs="Times New Roman"/>
          <w:szCs w:val="24"/>
        </w:rPr>
        <w:t xml:space="preserve">. </w:t>
      </w:r>
      <w:r w:rsidRPr="00F77549">
        <w:rPr>
          <w:rFonts w:eastAsia="Calibri" w:cs="Times New Roman"/>
          <w:szCs w:val="24"/>
        </w:rPr>
        <w:t xml:space="preserve">Radiology. </w:t>
      </w:r>
      <w:r w:rsidR="00604FF1" w:rsidRPr="00604FF1">
        <w:rPr>
          <w:rFonts w:eastAsia="Calibri" w:cs="Times New Roman"/>
          <w:szCs w:val="24"/>
        </w:rPr>
        <w:t xml:space="preserve">261(3):999; </w:t>
      </w:r>
    </w:p>
    <w:p w14:paraId="669AD740" w14:textId="77777777" w:rsidR="00177323" w:rsidRPr="00177323" w:rsidRDefault="00177323" w:rsidP="00B83D49">
      <w:pPr>
        <w:spacing w:line="480" w:lineRule="auto"/>
        <w:ind w:left="284" w:hanging="284"/>
        <w:rPr>
          <w:rFonts w:eastAsia="Calibri" w:cs="Times New Roman"/>
          <w:szCs w:val="24"/>
        </w:rPr>
      </w:pPr>
      <w:r w:rsidRPr="00177323">
        <w:rPr>
          <w:rFonts w:eastAsia="Calibri" w:cs="Times New Roman"/>
          <w:szCs w:val="24"/>
        </w:rPr>
        <w:t xml:space="preserve">Smith-Bindman, R., Wang, Y., Chu, P., Chung, R., Einstein, A. J., Balcombe, J., Cocker, M., Das, M., </w:t>
      </w:r>
      <w:proofErr w:type="spellStart"/>
      <w:r w:rsidRPr="00177323">
        <w:rPr>
          <w:rFonts w:eastAsia="Calibri" w:cs="Times New Roman"/>
          <w:szCs w:val="24"/>
        </w:rPr>
        <w:t>Delman</w:t>
      </w:r>
      <w:proofErr w:type="spellEnd"/>
      <w:r w:rsidRPr="00177323">
        <w:rPr>
          <w:rFonts w:eastAsia="Calibri" w:cs="Times New Roman"/>
          <w:szCs w:val="24"/>
        </w:rPr>
        <w:t xml:space="preserve">, B. N., Flynn, M., Gould, R., Lee, R. K., Yellen-Nelson, T., </w:t>
      </w:r>
      <w:proofErr w:type="spellStart"/>
      <w:r w:rsidRPr="00177323">
        <w:rPr>
          <w:rFonts w:eastAsia="Calibri" w:cs="Times New Roman"/>
          <w:szCs w:val="24"/>
        </w:rPr>
        <w:t>Schindera</w:t>
      </w:r>
      <w:proofErr w:type="spellEnd"/>
      <w:r w:rsidRPr="00177323">
        <w:rPr>
          <w:rFonts w:eastAsia="Calibri" w:cs="Times New Roman"/>
          <w:szCs w:val="24"/>
        </w:rPr>
        <w:t xml:space="preserve">, S., Seibert, A., Starkey, J., </w:t>
      </w:r>
      <w:proofErr w:type="spellStart"/>
      <w:r w:rsidRPr="00177323">
        <w:rPr>
          <w:rFonts w:eastAsia="Calibri" w:cs="Times New Roman"/>
          <w:szCs w:val="24"/>
        </w:rPr>
        <w:t>Suntharalingam</w:t>
      </w:r>
      <w:proofErr w:type="spellEnd"/>
      <w:r w:rsidRPr="00177323">
        <w:rPr>
          <w:rFonts w:eastAsia="Calibri" w:cs="Times New Roman"/>
          <w:szCs w:val="24"/>
        </w:rPr>
        <w:t xml:space="preserve">, S., Wetter, A., </w:t>
      </w:r>
      <w:proofErr w:type="spellStart"/>
      <w:r w:rsidRPr="00177323">
        <w:rPr>
          <w:rFonts w:eastAsia="Calibri" w:cs="Times New Roman"/>
          <w:szCs w:val="24"/>
        </w:rPr>
        <w:t>Wildberger</w:t>
      </w:r>
      <w:proofErr w:type="spellEnd"/>
      <w:r w:rsidRPr="00177323">
        <w:rPr>
          <w:rFonts w:eastAsia="Calibri" w:cs="Times New Roman"/>
          <w:szCs w:val="24"/>
        </w:rPr>
        <w:t xml:space="preserve">, J. E., </w:t>
      </w:r>
      <w:proofErr w:type="spellStart"/>
      <w:r w:rsidRPr="00177323">
        <w:rPr>
          <w:rFonts w:eastAsia="Calibri" w:cs="Times New Roman"/>
          <w:szCs w:val="24"/>
        </w:rPr>
        <w:t>Miglioretti</w:t>
      </w:r>
      <w:proofErr w:type="spellEnd"/>
      <w:r w:rsidRPr="00177323">
        <w:rPr>
          <w:rFonts w:eastAsia="Calibri" w:cs="Times New Roman"/>
          <w:szCs w:val="24"/>
        </w:rPr>
        <w:t xml:space="preserve">, D. L. 2019. International variation in radiation dose for computed tomography examinations: Prospective cohort study. BMJ (Online). 364, 1–12. </w:t>
      </w:r>
    </w:p>
    <w:p w14:paraId="5D409BE6" w14:textId="1B66AE3C" w:rsidR="00177323" w:rsidRPr="00177323" w:rsidRDefault="00177323" w:rsidP="00B83D49">
      <w:pPr>
        <w:spacing w:line="480" w:lineRule="auto"/>
        <w:ind w:left="284" w:hanging="284"/>
        <w:rPr>
          <w:rFonts w:eastAsia="Calibri" w:cs="Times New Roman"/>
          <w:szCs w:val="24"/>
        </w:rPr>
      </w:pPr>
      <w:proofErr w:type="spellStart"/>
      <w:r w:rsidRPr="00177323">
        <w:rPr>
          <w:rFonts w:eastAsia="Calibri" w:cs="Times New Roman"/>
          <w:szCs w:val="24"/>
        </w:rPr>
        <w:t>Sodickson</w:t>
      </w:r>
      <w:proofErr w:type="spellEnd"/>
      <w:r w:rsidRPr="00177323">
        <w:rPr>
          <w:rFonts w:eastAsia="Calibri" w:cs="Times New Roman"/>
          <w:szCs w:val="24"/>
        </w:rPr>
        <w:t xml:space="preserve">, A., </w:t>
      </w:r>
      <w:proofErr w:type="spellStart"/>
      <w:r w:rsidRPr="00177323">
        <w:rPr>
          <w:rFonts w:eastAsia="Calibri" w:cs="Times New Roman"/>
          <w:szCs w:val="24"/>
        </w:rPr>
        <w:t>Baeyens</w:t>
      </w:r>
      <w:proofErr w:type="spellEnd"/>
      <w:r w:rsidRPr="00177323">
        <w:rPr>
          <w:rFonts w:eastAsia="Calibri" w:cs="Times New Roman"/>
          <w:szCs w:val="24"/>
        </w:rPr>
        <w:t xml:space="preserve">, P. F., Andriole, K. P., </w:t>
      </w:r>
      <w:proofErr w:type="spellStart"/>
      <w:r w:rsidRPr="00177323">
        <w:rPr>
          <w:rFonts w:eastAsia="Calibri" w:cs="Times New Roman"/>
          <w:szCs w:val="24"/>
        </w:rPr>
        <w:t>Prevedello</w:t>
      </w:r>
      <w:proofErr w:type="spellEnd"/>
      <w:r w:rsidRPr="00177323">
        <w:rPr>
          <w:rFonts w:eastAsia="Calibri" w:cs="Times New Roman"/>
          <w:szCs w:val="24"/>
        </w:rPr>
        <w:t xml:space="preserve">, L. M., </w:t>
      </w:r>
      <w:proofErr w:type="spellStart"/>
      <w:r w:rsidRPr="00177323">
        <w:rPr>
          <w:rFonts w:eastAsia="Calibri" w:cs="Times New Roman"/>
          <w:szCs w:val="24"/>
        </w:rPr>
        <w:t>Nawfel</w:t>
      </w:r>
      <w:proofErr w:type="spellEnd"/>
      <w:r w:rsidRPr="00177323">
        <w:rPr>
          <w:rFonts w:eastAsia="Calibri" w:cs="Times New Roman"/>
          <w:szCs w:val="24"/>
        </w:rPr>
        <w:t>, R. D</w:t>
      </w:r>
      <w:r>
        <w:rPr>
          <w:rFonts w:eastAsia="Calibri" w:cs="Times New Roman"/>
          <w:szCs w:val="24"/>
        </w:rPr>
        <w:t xml:space="preserve">., Hanson, R., </w:t>
      </w:r>
      <w:proofErr w:type="spellStart"/>
      <w:r w:rsidRPr="00177323">
        <w:rPr>
          <w:rFonts w:eastAsia="Calibri" w:cs="Times New Roman"/>
          <w:szCs w:val="24"/>
        </w:rPr>
        <w:t>Khorasani</w:t>
      </w:r>
      <w:proofErr w:type="spellEnd"/>
      <w:r w:rsidRPr="00177323">
        <w:rPr>
          <w:rFonts w:eastAsia="Calibri" w:cs="Times New Roman"/>
          <w:szCs w:val="24"/>
        </w:rPr>
        <w:t xml:space="preserve">, R. 2009. Recurrent CT, cumulative radiation exposure, and associated radiation-induced cancer risks from CT of adults. Radiology. 251(1), 175–184. </w:t>
      </w:r>
    </w:p>
    <w:p w14:paraId="12A9A4BE" w14:textId="77777777" w:rsidR="00177323" w:rsidRPr="00F77549" w:rsidRDefault="00177323" w:rsidP="00B83D49">
      <w:pPr>
        <w:spacing w:line="480" w:lineRule="auto"/>
        <w:ind w:left="284" w:hanging="284"/>
        <w:rPr>
          <w:rFonts w:eastAsia="Calibri" w:cs="Times New Roman"/>
          <w:szCs w:val="24"/>
        </w:rPr>
      </w:pPr>
      <w:r w:rsidRPr="00177323">
        <w:rPr>
          <w:rFonts w:eastAsia="Calibri" w:cs="Times New Roman"/>
          <w:szCs w:val="24"/>
        </w:rPr>
        <w:t xml:space="preserve">Strauss, K. J. 2014. Developing patient-specific dose protocols for a CT scanner and exam </w:t>
      </w:r>
      <w:r w:rsidRPr="00F77549">
        <w:rPr>
          <w:rFonts w:eastAsia="Calibri" w:cs="Times New Roman"/>
          <w:szCs w:val="24"/>
        </w:rPr>
        <w:t xml:space="preserve">using diagnostic reference levels. In Pediatric Radiology. 44 (3), 479–488. </w:t>
      </w:r>
    </w:p>
    <w:p w14:paraId="1121CCDE" w14:textId="55D92D2E" w:rsidR="00177323" w:rsidRPr="00177323" w:rsidRDefault="00177323" w:rsidP="00B83D49">
      <w:pPr>
        <w:spacing w:line="480" w:lineRule="auto"/>
        <w:ind w:left="284" w:hanging="284"/>
        <w:rPr>
          <w:rFonts w:eastAsia="Calibri" w:cs="Times New Roman"/>
          <w:szCs w:val="24"/>
        </w:rPr>
      </w:pPr>
      <w:proofErr w:type="spellStart"/>
      <w:r w:rsidRPr="00F77549">
        <w:rPr>
          <w:rFonts w:eastAsia="Calibri" w:cs="Times New Roman"/>
          <w:szCs w:val="24"/>
        </w:rPr>
        <w:t>Toori</w:t>
      </w:r>
      <w:proofErr w:type="spellEnd"/>
      <w:r w:rsidRPr="00F77549">
        <w:rPr>
          <w:rFonts w:eastAsia="Calibri" w:cs="Times New Roman"/>
          <w:szCs w:val="24"/>
        </w:rPr>
        <w:t xml:space="preserve">, J., A., </w:t>
      </w:r>
      <w:proofErr w:type="spellStart"/>
      <w:r w:rsidRPr="00F77549">
        <w:rPr>
          <w:rFonts w:eastAsia="Calibri" w:cs="Times New Roman"/>
          <w:szCs w:val="24"/>
        </w:rPr>
        <w:t>Shabestani-Monfared</w:t>
      </w:r>
      <w:proofErr w:type="spellEnd"/>
      <w:r w:rsidRPr="00F77549">
        <w:rPr>
          <w:rFonts w:eastAsia="Calibri" w:cs="Times New Roman"/>
          <w:szCs w:val="24"/>
        </w:rPr>
        <w:t xml:space="preserve">, A., </w:t>
      </w:r>
      <w:proofErr w:type="spellStart"/>
      <w:r w:rsidRPr="00F77549">
        <w:rPr>
          <w:rFonts w:eastAsia="Calibri" w:cs="Times New Roman"/>
          <w:szCs w:val="24"/>
        </w:rPr>
        <w:t>Deevband</w:t>
      </w:r>
      <w:proofErr w:type="spellEnd"/>
      <w:r w:rsidRPr="00F77549">
        <w:rPr>
          <w:rFonts w:eastAsia="Calibri" w:cs="Times New Roman"/>
          <w:szCs w:val="24"/>
        </w:rPr>
        <w:t xml:space="preserve">, M. R., </w:t>
      </w:r>
      <w:proofErr w:type="spellStart"/>
      <w:r w:rsidRPr="00F77549">
        <w:rPr>
          <w:rFonts w:eastAsia="Calibri" w:cs="Times New Roman"/>
          <w:szCs w:val="24"/>
        </w:rPr>
        <w:t>Nabahati</w:t>
      </w:r>
      <w:proofErr w:type="spellEnd"/>
      <w:r w:rsidRPr="00F77549">
        <w:rPr>
          <w:rFonts w:eastAsia="Calibri" w:cs="Times New Roman"/>
          <w:szCs w:val="24"/>
        </w:rPr>
        <w:t xml:space="preserve">, M. 2015. </w:t>
      </w:r>
      <w:r w:rsidR="00916809" w:rsidRPr="00916809">
        <w:rPr>
          <w:rFonts w:eastAsia="Calibri" w:cs="Times New Roman"/>
          <w:szCs w:val="24"/>
        </w:rPr>
        <w:t xml:space="preserve">Dose Assessment in Computed Tomography Examination and Establishment of Local Diagnostic Reference Levels in Mazandaran, Iran. Journal of </w:t>
      </w:r>
      <w:r w:rsidR="00F77549">
        <w:rPr>
          <w:rFonts w:eastAsia="Calibri" w:cs="Times New Roman"/>
          <w:szCs w:val="24"/>
        </w:rPr>
        <w:t>B</w:t>
      </w:r>
      <w:r w:rsidR="00916809" w:rsidRPr="00916809">
        <w:rPr>
          <w:rFonts w:eastAsia="Calibri" w:cs="Times New Roman"/>
          <w:szCs w:val="24"/>
        </w:rPr>
        <w:t xml:space="preserve">iomedical </w:t>
      </w:r>
      <w:r w:rsidR="00F77549">
        <w:rPr>
          <w:rFonts w:eastAsia="Calibri" w:cs="Times New Roman"/>
          <w:szCs w:val="24"/>
        </w:rPr>
        <w:t>P</w:t>
      </w:r>
      <w:r w:rsidR="00916809" w:rsidRPr="00916809">
        <w:rPr>
          <w:rFonts w:eastAsia="Calibri" w:cs="Times New Roman"/>
          <w:szCs w:val="24"/>
        </w:rPr>
        <w:t xml:space="preserve">hysics &amp; </w:t>
      </w:r>
      <w:r w:rsidR="00F77549">
        <w:rPr>
          <w:rFonts w:eastAsia="Calibri" w:cs="Times New Roman"/>
          <w:szCs w:val="24"/>
        </w:rPr>
        <w:t>E</w:t>
      </w:r>
      <w:r w:rsidR="00916809" w:rsidRPr="00916809">
        <w:rPr>
          <w:rFonts w:eastAsia="Calibri" w:cs="Times New Roman"/>
          <w:szCs w:val="24"/>
        </w:rPr>
        <w:t>ngineering, 5(4), 177–184.</w:t>
      </w:r>
    </w:p>
    <w:p w14:paraId="58BD0AD5" w14:textId="77777777" w:rsidR="00177323" w:rsidRPr="00177323" w:rsidRDefault="00177323" w:rsidP="00B83D49">
      <w:pPr>
        <w:spacing w:line="480" w:lineRule="auto"/>
        <w:ind w:left="284" w:hanging="284"/>
        <w:rPr>
          <w:rFonts w:eastAsia="Calibri" w:cs="Times New Roman"/>
          <w:szCs w:val="24"/>
        </w:rPr>
      </w:pPr>
      <w:proofErr w:type="spellStart"/>
      <w:r w:rsidRPr="00177323">
        <w:rPr>
          <w:rFonts w:eastAsia="Calibri" w:cs="Times New Roman"/>
          <w:szCs w:val="24"/>
        </w:rPr>
        <w:t>Tsapaki</w:t>
      </w:r>
      <w:proofErr w:type="spellEnd"/>
      <w:r w:rsidRPr="00177323">
        <w:rPr>
          <w:rFonts w:eastAsia="Calibri" w:cs="Times New Roman"/>
          <w:szCs w:val="24"/>
        </w:rPr>
        <w:t xml:space="preserve">, V., Aldrich, J. E., Sharma, R., </w:t>
      </w:r>
      <w:proofErr w:type="spellStart"/>
      <w:r w:rsidRPr="00177323">
        <w:rPr>
          <w:rFonts w:eastAsia="Calibri" w:cs="Times New Roman"/>
          <w:szCs w:val="24"/>
        </w:rPr>
        <w:t>Staniszewska</w:t>
      </w:r>
      <w:proofErr w:type="spellEnd"/>
      <w:r w:rsidRPr="00177323">
        <w:rPr>
          <w:rFonts w:eastAsia="Calibri" w:cs="Times New Roman"/>
          <w:szCs w:val="24"/>
        </w:rPr>
        <w:t xml:space="preserve">, M. A., </w:t>
      </w:r>
      <w:proofErr w:type="spellStart"/>
      <w:r w:rsidRPr="00177323">
        <w:rPr>
          <w:rFonts w:eastAsia="Calibri" w:cs="Times New Roman"/>
          <w:szCs w:val="24"/>
        </w:rPr>
        <w:t>Krisanachinda</w:t>
      </w:r>
      <w:proofErr w:type="spellEnd"/>
      <w:r w:rsidRPr="00177323">
        <w:rPr>
          <w:rFonts w:eastAsia="Calibri" w:cs="Times New Roman"/>
          <w:szCs w:val="24"/>
        </w:rPr>
        <w:t xml:space="preserve">, A., Rehani, M., </w:t>
      </w:r>
      <w:proofErr w:type="spellStart"/>
      <w:r w:rsidRPr="00177323">
        <w:rPr>
          <w:rFonts w:eastAsia="Calibri" w:cs="Times New Roman"/>
          <w:szCs w:val="24"/>
        </w:rPr>
        <w:t>Hufton</w:t>
      </w:r>
      <w:proofErr w:type="spellEnd"/>
      <w:r w:rsidRPr="00177323">
        <w:rPr>
          <w:rFonts w:eastAsia="Calibri" w:cs="Times New Roman"/>
          <w:szCs w:val="24"/>
        </w:rPr>
        <w:t xml:space="preserve">, A., </w:t>
      </w:r>
      <w:proofErr w:type="spellStart"/>
      <w:r w:rsidRPr="00177323">
        <w:rPr>
          <w:rFonts w:eastAsia="Calibri" w:cs="Times New Roman"/>
          <w:szCs w:val="24"/>
        </w:rPr>
        <w:t>Triantopoulou</w:t>
      </w:r>
      <w:proofErr w:type="spellEnd"/>
      <w:r w:rsidRPr="00177323">
        <w:rPr>
          <w:rFonts w:eastAsia="Calibri" w:cs="Times New Roman"/>
          <w:szCs w:val="24"/>
        </w:rPr>
        <w:t xml:space="preserve">, C., </w:t>
      </w:r>
      <w:proofErr w:type="spellStart"/>
      <w:r w:rsidRPr="00177323">
        <w:rPr>
          <w:rFonts w:eastAsia="Calibri" w:cs="Times New Roman"/>
          <w:szCs w:val="24"/>
        </w:rPr>
        <w:t>Maniatis</w:t>
      </w:r>
      <w:proofErr w:type="spellEnd"/>
      <w:r w:rsidRPr="00177323">
        <w:rPr>
          <w:rFonts w:eastAsia="Calibri" w:cs="Times New Roman"/>
          <w:szCs w:val="24"/>
        </w:rPr>
        <w:t xml:space="preserve">, P. N., </w:t>
      </w:r>
      <w:proofErr w:type="spellStart"/>
      <w:r w:rsidRPr="00177323">
        <w:rPr>
          <w:rFonts w:eastAsia="Calibri" w:cs="Times New Roman"/>
          <w:szCs w:val="24"/>
        </w:rPr>
        <w:t>Papailiou</w:t>
      </w:r>
      <w:proofErr w:type="spellEnd"/>
      <w:r w:rsidRPr="00177323">
        <w:rPr>
          <w:rFonts w:eastAsia="Calibri" w:cs="Times New Roman"/>
          <w:szCs w:val="24"/>
        </w:rPr>
        <w:t xml:space="preserve">, J., Prokop, M. 2006. Dose reduction in CT while maintaining diagnostic confidence: Diagnostic Reference Levels at routine head, chest, and abdominal CT-IAEA-Coordinated Research Project 1. Radiology. 240(3). </w:t>
      </w:r>
    </w:p>
    <w:p w14:paraId="67557155" w14:textId="1B26D1C3" w:rsidR="00177323" w:rsidRPr="00177323" w:rsidRDefault="00177323" w:rsidP="00B83D49">
      <w:pPr>
        <w:spacing w:line="480" w:lineRule="auto"/>
        <w:ind w:left="284" w:hanging="284"/>
        <w:rPr>
          <w:rFonts w:eastAsia="Calibri" w:cs="Times New Roman"/>
          <w:szCs w:val="24"/>
        </w:rPr>
      </w:pPr>
      <w:r w:rsidRPr="00177323">
        <w:rPr>
          <w:rFonts w:eastAsia="Calibri" w:cs="Times New Roman"/>
          <w:szCs w:val="24"/>
        </w:rPr>
        <w:t xml:space="preserve">Vetter, R. J. 2008. ICRP Publication 103, The Recommendations of the International </w:t>
      </w:r>
      <w:r w:rsidR="00C65955">
        <w:rPr>
          <w:rFonts w:eastAsia="Calibri" w:cs="Times New Roman"/>
          <w:szCs w:val="24"/>
        </w:rPr>
        <w:t>`</w:t>
      </w:r>
      <w:r w:rsidRPr="00177323">
        <w:rPr>
          <w:rFonts w:eastAsia="Calibri" w:cs="Times New Roman"/>
          <w:szCs w:val="24"/>
        </w:rPr>
        <w:t xml:space="preserve">Commission on Radiological Protection. Health Physics. 95(4), 445–446. </w:t>
      </w:r>
      <w:r w:rsidR="00561079">
        <w:rPr>
          <w:rFonts w:eastAsia="Calibri" w:cs="Times New Roman"/>
          <w:szCs w:val="24"/>
        </w:rPr>
        <w:t xml:space="preserve"> </w:t>
      </w:r>
    </w:p>
    <w:p w14:paraId="0F720751" w14:textId="77777777" w:rsidR="005542E3" w:rsidRPr="00182BA6" w:rsidRDefault="00177323" w:rsidP="00B83D49">
      <w:pPr>
        <w:spacing w:line="480" w:lineRule="auto"/>
        <w:ind w:left="284" w:hanging="284"/>
        <w:rPr>
          <w:rFonts w:eastAsia="Calibri" w:cs="Times New Roman"/>
          <w:szCs w:val="24"/>
        </w:rPr>
      </w:pPr>
      <w:r w:rsidRPr="00182BA6">
        <w:rPr>
          <w:rFonts w:eastAsia="Calibri" w:cs="Times New Roman"/>
          <w:szCs w:val="24"/>
        </w:rPr>
        <w:t xml:space="preserve">WHO 2021. World Health Organization Imaging Modalities. </w:t>
      </w:r>
    </w:p>
    <w:p w14:paraId="53E9AF8E" w14:textId="2EEA6737" w:rsidR="00177323" w:rsidRPr="00177323" w:rsidRDefault="005542E3" w:rsidP="00B83D49">
      <w:pPr>
        <w:spacing w:line="480" w:lineRule="auto"/>
        <w:ind w:left="284" w:hanging="284"/>
        <w:rPr>
          <w:rFonts w:eastAsia="Calibri" w:cs="Times New Roman"/>
          <w:szCs w:val="24"/>
        </w:rPr>
      </w:pPr>
      <w:r w:rsidRPr="00182BA6">
        <w:rPr>
          <w:rFonts w:eastAsia="Calibri" w:cs="Times New Roman"/>
          <w:szCs w:val="24"/>
        </w:rPr>
        <w:tab/>
      </w:r>
      <w:r w:rsidR="00177323" w:rsidRPr="00182BA6">
        <w:rPr>
          <w:rFonts w:eastAsia="Calibri" w:cs="Times New Roman"/>
          <w:szCs w:val="24"/>
        </w:rPr>
        <w:t>https://www.who.int/diagnostic</w:t>
      </w:r>
      <w:r w:rsidR="00177323" w:rsidRPr="00177323">
        <w:rPr>
          <w:rFonts w:eastAsia="Calibri" w:cs="Times New Roman"/>
          <w:szCs w:val="24"/>
        </w:rPr>
        <w:t>_imaging/imaging_modalities/dim_comptomography/en/</w:t>
      </w:r>
    </w:p>
    <w:p w14:paraId="4700C715" w14:textId="77777777" w:rsidR="00177323" w:rsidRPr="00177323" w:rsidRDefault="00177323" w:rsidP="00B83D49">
      <w:pPr>
        <w:spacing w:line="480" w:lineRule="auto"/>
        <w:ind w:left="284" w:hanging="284"/>
        <w:rPr>
          <w:rFonts w:eastAsia="Calibri" w:cs="Times New Roman"/>
          <w:szCs w:val="24"/>
        </w:rPr>
      </w:pPr>
      <w:proofErr w:type="spellStart"/>
      <w:r w:rsidRPr="00177323">
        <w:rPr>
          <w:rFonts w:eastAsia="Calibri" w:cs="Times New Roman"/>
          <w:szCs w:val="24"/>
        </w:rPr>
        <w:t>Zarb</w:t>
      </w:r>
      <w:proofErr w:type="spellEnd"/>
      <w:r w:rsidRPr="00177323">
        <w:rPr>
          <w:rFonts w:eastAsia="Calibri" w:cs="Times New Roman"/>
          <w:szCs w:val="24"/>
        </w:rPr>
        <w:t xml:space="preserve">, F., Rainford, L., McEntee, M. F. 2011. Developing optimized CT scan protocols: Phantom measurements of image quality. Radiography. 17(2), 109–114. </w:t>
      </w:r>
    </w:p>
    <w:sectPr w:rsidR="00177323" w:rsidRPr="00177323" w:rsidSect="000A6429">
      <w:footerReference w:type="default" r:id="rId16"/>
      <w:pgSz w:w="11906" w:h="16838"/>
      <w:pgMar w:top="1440" w:right="1440" w:bottom="1440" w:left="1440"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A745" w14:textId="77777777" w:rsidR="00173DFE" w:rsidRDefault="00173DFE" w:rsidP="00187499">
      <w:r>
        <w:separator/>
      </w:r>
    </w:p>
  </w:endnote>
  <w:endnote w:type="continuationSeparator" w:id="0">
    <w:p w14:paraId="6A424743" w14:textId="77777777" w:rsidR="00173DFE" w:rsidRDefault="00173DFE" w:rsidP="0018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470294"/>
      <w:docPartObj>
        <w:docPartGallery w:val="Page Numbers (Bottom of Page)"/>
        <w:docPartUnique/>
      </w:docPartObj>
    </w:sdtPr>
    <w:sdtEndPr>
      <w:rPr>
        <w:noProof/>
      </w:rPr>
    </w:sdtEndPr>
    <w:sdtContent>
      <w:p w14:paraId="3F40FB44" w14:textId="4672D99E" w:rsidR="008F7FF8" w:rsidRDefault="008F7FF8">
        <w:pPr>
          <w:pStyle w:val="Footer"/>
          <w:jc w:val="center"/>
        </w:pPr>
        <w:r>
          <w:fldChar w:fldCharType="begin"/>
        </w:r>
        <w:r>
          <w:instrText xml:space="preserve"> PAGE   \* MERGEFORMAT </w:instrText>
        </w:r>
        <w:r>
          <w:fldChar w:fldCharType="separate"/>
        </w:r>
        <w:r w:rsidR="000B40DC">
          <w:rPr>
            <w:noProof/>
          </w:rPr>
          <w:t>11</w:t>
        </w:r>
        <w:r>
          <w:rPr>
            <w:noProof/>
          </w:rPr>
          <w:fldChar w:fldCharType="end"/>
        </w:r>
      </w:p>
    </w:sdtContent>
  </w:sdt>
  <w:p w14:paraId="17B3A076" w14:textId="77777777" w:rsidR="008F7FF8" w:rsidRDefault="008F7FF8">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695986"/>
      <w:docPartObj>
        <w:docPartGallery w:val="Page Numbers (Bottom of Page)"/>
        <w:docPartUnique/>
      </w:docPartObj>
    </w:sdtPr>
    <w:sdtEndPr>
      <w:rPr>
        <w:noProof/>
      </w:rPr>
    </w:sdtEndPr>
    <w:sdtContent>
      <w:p w14:paraId="62AB4500" w14:textId="77777777" w:rsidR="008F7FF8" w:rsidRDefault="008F7FF8">
        <w:pPr>
          <w:pStyle w:val="Header"/>
          <w:jc w:val="center"/>
        </w:pPr>
        <w:r>
          <w:fldChar w:fldCharType="begin"/>
        </w:r>
        <w:r>
          <w:instrText xml:space="preserve"> PAGE   \* MERGEFORMAT </w:instrText>
        </w:r>
        <w:r>
          <w:fldChar w:fldCharType="separate"/>
        </w:r>
        <w:r w:rsidR="000B40DC">
          <w:rPr>
            <w:noProof/>
          </w:rPr>
          <w:t>12</w:t>
        </w:r>
        <w:r>
          <w:rPr>
            <w:noProof/>
          </w:rPr>
          <w:fldChar w:fldCharType="end"/>
        </w:r>
      </w:p>
    </w:sdtContent>
  </w:sdt>
  <w:p w14:paraId="5F82EECF" w14:textId="77777777" w:rsidR="008F7FF8" w:rsidRDefault="008F7FF8">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663302"/>
      <w:docPartObj>
        <w:docPartGallery w:val="Page Numbers (Bottom of Page)"/>
        <w:docPartUnique/>
      </w:docPartObj>
    </w:sdtPr>
    <w:sdtEndPr>
      <w:rPr>
        <w:noProof/>
      </w:rPr>
    </w:sdtEndPr>
    <w:sdtContent>
      <w:p w14:paraId="03884A86" w14:textId="6F8BC3FA" w:rsidR="008F7FF8" w:rsidRDefault="008F7FF8">
        <w:pPr>
          <w:pStyle w:val="Footer"/>
          <w:jc w:val="center"/>
        </w:pPr>
        <w:r>
          <w:fldChar w:fldCharType="begin"/>
        </w:r>
        <w:r>
          <w:instrText xml:space="preserve"> PAGE   \* MERGEFORMAT </w:instrText>
        </w:r>
        <w:r>
          <w:fldChar w:fldCharType="separate"/>
        </w:r>
        <w:r w:rsidR="000B40DC">
          <w:rPr>
            <w:noProof/>
          </w:rPr>
          <w:t>20</w:t>
        </w:r>
        <w:r>
          <w:rPr>
            <w:noProof/>
          </w:rPr>
          <w:fldChar w:fldCharType="end"/>
        </w:r>
      </w:p>
    </w:sdtContent>
  </w:sdt>
  <w:p w14:paraId="613E68F3" w14:textId="77777777" w:rsidR="008F7FF8" w:rsidRDefault="008F7FF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8E0D" w14:textId="77777777" w:rsidR="00173DFE" w:rsidRDefault="00173DFE" w:rsidP="00187499">
      <w:r>
        <w:separator/>
      </w:r>
    </w:p>
  </w:footnote>
  <w:footnote w:type="continuationSeparator" w:id="0">
    <w:p w14:paraId="2901D1A3" w14:textId="77777777" w:rsidR="00173DFE" w:rsidRDefault="00173DFE" w:rsidP="0018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3A3"/>
    <w:multiLevelType w:val="hybridMultilevel"/>
    <w:tmpl w:val="D3D0583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CFD1135"/>
    <w:multiLevelType w:val="hybridMultilevel"/>
    <w:tmpl w:val="8AC2D6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E9235E2"/>
    <w:multiLevelType w:val="hybridMultilevel"/>
    <w:tmpl w:val="5B08D05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17032B2"/>
    <w:multiLevelType w:val="multilevel"/>
    <w:tmpl w:val="31FA9DBA"/>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A16C8C"/>
    <w:multiLevelType w:val="hybridMultilevel"/>
    <w:tmpl w:val="F55A3B16"/>
    <w:lvl w:ilvl="0" w:tplc="681A2CFA">
      <w:start w:val="1"/>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5" w15:restartNumberingAfterBreak="0">
    <w:nsid w:val="51F73075"/>
    <w:multiLevelType w:val="multilevel"/>
    <w:tmpl w:val="A96E4DBC"/>
    <w:lvl w:ilvl="0">
      <w:start w:val="1"/>
      <w:numFmt w:val="decimal"/>
      <w:lvlText w:val="%1."/>
      <w:lvlJc w:val="left"/>
      <w:pPr>
        <w:ind w:left="1077" w:hanging="360"/>
      </w:pPr>
      <w:rPr>
        <w:rFonts w:hint="default"/>
      </w:rPr>
    </w:lvl>
    <w:lvl w:ilvl="1">
      <w:start w:val="2"/>
      <w:numFmt w:val="decimal"/>
      <w:isLgl/>
      <w:lvlText w:val="%1.%2"/>
      <w:lvlJc w:val="left"/>
      <w:pPr>
        <w:ind w:left="1257" w:hanging="540"/>
      </w:pPr>
      <w:rPr>
        <w:rFonts w:hint="default"/>
      </w:rPr>
    </w:lvl>
    <w:lvl w:ilvl="2">
      <w:start w:val="2"/>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157" w:hanging="1440"/>
      </w:pPr>
      <w:rPr>
        <w:rFonts w:hint="default"/>
      </w:rPr>
    </w:lvl>
  </w:abstractNum>
  <w:abstractNum w:abstractNumId="6" w15:restartNumberingAfterBreak="0">
    <w:nsid w:val="52391B38"/>
    <w:multiLevelType w:val="hybridMultilevel"/>
    <w:tmpl w:val="084EDAF4"/>
    <w:lvl w:ilvl="0" w:tplc="317A62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970CF"/>
    <w:multiLevelType w:val="multilevel"/>
    <w:tmpl w:val="183C1196"/>
    <w:lvl w:ilvl="0">
      <w:start w:val="1"/>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2"/>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8" w15:restartNumberingAfterBreak="0">
    <w:nsid w:val="72A157F1"/>
    <w:multiLevelType w:val="hybridMultilevel"/>
    <w:tmpl w:val="01EAB1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96102514">
    <w:abstractNumId w:val="7"/>
  </w:num>
  <w:num w:numId="2" w16cid:durableId="1591961738">
    <w:abstractNumId w:val="4"/>
  </w:num>
  <w:num w:numId="3" w16cid:durableId="1566531550">
    <w:abstractNumId w:val="5"/>
  </w:num>
  <w:num w:numId="4" w16cid:durableId="973415327">
    <w:abstractNumId w:val="2"/>
  </w:num>
  <w:num w:numId="5" w16cid:durableId="1457529830">
    <w:abstractNumId w:val="0"/>
  </w:num>
  <w:num w:numId="6" w16cid:durableId="1936744276">
    <w:abstractNumId w:val="1"/>
  </w:num>
  <w:num w:numId="7" w16cid:durableId="1917472990">
    <w:abstractNumId w:val="8"/>
  </w:num>
  <w:num w:numId="8" w16cid:durableId="516816908">
    <w:abstractNumId w:val="3"/>
  </w:num>
  <w:num w:numId="9" w16cid:durableId="68317015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AC"/>
    <w:rsid w:val="00003820"/>
    <w:rsid w:val="000038F2"/>
    <w:rsid w:val="00004405"/>
    <w:rsid w:val="00005452"/>
    <w:rsid w:val="00005524"/>
    <w:rsid w:val="00007B12"/>
    <w:rsid w:val="00007EB8"/>
    <w:rsid w:val="00010BEF"/>
    <w:rsid w:val="00010CD3"/>
    <w:rsid w:val="00012123"/>
    <w:rsid w:val="00013347"/>
    <w:rsid w:val="00014EC9"/>
    <w:rsid w:val="0001511E"/>
    <w:rsid w:val="00017B0D"/>
    <w:rsid w:val="00020691"/>
    <w:rsid w:val="000220F8"/>
    <w:rsid w:val="0002324A"/>
    <w:rsid w:val="000248EA"/>
    <w:rsid w:val="00025E04"/>
    <w:rsid w:val="0003382B"/>
    <w:rsid w:val="000352BB"/>
    <w:rsid w:val="00035390"/>
    <w:rsid w:val="000360CD"/>
    <w:rsid w:val="00040748"/>
    <w:rsid w:val="000427F7"/>
    <w:rsid w:val="00044533"/>
    <w:rsid w:val="00046519"/>
    <w:rsid w:val="0004669F"/>
    <w:rsid w:val="00046E5D"/>
    <w:rsid w:val="000512FD"/>
    <w:rsid w:val="000532AD"/>
    <w:rsid w:val="000534A1"/>
    <w:rsid w:val="00054E61"/>
    <w:rsid w:val="00055598"/>
    <w:rsid w:val="00056065"/>
    <w:rsid w:val="00060370"/>
    <w:rsid w:val="00060D56"/>
    <w:rsid w:val="0006138A"/>
    <w:rsid w:val="000621AF"/>
    <w:rsid w:val="00062FA0"/>
    <w:rsid w:val="00064E6C"/>
    <w:rsid w:val="000659B1"/>
    <w:rsid w:val="000662EE"/>
    <w:rsid w:val="00066C7C"/>
    <w:rsid w:val="00072A19"/>
    <w:rsid w:val="00075867"/>
    <w:rsid w:val="00077E81"/>
    <w:rsid w:val="00080329"/>
    <w:rsid w:val="0008123D"/>
    <w:rsid w:val="00083052"/>
    <w:rsid w:val="0008378E"/>
    <w:rsid w:val="0008398A"/>
    <w:rsid w:val="000852E8"/>
    <w:rsid w:val="000857A2"/>
    <w:rsid w:val="00085C96"/>
    <w:rsid w:val="00085F6F"/>
    <w:rsid w:val="00085FCF"/>
    <w:rsid w:val="00090DEB"/>
    <w:rsid w:val="000913E5"/>
    <w:rsid w:val="0009192B"/>
    <w:rsid w:val="0009296F"/>
    <w:rsid w:val="0009322F"/>
    <w:rsid w:val="000941A3"/>
    <w:rsid w:val="00095A9F"/>
    <w:rsid w:val="00097A06"/>
    <w:rsid w:val="000A0DBB"/>
    <w:rsid w:val="000A1801"/>
    <w:rsid w:val="000A5576"/>
    <w:rsid w:val="000A5A4E"/>
    <w:rsid w:val="000A5C37"/>
    <w:rsid w:val="000A5DD8"/>
    <w:rsid w:val="000A6429"/>
    <w:rsid w:val="000B34D1"/>
    <w:rsid w:val="000B38C6"/>
    <w:rsid w:val="000B40DC"/>
    <w:rsid w:val="000B4DFB"/>
    <w:rsid w:val="000B7C70"/>
    <w:rsid w:val="000C102E"/>
    <w:rsid w:val="000C1314"/>
    <w:rsid w:val="000C1357"/>
    <w:rsid w:val="000C23DE"/>
    <w:rsid w:val="000C47DF"/>
    <w:rsid w:val="000C534E"/>
    <w:rsid w:val="000C5606"/>
    <w:rsid w:val="000C6CB2"/>
    <w:rsid w:val="000D05DC"/>
    <w:rsid w:val="000D20B7"/>
    <w:rsid w:val="000D22A4"/>
    <w:rsid w:val="000D3ED0"/>
    <w:rsid w:val="000D578A"/>
    <w:rsid w:val="000D5CF3"/>
    <w:rsid w:val="000E40D0"/>
    <w:rsid w:val="000E5341"/>
    <w:rsid w:val="000E76BE"/>
    <w:rsid w:val="000F2F67"/>
    <w:rsid w:val="000F30D3"/>
    <w:rsid w:val="000F3769"/>
    <w:rsid w:val="000F38E1"/>
    <w:rsid w:val="000F3D70"/>
    <w:rsid w:val="000F4C11"/>
    <w:rsid w:val="000F6352"/>
    <w:rsid w:val="001013F7"/>
    <w:rsid w:val="00101EC2"/>
    <w:rsid w:val="00102DA8"/>
    <w:rsid w:val="00103471"/>
    <w:rsid w:val="00106F6C"/>
    <w:rsid w:val="001074F9"/>
    <w:rsid w:val="00107F0C"/>
    <w:rsid w:val="0011169C"/>
    <w:rsid w:val="00111926"/>
    <w:rsid w:val="00112F30"/>
    <w:rsid w:val="0011756C"/>
    <w:rsid w:val="00117DA5"/>
    <w:rsid w:val="00117DF9"/>
    <w:rsid w:val="00120A25"/>
    <w:rsid w:val="00122E52"/>
    <w:rsid w:val="00123C1C"/>
    <w:rsid w:val="00126E67"/>
    <w:rsid w:val="00127B41"/>
    <w:rsid w:val="00134038"/>
    <w:rsid w:val="00134E46"/>
    <w:rsid w:val="00136508"/>
    <w:rsid w:val="00137AFD"/>
    <w:rsid w:val="001408B8"/>
    <w:rsid w:val="00141042"/>
    <w:rsid w:val="00141E91"/>
    <w:rsid w:val="0014290C"/>
    <w:rsid w:val="00142931"/>
    <w:rsid w:val="00144C0B"/>
    <w:rsid w:val="001479B0"/>
    <w:rsid w:val="00155061"/>
    <w:rsid w:val="00156EAA"/>
    <w:rsid w:val="001575DC"/>
    <w:rsid w:val="00157721"/>
    <w:rsid w:val="00160A6A"/>
    <w:rsid w:val="00161BDB"/>
    <w:rsid w:val="001626B6"/>
    <w:rsid w:val="00164E84"/>
    <w:rsid w:val="001650E3"/>
    <w:rsid w:val="001657D2"/>
    <w:rsid w:val="00165A43"/>
    <w:rsid w:val="00165BBF"/>
    <w:rsid w:val="0017128E"/>
    <w:rsid w:val="0017145B"/>
    <w:rsid w:val="001716B5"/>
    <w:rsid w:val="00171855"/>
    <w:rsid w:val="00171A97"/>
    <w:rsid w:val="001732AB"/>
    <w:rsid w:val="00173A37"/>
    <w:rsid w:val="00173DFE"/>
    <w:rsid w:val="001770BC"/>
    <w:rsid w:val="00177323"/>
    <w:rsid w:val="00180309"/>
    <w:rsid w:val="00180CFB"/>
    <w:rsid w:val="00181706"/>
    <w:rsid w:val="00181C04"/>
    <w:rsid w:val="0018265F"/>
    <w:rsid w:val="00182BA6"/>
    <w:rsid w:val="00182CD1"/>
    <w:rsid w:val="00185C01"/>
    <w:rsid w:val="00187499"/>
    <w:rsid w:val="00187BE1"/>
    <w:rsid w:val="0019032A"/>
    <w:rsid w:val="00190EEE"/>
    <w:rsid w:val="0019139F"/>
    <w:rsid w:val="00194692"/>
    <w:rsid w:val="00194AF9"/>
    <w:rsid w:val="001A139F"/>
    <w:rsid w:val="001A172C"/>
    <w:rsid w:val="001A1F25"/>
    <w:rsid w:val="001A25F3"/>
    <w:rsid w:val="001A5E10"/>
    <w:rsid w:val="001A6649"/>
    <w:rsid w:val="001B33F7"/>
    <w:rsid w:val="001B3D68"/>
    <w:rsid w:val="001B43C3"/>
    <w:rsid w:val="001B51E3"/>
    <w:rsid w:val="001C0FAF"/>
    <w:rsid w:val="001C1565"/>
    <w:rsid w:val="001C1E51"/>
    <w:rsid w:val="001C2569"/>
    <w:rsid w:val="001C2DB5"/>
    <w:rsid w:val="001C3476"/>
    <w:rsid w:val="001C3D41"/>
    <w:rsid w:val="001C460C"/>
    <w:rsid w:val="001C5EC6"/>
    <w:rsid w:val="001C6087"/>
    <w:rsid w:val="001D177E"/>
    <w:rsid w:val="001D44B8"/>
    <w:rsid w:val="001D6563"/>
    <w:rsid w:val="001D6D1E"/>
    <w:rsid w:val="001E1AB3"/>
    <w:rsid w:val="001E4CE9"/>
    <w:rsid w:val="001E5580"/>
    <w:rsid w:val="001E595D"/>
    <w:rsid w:val="001E5D5D"/>
    <w:rsid w:val="001E6E93"/>
    <w:rsid w:val="001F05B3"/>
    <w:rsid w:val="001F0628"/>
    <w:rsid w:val="001F15EB"/>
    <w:rsid w:val="001F24FF"/>
    <w:rsid w:val="001F3902"/>
    <w:rsid w:val="001F7440"/>
    <w:rsid w:val="0020192A"/>
    <w:rsid w:val="00201B39"/>
    <w:rsid w:val="0020472B"/>
    <w:rsid w:val="00205040"/>
    <w:rsid w:val="00212EC2"/>
    <w:rsid w:val="00213687"/>
    <w:rsid w:val="0021630B"/>
    <w:rsid w:val="00220205"/>
    <w:rsid w:val="0022156A"/>
    <w:rsid w:val="00221F68"/>
    <w:rsid w:val="002230A1"/>
    <w:rsid w:val="00224863"/>
    <w:rsid w:val="00227945"/>
    <w:rsid w:val="00234514"/>
    <w:rsid w:val="002354FF"/>
    <w:rsid w:val="00235A45"/>
    <w:rsid w:val="0024011A"/>
    <w:rsid w:val="00241356"/>
    <w:rsid w:val="00242270"/>
    <w:rsid w:val="002424A9"/>
    <w:rsid w:val="00242B9D"/>
    <w:rsid w:val="00247394"/>
    <w:rsid w:val="00250F15"/>
    <w:rsid w:val="002519B2"/>
    <w:rsid w:val="00251FC6"/>
    <w:rsid w:val="00252DE5"/>
    <w:rsid w:val="00253E81"/>
    <w:rsid w:val="002566B3"/>
    <w:rsid w:val="002602DD"/>
    <w:rsid w:val="002617DC"/>
    <w:rsid w:val="0026242F"/>
    <w:rsid w:val="0026344D"/>
    <w:rsid w:val="00264D58"/>
    <w:rsid w:val="0026549B"/>
    <w:rsid w:val="002668A6"/>
    <w:rsid w:val="002678DF"/>
    <w:rsid w:val="00270BB7"/>
    <w:rsid w:val="00270D26"/>
    <w:rsid w:val="00271AD1"/>
    <w:rsid w:val="0027433A"/>
    <w:rsid w:val="00275037"/>
    <w:rsid w:val="00277160"/>
    <w:rsid w:val="00277C66"/>
    <w:rsid w:val="002828E7"/>
    <w:rsid w:val="00284398"/>
    <w:rsid w:val="00286933"/>
    <w:rsid w:val="00290D17"/>
    <w:rsid w:val="002915ED"/>
    <w:rsid w:val="00295065"/>
    <w:rsid w:val="00295A80"/>
    <w:rsid w:val="002973D3"/>
    <w:rsid w:val="002A004F"/>
    <w:rsid w:val="002A5CA4"/>
    <w:rsid w:val="002A7342"/>
    <w:rsid w:val="002B0C70"/>
    <w:rsid w:val="002B5584"/>
    <w:rsid w:val="002B7F1C"/>
    <w:rsid w:val="002C1905"/>
    <w:rsid w:val="002C23DC"/>
    <w:rsid w:val="002C2466"/>
    <w:rsid w:val="002C59F6"/>
    <w:rsid w:val="002C5F7D"/>
    <w:rsid w:val="002C684F"/>
    <w:rsid w:val="002D02FA"/>
    <w:rsid w:val="002D13A7"/>
    <w:rsid w:val="002D313A"/>
    <w:rsid w:val="002D47AB"/>
    <w:rsid w:val="002D5B22"/>
    <w:rsid w:val="002D7F59"/>
    <w:rsid w:val="002E085F"/>
    <w:rsid w:val="002E0B6C"/>
    <w:rsid w:val="002E269A"/>
    <w:rsid w:val="002E2779"/>
    <w:rsid w:val="002E2A5E"/>
    <w:rsid w:val="002E37B8"/>
    <w:rsid w:val="002E4EC4"/>
    <w:rsid w:val="002E582C"/>
    <w:rsid w:val="002F2015"/>
    <w:rsid w:val="002F3F13"/>
    <w:rsid w:val="002F4F18"/>
    <w:rsid w:val="002F5A67"/>
    <w:rsid w:val="002F68C6"/>
    <w:rsid w:val="002F7838"/>
    <w:rsid w:val="002F7F74"/>
    <w:rsid w:val="003000A8"/>
    <w:rsid w:val="0030028C"/>
    <w:rsid w:val="00302E0C"/>
    <w:rsid w:val="00302E81"/>
    <w:rsid w:val="0030310C"/>
    <w:rsid w:val="0030353A"/>
    <w:rsid w:val="00303BF3"/>
    <w:rsid w:val="003046A8"/>
    <w:rsid w:val="00306CF5"/>
    <w:rsid w:val="00307343"/>
    <w:rsid w:val="003104B0"/>
    <w:rsid w:val="00320A87"/>
    <w:rsid w:val="00321F9E"/>
    <w:rsid w:val="0032227C"/>
    <w:rsid w:val="00322565"/>
    <w:rsid w:val="003250B5"/>
    <w:rsid w:val="00325198"/>
    <w:rsid w:val="003253D4"/>
    <w:rsid w:val="00325FC1"/>
    <w:rsid w:val="003261DC"/>
    <w:rsid w:val="00327B71"/>
    <w:rsid w:val="00332103"/>
    <w:rsid w:val="00334F8C"/>
    <w:rsid w:val="00337454"/>
    <w:rsid w:val="00345B47"/>
    <w:rsid w:val="0034766D"/>
    <w:rsid w:val="00350CA6"/>
    <w:rsid w:val="00351D25"/>
    <w:rsid w:val="003524D5"/>
    <w:rsid w:val="00352807"/>
    <w:rsid w:val="0035300B"/>
    <w:rsid w:val="003531F4"/>
    <w:rsid w:val="003552AA"/>
    <w:rsid w:val="00355904"/>
    <w:rsid w:val="00357E91"/>
    <w:rsid w:val="00357F94"/>
    <w:rsid w:val="003607CC"/>
    <w:rsid w:val="00360A4F"/>
    <w:rsid w:val="0036306D"/>
    <w:rsid w:val="00370D60"/>
    <w:rsid w:val="0037129A"/>
    <w:rsid w:val="003747CF"/>
    <w:rsid w:val="00375BAB"/>
    <w:rsid w:val="00376AF8"/>
    <w:rsid w:val="00377824"/>
    <w:rsid w:val="003817C9"/>
    <w:rsid w:val="003832B4"/>
    <w:rsid w:val="0038441E"/>
    <w:rsid w:val="00384FE6"/>
    <w:rsid w:val="003852F6"/>
    <w:rsid w:val="003862E3"/>
    <w:rsid w:val="003864BE"/>
    <w:rsid w:val="00387B8F"/>
    <w:rsid w:val="00390108"/>
    <w:rsid w:val="003910DF"/>
    <w:rsid w:val="003919CB"/>
    <w:rsid w:val="00392D70"/>
    <w:rsid w:val="00392E22"/>
    <w:rsid w:val="00393202"/>
    <w:rsid w:val="00393C22"/>
    <w:rsid w:val="003958BE"/>
    <w:rsid w:val="00395A6F"/>
    <w:rsid w:val="003970AD"/>
    <w:rsid w:val="003A0182"/>
    <w:rsid w:val="003A01F0"/>
    <w:rsid w:val="003A1346"/>
    <w:rsid w:val="003A29F2"/>
    <w:rsid w:val="003A33B0"/>
    <w:rsid w:val="003A4502"/>
    <w:rsid w:val="003B09BB"/>
    <w:rsid w:val="003B2DC8"/>
    <w:rsid w:val="003B5EBD"/>
    <w:rsid w:val="003B750A"/>
    <w:rsid w:val="003B7CCF"/>
    <w:rsid w:val="003C1F13"/>
    <w:rsid w:val="003C2FF1"/>
    <w:rsid w:val="003D3122"/>
    <w:rsid w:val="003D3697"/>
    <w:rsid w:val="003D36A1"/>
    <w:rsid w:val="003D48A4"/>
    <w:rsid w:val="003D68AA"/>
    <w:rsid w:val="003D7E45"/>
    <w:rsid w:val="003E121F"/>
    <w:rsid w:val="003E20BC"/>
    <w:rsid w:val="003E23B0"/>
    <w:rsid w:val="003E2D16"/>
    <w:rsid w:val="003E422B"/>
    <w:rsid w:val="003E4454"/>
    <w:rsid w:val="003E4677"/>
    <w:rsid w:val="003E4ABC"/>
    <w:rsid w:val="003E502D"/>
    <w:rsid w:val="003E6500"/>
    <w:rsid w:val="003F3666"/>
    <w:rsid w:val="003F6037"/>
    <w:rsid w:val="004063FF"/>
    <w:rsid w:val="0041136A"/>
    <w:rsid w:val="00412437"/>
    <w:rsid w:val="00414C34"/>
    <w:rsid w:val="00415A4D"/>
    <w:rsid w:val="00415EF5"/>
    <w:rsid w:val="004179FE"/>
    <w:rsid w:val="0042357A"/>
    <w:rsid w:val="004236D9"/>
    <w:rsid w:val="00423B7D"/>
    <w:rsid w:val="00424780"/>
    <w:rsid w:val="00425388"/>
    <w:rsid w:val="004267B3"/>
    <w:rsid w:val="0042736E"/>
    <w:rsid w:val="00430A0A"/>
    <w:rsid w:val="0043246A"/>
    <w:rsid w:val="00433057"/>
    <w:rsid w:val="004347FC"/>
    <w:rsid w:val="00434C1C"/>
    <w:rsid w:val="004370F9"/>
    <w:rsid w:val="00440BED"/>
    <w:rsid w:val="004436B7"/>
    <w:rsid w:val="004521ED"/>
    <w:rsid w:val="004549DE"/>
    <w:rsid w:val="00455501"/>
    <w:rsid w:val="00461135"/>
    <w:rsid w:val="00461DE8"/>
    <w:rsid w:val="00462323"/>
    <w:rsid w:val="00463564"/>
    <w:rsid w:val="00464FEF"/>
    <w:rsid w:val="004652DA"/>
    <w:rsid w:val="004666F2"/>
    <w:rsid w:val="00466C7B"/>
    <w:rsid w:val="00467219"/>
    <w:rsid w:val="00471296"/>
    <w:rsid w:val="00472290"/>
    <w:rsid w:val="004742DD"/>
    <w:rsid w:val="00474454"/>
    <w:rsid w:val="004755C2"/>
    <w:rsid w:val="0047790A"/>
    <w:rsid w:val="00477E16"/>
    <w:rsid w:val="00480A67"/>
    <w:rsid w:val="0048166D"/>
    <w:rsid w:val="0048188E"/>
    <w:rsid w:val="00481FCA"/>
    <w:rsid w:val="004837B6"/>
    <w:rsid w:val="00490F39"/>
    <w:rsid w:val="00492E9B"/>
    <w:rsid w:val="0049524D"/>
    <w:rsid w:val="00495901"/>
    <w:rsid w:val="0049703D"/>
    <w:rsid w:val="004A3F85"/>
    <w:rsid w:val="004A41C9"/>
    <w:rsid w:val="004A4497"/>
    <w:rsid w:val="004A5662"/>
    <w:rsid w:val="004A73DA"/>
    <w:rsid w:val="004A7F9C"/>
    <w:rsid w:val="004B0FB2"/>
    <w:rsid w:val="004B1E7D"/>
    <w:rsid w:val="004B1EEB"/>
    <w:rsid w:val="004B37B4"/>
    <w:rsid w:val="004B47CA"/>
    <w:rsid w:val="004B495F"/>
    <w:rsid w:val="004B560D"/>
    <w:rsid w:val="004B5B4D"/>
    <w:rsid w:val="004C1A4D"/>
    <w:rsid w:val="004C2A04"/>
    <w:rsid w:val="004C41AD"/>
    <w:rsid w:val="004D0493"/>
    <w:rsid w:val="004D09FB"/>
    <w:rsid w:val="004D0D16"/>
    <w:rsid w:val="004D427C"/>
    <w:rsid w:val="004D6185"/>
    <w:rsid w:val="004D751F"/>
    <w:rsid w:val="004E04D9"/>
    <w:rsid w:val="004E1644"/>
    <w:rsid w:val="004E2445"/>
    <w:rsid w:val="004E2915"/>
    <w:rsid w:val="004E36CF"/>
    <w:rsid w:val="004F3646"/>
    <w:rsid w:val="004F3866"/>
    <w:rsid w:val="004F407B"/>
    <w:rsid w:val="004F7E98"/>
    <w:rsid w:val="00500C60"/>
    <w:rsid w:val="00500F3B"/>
    <w:rsid w:val="00501261"/>
    <w:rsid w:val="00507127"/>
    <w:rsid w:val="0050742E"/>
    <w:rsid w:val="005130B7"/>
    <w:rsid w:val="005149BA"/>
    <w:rsid w:val="00516460"/>
    <w:rsid w:val="00517AAF"/>
    <w:rsid w:val="00521F66"/>
    <w:rsid w:val="005221AC"/>
    <w:rsid w:val="00522C57"/>
    <w:rsid w:val="00525D19"/>
    <w:rsid w:val="005331FE"/>
    <w:rsid w:val="00533653"/>
    <w:rsid w:val="005355DD"/>
    <w:rsid w:val="00537C8C"/>
    <w:rsid w:val="00537EA5"/>
    <w:rsid w:val="00540A3C"/>
    <w:rsid w:val="00540ADF"/>
    <w:rsid w:val="005415B9"/>
    <w:rsid w:val="00541E4C"/>
    <w:rsid w:val="00544A07"/>
    <w:rsid w:val="00546C09"/>
    <w:rsid w:val="00547293"/>
    <w:rsid w:val="00547943"/>
    <w:rsid w:val="00547F09"/>
    <w:rsid w:val="0055005C"/>
    <w:rsid w:val="00550D21"/>
    <w:rsid w:val="00551F3B"/>
    <w:rsid w:val="00552042"/>
    <w:rsid w:val="005528C3"/>
    <w:rsid w:val="00552958"/>
    <w:rsid w:val="005542E3"/>
    <w:rsid w:val="00557251"/>
    <w:rsid w:val="00560A80"/>
    <w:rsid w:val="00561079"/>
    <w:rsid w:val="005615FF"/>
    <w:rsid w:val="00562953"/>
    <w:rsid w:val="00564644"/>
    <w:rsid w:val="005648F5"/>
    <w:rsid w:val="00564EC8"/>
    <w:rsid w:val="00565D99"/>
    <w:rsid w:val="005713C0"/>
    <w:rsid w:val="0057144D"/>
    <w:rsid w:val="00571A50"/>
    <w:rsid w:val="00572891"/>
    <w:rsid w:val="0057468C"/>
    <w:rsid w:val="00574C76"/>
    <w:rsid w:val="00574FD0"/>
    <w:rsid w:val="00575EED"/>
    <w:rsid w:val="005762E2"/>
    <w:rsid w:val="00581016"/>
    <w:rsid w:val="00581248"/>
    <w:rsid w:val="0058163A"/>
    <w:rsid w:val="005826CA"/>
    <w:rsid w:val="00583B26"/>
    <w:rsid w:val="00583E31"/>
    <w:rsid w:val="00585860"/>
    <w:rsid w:val="00586830"/>
    <w:rsid w:val="00586C1B"/>
    <w:rsid w:val="00590A05"/>
    <w:rsid w:val="00590C0A"/>
    <w:rsid w:val="005910DF"/>
    <w:rsid w:val="00592C16"/>
    <w:rsid w:val="00595827"/>
    <w:rsid w:val="00595957"/>
    <w:rsid w:val="005973AC"/>
    <w:rsid w:val="005977DF"/>
    <w:rsid w:val="005A120C"/>
    <w:rsid w:val="005A1FCD"/>
    <w:rsid w:val="005A44DE"/>
    <w:rsid w:val="005A51D4"/>
    <w:rsid w:val="005A78C8"/>
    <w:rsid w:val="005B086C"/>
    <w:rsid w:val="005B0972"/>
    <w:rsid w:val="005B304A"/>
    <w:rsid w:val="005B5779"/>
    <w:rsid w:val="005B5A2C"/>
    <w:rsid w:val="005B6A6D"/>
    <w:rsid w:val="005B74D7"/>
    <w:rsid w:val="005B7AD6"/>
    <w:rsid w:val="005C15B1"/>
    <w:rsid w:val="005C21D8"/>
    <w:rsid w:val="005C2406"/>
    <w:rsid w:val="005C2A08"/>
    <w:rsid w:val="005C3623"/>
    <w:rsid w:val="005C648E"/>
    <w:rsid w:val="005D19AA"/>
    <w:rsid w:val="005D1DA7"/>
    <w:rsid w:val="005D236E"/>
    <w:rsid w:val="005D4F8C"/>
    <w:rsid w:val="005E2907"/>
    <w:rsid w:val="005E419B"/>
    <w:rsid w:val="005E4BA6"/>
    <w:rsid w:val="005E6E6F"/>
    <w:rsid w:val="005F0F6D"/>
    <w:rsid w:val="005F1818"/>
    <w:rsid w:val="005F1D15"/>
    <w:rsid w:val="005F66E3"/>
    <w:rsid w:val="005F68A6"/>
    <w:rsid w:val="005F6E42"/>
    <w:rsid w:val="005F75DE"/>
    <w:rsid w:val="005F7833"/>
    <w:rsid w:val="005F7AD3"/>
    <w:rsid w:val="00604A75"/>
    <w:rsid w:val="00604B55"/>
    <w:rsid w:val="00604CF5"/>
    <w:rsid w:val="00604FF1"/>
    <w:rsid w:val="006066C2"/>
    <w:rsid w:val="0060722F"/>
    <w:rsid w:val="00607DA5"/>
    <w:rsid w:val="00607DE9"/>
    <w:rsid w:val="0061054F"/>
    <w:rsid w:val="00610DC9"/>
    <w:rsid w:val="0061289F"/>
    <w:rsid w:val="00614A79"/>
    <w:rsid w:val="0061602A"/>
    <w:rsid w:val="006162D5"/>
    <w:rsid w:val="00617195"/>
    <w:rsid w:val="00617DAC"/>
    <w:rsid w:val="0062028D"/>
    <w:rsid w:val="006208E5"/>
    <w:rsid w:val="00622C9A"/>
    <w:rsid w:val="00623EAF"/>
    <w:rsid w:val="00623FF0"/>
    <w:rsid w:val="006252CB"/>
    <w:rsid w:val="00626BF3"/>
    <w:rsid w:val="00634565"/>
    <w:rsid w:val="00634CD2"/>
    <w:rsid w:val="00635AB4"/>
    <w:rsid w:val="006372AF"/>
    <w:rsid w:val="00637B8D"/>
    <w:rsid w:val="00637E75"/>
    <w:rsid w:val="0064190A"/>
    <w:rsid w:val="0064292B"/>
    <w:rsid w:val="00643BF1"/>
    <w:rsid w:val="0064409D"/>
    <w:rsid w:val="006441A0"/>
    <w:rsid w:val="00647194"/>
    <w:rsid w:val="0064752D"/>
    <w:rsid w:val="006511B0"/>
    <w:rsid w:val="006541AF"/>
    <w:rsid w:val="00655636"/>
    <w:rsid w:val="00655BFB"/>
    <w:rsid w:val="006600B0"/>
    <w:rsid w:val="00661FE5"/>
    <w:rsid w:val="0066266B"/>
    <w:rsid w:val="0066288D"/>
    <w:rsid w:val="00663D09"/>
    <w:rsid w:val="0066417C"/>
    <w:rsid w:val="006647C3"/>
    <w:rsid w:val="00664D15"/>
    <w:rsid w:val="006725ED"/>
    <w:rsid w:val="0067274F"/>
    <w:rsid w:val="00674842"/>
    <w:rsid w:val="006779DC"/>
    <w:rsid w:val="006808C8"/>
    <w:rsid w:val="00681E3C"/>
    <w:rsid w:val="00683F16"/>
    <w:rsid w:val="006851ED"/>
    <w:rsid w:val="006861CC"/>
    <w:rsid w:val="00686372"/>
    <w:rsid w:val="00692A63"/>
    <w:rsid w:val="00692EEF"/>
    <w:rsid w:val="00693F56"/>
    <w:rsid w:val="00694072"/>
    <w:rsid w:val="006961A6"/>
    <w:rsid w:val="006A0983"/>
    <w:rsid w:val="006A0CAC"/>
    <w:rsid w:val="006A6142"/>
    <w:rsid w:val="006B071A"/>
    <w:rsid w:val="006B0CC2"/>
    <w:rsid w:val="006B4799"/>
    <w:rsid w:val="006C1347"/>
    <w:rsid w:val="006C387B"/>
    <w:rsid w:val="006C4236"/>
    <w:rsid w:val="006C4D2E"/>
    <w:rsid w:val="006C54DE"/>
    <w:rsid w:val="006D1824"/>
    <w:rsid w:val="006D21F5"/>
    <w:rsid w:val="006D3B2B"/>
    <w:rsid w:val="006D401D"/>
    <w:rsid w:val="006D7EF8"/>
    <w:rsid w:val="006E0BB0"/>
    <w:rsid w:val="006E1D0A"/>
    <w:rsid w:val="006E409E"/>
    <w:rsid w:val="006E7D2D"/>
    <w:rsid w:val="006F0B48"/>
    <w:rsid w:val="006F0CC3"/>
    <w:rsid w:val="006F1290"/>
    <w:rsid w:val="006F21FB"/>
    <w:rsid w:val="006F3AF9"/>
    <w:rsid w:val="006F64FF"/>
    <w:rsid w:val="007006FA"/>
    <w:rsid w:val="00701D7B"/>
    <w:rsid w:val="00702641"/>
    <w:rsid w:val="0070390D"/>
    <w:rsid w:val="00706910"/>
    <w:rsid w:val="00707B03"/>
    <w:rsid w:val="00710CA6"/>
    <w:rsid w:val="00710FF7"/>
    <w:rsid w:val="0071124F"/>
    <w:rsid w:val="00712C5E"/>
    <w:rsid w:val="0071431B"/>
    <w:rsid w:val="00714C9F"/>
    <w:rsid w:val="0071516E"/>
    <w:rsid w:val="00717156"/>
    <w:rsid w:val="0072012E"/>
    <w:rsid w:val="00727AC5"/>
    <w:rsid w:val="00732116"/>
    <w:rsid w:val="00737260"/>
    <w:rsid w:val="00740BE1"/>
    <w:rsid w:val="00741D04"/>
    <w:rsid w:val="00741FC5"/>
    <w:rsid w:val="00742E6D"/>
    <w:rsid w:val="0074444B"/>
    <w:rsid w:val="0074726E"/>
    <w:rsid w:val="007512DB"/>
    <w:rsid w:val="00753A7D"/>
    <w:rsid w:val="00757D09"/>
    <w:rsid w:val="00761025"/>
    <w:rsid w:val="0076239A"/>
    <w:rsid w:val="00762627"/>
    <w:rsid w:val="0076300E"/>
    <w:rsid w:val="00763A2B"/>
    <w:rsid w:val="00766E81"/>
    <w:rsid w:val="00770950"/>
    <w:rsid w:val="00772332"/>
    <w:rsid w:val="00777A5C"/>
    <w:rsid w:val="00780DB0"/>
    <w:rsid w:val="007818D5"/>
    <w:rsid w:val="00784290"/>
    <w:rsid w:val="007864D9"/>
    <w:rsid w:val="00791863"/>
    <w:rsid w:val="00791D32"/>
    <w:rsid w:val="00794153"/>
    <w:rsid w:val="007945B4"/>
    <w:rsid w:val="00796E92"/>
    <w:rsid w:val="00796F04"/>
    <w:rsid w:val="00797097"/>
    <w:rsid w:val="007A4051"/>
    <w:rsid w:val="007A49C3"/>
    <w:rsid w:val="007A7787"/>
    <w:rsid w:val="007B00D6"/>
    <w:rsid w:val="007B1A02"/>
    <w:rsid w:val="007B2370"/>
    <w:rsid w:val="007B2747"/>
    <w:rsid w:val="007B323B"/>
    <w:rsid w:val="007B43BD"/>
    <w:rsid w:val="007B694C"/>
    <w:rsid w:val="007B6ADC"/>
    <w:rsid w:val="007B729A"/>
    <w:rsid w:val="007B7DCA"/>
    <w:rsid w:val="007C4092"/>
    <w:rsid w:val="007C53C0"/>
    <w:rsid w:val="007C5B30"/>
    <w:rsid w:val="007C6829"/>
    <w:rsid w:val="007C79E3"/>
    <w:rsid w:val="007D0E84"/>
    <w:rsid w:val="007D1F11"/>
    <w:rsid w:val="007D2596"/>
    <w:rsid w:val="007D3479"/>
    <w:rsid w:val="007D349A"/>
    <w:rsid w:val="007D39DA"/>
    <w:rsid w:val="007D3FDF"/>
    <w:rsid w:val="007D696D"/>
    <w:rsid w:val="007D7F70"/>
    <w:rsid w:val="007E2626"/>
    <w:rsid w:val="007E29A8"/>
    <w:rsid w:val="007E2E6C"/>
    <w:rsid w:val="007E2F4D"/>
    <w:rsid w:val="007E4F69"/>
    <w:rsid w:val="007E6AE1"/>
    <w:rsid w:val="007E771B"/>
    <w:rsid w:val="007E7E8C"/>
    <w:rsid w:val="007F1094"/>
    <w:rsid w:val="007F123E"/>
    <w:rsid w:val="007F2F82"/>
    <w:rsid w:val="007F36ED"/>
    <w:rsid w:val="007F5124"/>
    <w:rsid w:val="008006E3"/>
    <w:rsid w:val="00802649"/>
    <w:rsid w:val="008035AA"/>
    <w:rsid w:val="00804043"/>
    <w:rsid w:val="00804182"/>
    <w:rsid w:val="00806816"/>
    <w:rsid w:val="00810113"/>
    <w:rsid w:val="008116DC"/>
    <w:rsid w:val="00812893"/>
    <w:rsid w:val="00813631"/>
    <w:rsid w:val="00816612"/>
    <w:rsid w:val="00822385"/>
    <w:rsid w:val="00822ACB"/>
    <w:rsid w:val="00823784"/>
    <w:rsid w:val="00824B8B"/>
    <w:rsid w:val="00824E52"/>
    <w:rsid w:val="00825BDE"/>
    <w:rsid w:val="00826979"/>
    <w:rsid w:val="00830262"/>
    <w:rsid w:val="008304C8"/>
    <w:rsid w:val="00833AEF"/>
    <w:rsid w:val="00833B98"/>
    <w:rsid w:val="0083731F"/>
    <w:rsid w:val="00840E85"/>
    <w:rsid w:val="00842238"/>
    <w:rsid w:val="008454D5"/>
    <w:rsid w:val="00845839"/>
    <w:rsid w:val="0084635E"/>
    <w:rsid w:val="0085035A"/>
    <w:rsid w:val="00850C2C"/>
    <w:rsid w:val="00851DB6"/>
    <w:rsid w:val="00851FB1"/>
    <w:rsid w:val="008528C3"/>
    <w:rsid w:val="00853A75"/>
    <w:rsid w:val="00854D6E"/>
    <w:rsid w:val="008552C4"/>
    <w:rsid w:val="008561D1"/>
    <w:rsid w:val="00860624"/>
    <w:rsid w:val="00863564"/>
    <w:rsid w:val="00863D95"/>
    <w:rsid w:val="008641EE"/>
    <w:rsid w:val="00864BC2"/>
    <w:rsid w:val="008657FF"/>
    <w:rsid w:val="00865B9A"/>
    <w:rsid w:val="00865BFB"/>
    <w:rsid w:val="008664C3"/>
    <w:rsid w:val="00866817"/>
    <w:rsid w:val="00867934"/>
    <w:rsid w:val="00867CA7"/>
    <w:rsid w:val="00867CF4"/>
    <w:rsid w:val="0087075A"/>
    <w:rsid w:val="00870CE4"/>
    <w:rsid w:val="00870D07"/>
    <w:rsid w:val="00871489"/>
    <w:rsid w:val="0087155A"/>
    <w:rsid w:val="00873ABD"/>
    <w:rsid w:val="00873CE1"/>
    <w:rsid w:val="00875311"/>
    <w:rsid w:val="008776EE"/>
    <w:rsid w:val="0088211E"/>
    <w:rsid w:val="0088267A"/>
    <w:rsid w:val="00887E74"/>
    <w:rsid w:val="008903B7"/>
    <w:rsid w:val="00890679"/>
    <w:rsid w:val="00892F9D"/>
    <w:rsid w:val="00896950"/>
    <w:rsid w:val="008A0050"/>
    <w:rsid w:val="008A294F"/>
    <w:rsid w:val="008A2D3D"/>
    <w:rsid w:val="008A434E"/>
    <w:rsid w:val="008A62A0"/>
    <w:rsid w:val="008B0036"/>
    <w:rsid w:val="008B0853"/>
    <w:rsid w:val="008B0D58"/>
    <w:rsid w:val="008B1580"/>
    <w:rsid w:val="008B247C"/>
    <w:rsid w:val="008B49F3"/>
    <w:rsid w:val="008B579B"/>
    <w:rsid w:val="008B7CAC"/>
    <w:rsid w:val="008C416D"/>
    <w:rsid w:val="008C6335"/>
    <w:rsid w:val="008C7428"/>
    <w:rsid w:val="008D104E"/>
    <w:rsid w:val="008D1A71"/>
    <w:rsid w:val="008D23A9"/>
    <w:rsid w:val="008D30A6"/>
    <w:rsid w:val="008D33A5"/>
    <w:rsid w:val="008D5DBF"/>
    <w:rsid w:val="008D74ED"/>
    <w:rsid w:val="008D79DD"/>
    <w:rsid w:val="008D7BAA"/>
    <w:rsid w:val="008E0DCA"/>
    <w:rsid w:val="008E0ED0"/>
    <w:rsid w:val="008E1A28"/>
    <w:rsid w:val="008E5633"/>
    <w:rsid w:val="008E616B"/>
    <w:rsid w:val="008F0C5A"/>
    <w:rsid w:val="008F3228"/>
    <w:rsid w:val="008F4BBD"/>
    <w:rsid w:val="008F6276"/>
    <w:rsid w:val="008F7FF8"/>
    <w:rsid w:val="0090016F"/>
    <w:rsid w:val="00900EE1"/>
    <w:rsid w:val="00901AEF"/>
    <w:rsid w:val="00903791"/>
    <w:rsid w:val="0090758C"/>
    <w:rsid w:val="009076C6"/>
    <w:rsid w:val="00912A8D"/>
    <w:rsid w:val="00913AFD"/>
    <w:rsid w:val="00913DFD"/>
    <w:rsid w:val="00916240"/>
    <w:rsid w:val="00916809"/>
    <w:rsid w:val="00916A09"/>
    <w:rsid w:val="00916A89"/>
    <w:rsid w:val="00916B40"/>
    <w:rsid w:val="009215F7"/>
    <w:rsid w:val="00925FC3"/>
    <w:rsid w:val="009306BA"/>
    <w:rsid w:val="00932731"/>
    <w:rsid w:val="00934260"/>
    <w:rsid w:val="00934CC7"/>
    <w:rsid w:val="00936FE9"/>
    <w:rsid w:val="00940966"/>
    <w:rsid w:val="009422F6"/>
    <w:rsid w:val="00942B62"/>
    <w:rsid w:val="00944073"/>
    <w:rsid w:val="00946893"/>
    <w:rsid w:val="00951527"/>
    <w:rsid w:val="0095235D"/>
    <w:rsid w:val="009526B9"/>
    <w:rsid w:val="00952E3D"/>
    <w:rsid w:val="0095550F"/>
    <w:rsid w:val="00956987"/>
    <w:rsid w:val="00956FCB"/>
    <w:rsid w:val="009605EB"/>
    <w:rsid w:val="00960AB6"/>
    <w:rsid w:val="009630F5"/>
    <w:rsid w:val="00964CA4"/>
    <w:rsid w:val="00965919"/>
    <w:rsid w:val="009710B0"/>
    <w:rsid w:val="00976BF1"/>
    <w:rsid w:val="0098069E"/>
    <w:rsid w:val="00980B1B"/>
    <w:rsid w:val="0098338D"/>
    <w:rsid w:val="009834B0"/>
    <w:rsid w:val="00983713"/>
    <w:rsid w:val="0098496F"/>
    <w:rsid w:val="009850C7"/>
    <w:rsid w:val="00990D18"/>
    <w:rsid w:val="00992239"/>
    <w:rsid w:val="0099372C"/>
    <w:rsid w:val="00993951"/>
    <w:rsid w:val="0099398A"/>
    <w:rsid w:val="00994DA0"/>
    <w:rsid w:val="0099732D"/>
    <w:rsid w:val="00997A5E"/>
    <w:rsid w:val="009A095E"/>
    <w:rsid w:val="009A149D"/>
    <w:rsid w:val="009A2DB7"/>
    <w:rsid w:val="009A3875"/>
    <w:rsid w:val="009A4A02"/>
    <w:rsid w:val="009A7B49"/>
    <w:rsid w:val="009B025B"/>
    <w:rsid w:val="009B14A3"/>
    <w:rsid w:val="009B1AC2"/>
    <w:rsid w:val="009B1EA8"/>
    <w:rsid w:val="009B3C10"/>
    <w:rsid w:val="009B3C4F"/>
    <w:rsid w:val="009B53D2"/>
    <w:rsid w:val="009B66D9"/>
    <w:rsid w:val="009B768E"/>
    <w:rsid w:val="009B78D8"/>
    <w:rsid w:val="009C04F5"/>
    <w:rsid w:val="009C393E"/>
    <w:rsid w:val="009C450C"/>
    <w:rsid w:val="009C75C6"/>
    <w:rsid w:val="009D12FF"/>
    <w:rsid w:val="009D1905"/>
    <w:rsid w:val="009D1B39"/>
    <w:rsid w:val="009D2A63"/>
    <w:rsid w:val="009D4333"/>
    <w:rsid w:val="009D55BD"/>
    <w:rsid w:val="009D595E"/>
    <w:rsid w:val="009E0D59"/>
    <w:rsid w:val="009E14B8"/>
    <w:rsid w:val="009E39A6"/>
    <w:rsid w:val="009E63C6"/>
    <w:rsid w:val="009E7BFD"/>
    <w:rsid w:val="009E7EC1"/>
    <w:rsid w:val="009F05DC"/>
    <w:rsid w:val="009F26F0"/>
    <w:rsid w:val="009F71BD"/>
    <w:rsid w:val="009F7B29"/>
    <w:rsid w:val="00A00905"/>
    <w:rsid w:val="00A00F64"/>
    <w:rsid w:val="00A021D3"/>
    <w:rsid w:val="00A048AF"/>
    <w:rsid w:val="00A068AD"/>
    <w:rsid w:val="00A073DF"/>
    <w:rsid w:val="00A10B17"/>
    <w:rsid w:val="00A1111E"/>
    <w:rsid w:val="00A13074"/>
    <w:rsid w:val="00A14324"/>
    <w:rsid w:val="00A14450"/>
    <w:rsid w:val="00A15084"/>
    <w:rsid w:val="00A15E60"/>
    <w:rsid w:val="00A2412D"/>
    <w:rsid w:val="00A24E8A"/>
    <w:rsid w:val="00A31166"/>
    <w:rsid w:val="00A34437"/>
    <w:rsid w:val="00A34B39"/>
    <w:rsid w:val="00A36F3F"/>
    <w:rsid w:val="00A40504"/>
    <w:rsid w:val="00A40FFD"/>
    <w:rsid w:val="00A418F6"/>
    <w:rsid w:val="00A432A0"/>
    <w:rsid w:val="00A43CA9"/>
    <w:rsid w:val="00A465CB"/>
    <w:rsid w:val="00A47A94"/>
    <w:rsid w:val="00A50764"/>
    <w:rsid w:val="00A50897"/>
    <w:rsid w:val="00A518A4"/>
    <w:rsid w:val="00A5266A"/>
    <w:rsid w:val="00A5464B"/>
    <w:rsid w:val="00A55A5D"/>
    <w:rsid w:val="00A55F29"/>
    <w:rsid w:val="00A57E45"/>
    <w:rsid w:val="00A601C7"/>
    <w:rsid w:val="00A625AA"/>
    <w:rsid w:val="00A64293"/>
    <w:rsid w:val="00A655C1"/>
    <w:rsid w:val="00A6672E"/>
    <w:rsid w:val="00A67113"/>
    <w:rsid w:val="00A67D5F"/>
    <w:rsid w:val="00A70712"/>
    <w:rsid w:val="00A7180D"/>
    <w:rsid w:val="00A75B05"/>
    <w:rsid w:val="00A768D7"/>
    <w:rsid w:val="00A830A7"/>
    <w:rsid w:val="00A83BAC"/>
    <w:rsid w:val="00A844B8"/>
    <w:rsid w:val="00A84A0A"/>
    <w:rsid w:val="00A84D01"/>
    <w:rsid w:val="00A85D82"/>
    <w:rsid w:val="00A943F6"/>
    <w:rsid w:val="00A950A6"/>
    <w:rsid w:val="00A9592C"/>
    <w:rsid w:val="00AA07D0"/>
    <w:rsid w:val="00AA66C0"/>
    <w:rsid w:val="00AA67C1"/>
    <w:rsid w:val="00AB0B06"/>
    <w:rsid w:val="00AB1185"/>
    <w:rsid w:val="00AB2B61"/>
    <w:rsid w:val="00AB7DB2"/>
    <w:rsid w:val="00AC030E"/>
    <w:rsid w:val="00AC0948"/>
    <w:rsid w:val="00AC2177"/>
    <w:rsid w:val="00AC259E"/>
    <w:rsid w:val="00AC260C"/>
    <w:rsid w:val="00AC2749"/>
    <w:rsid w:val="00AC4AED"/>
    <w:rsid w:val="00AC50FF"/>
    <w:rsid w:val="00AC6993"/>
    <w:rsid w:val="00AC6C5D"/>
    <w:rsid w:val="00AC736D"/>
    <w:rsid w:val="00AD0170"/>
    <w:rsid w:val="00AD0E0F"/>
    <w:rsid w:val="00AD33BF"/>
    <w:rsid w:val="00AD3431"/>
    <w:rsid w:val="00AD4142"/>
    <w:rsid w:val="00AD52FF"/>
    <w:rsid w:val="00AD6E38"/>
    <w:rsid w:val="00AD7F60"/>
    <w:rsid w:val="00AE112B"/>
    <w:rsid w:val="00AE11B1"/>
    <w:rsid w:val="00AE1516"/>
    <w:rsid w:val="00AE2E25"/>
    <w:rsid w:val="00AE3B1F"/>
    <w:rsid w:val="00AE47B0"/>
    <w:rsid w:val="00AE5774"/>
    <w:rsid w:val="00AE660F"/>
    <w:rsid w:val="00AE6E90"/>
    <w:rsid w:val="00AF104C"/>
    <w:rsid w:val="00AF148D"/>
    <w:rsid w:val="00AF3528"/>
    <w:rsid w:val="00AF3CB1"/>
    <w:rsid w:val="00AF3D06"/>
    <w:rsid w:val="00AF54F0"/>
    <w:rsid w:val="00AF6D7E"/>
    <w:rsid w:val="00B0007D"/>
    <w:rsid w:val="00B001C3"/>
    <w:rsid w:val="00B00947"/>
    <w:rsid w:val="00B0098D"/>
    <w:rsid w:val="00B03885"/>
    <w:rsid w:val="00B03C97"/>
    <w:rsid w:val="00B052A8"/>
    <w:rsid w:val="00B0647C"/>
    <w:rsid w:val="00B07579"/>
    <w:rsid w:val="00B132DB"/>
    <w:rsid w:val="00B15245"/>
    <w:rsid w:val="00B15403"/>
    <w:rsid w:val="00B16CE9"/>
    <w:rsid w:val="00B1782E"/>
    <w:rsid w:val="00B213A1"/>
    <w:rsid w:val="00B215A0"/>
    <w:rsid w:val="00B21797"/>
    <w:rsid w:val="00B22318"/>
    <w:rsid w:val="00B225ED"/>
    <w:rsid w:val="00B23E78"/>
    <w:rsid w:val="00B24A07"/>
    <w:rsid w:val="00B2507B"/>
    <w:rsid w:val="00B250FA"/>
    <w:rsid w:val="00B2541D"/>
    <w:rsid w:val="00B25B7B"/>
    <w:rsid w:val="00B260DB"/>
    <w:rsid w:val="00B3201F"/>
    <w:rsid w:val="00B3381C"/>
    <w:rsid w:val="00B3649A"/>
    <w:rsid w:val="00B37142"/>
    <w:rsid w:val="00B371DA"/>
    <w:rsid w:val="00B4009E"/>
    <w:rsid w:val="00B40AC6"/>
    <w:rsid w:val="00B41D38"/>
    <w:rsid w:val="00B42097"/>
    <w:rsid w:val="00B42FD7"/>
    <w:rsid w:val="00B44502"/>
    <w:rsid w:val="00B45998"/>
    <w:rsid w:val="00B462ED"/>
    <w:rsid w:val="00B4642A"/>
    <w:rsid w:val="00B46631"/>
    <w:rsid w:val="00B51B00"/>
    <w:rsid w:val="00B51C1E"/>
    <w:rsid w:val="00B57C72"/>
    <w:rsid w:val="00B6028D"/>
    <w:rsid w:val="00B61635"/>
    <w:rsid w:val="00B62047"/>
    <w:rsid w:val="00B62405"/>
    <w:rsid w:val="00B635A6"/>
    <w:rsid w:val="00B63C6F"/>
    <w:rsid w:val="00B672CD"/>
    <w:rsid w:val="00B67563"/>
    <w:rsid w:val="00B7173F"/>
    <w:rsid w:val="00B733F5"/>
    <w:rsid w:val="00B77A02"/>
    <w:rsid w:val="00B77B04"/>
    <w:rsid w:val="00B82D1D"/>
    <w:rsid w:val="00B83D49"/>
    <w:rsid w:val="00B842CD"/>
    <w:rsid w:val="00B85C19"/>
    <w:rsid w:val="00B860C0"/>
    <w:rsid w:val="00B8732E"/>
    <w:rsid w:val="00B90950"/>
    <w:rsid w:val="00B9246B"/>
    <w:rsid w:val="00B9264F"/>
    <w:rsid w:val="00B93F97"/>
    <w:rsid w:val="00B948BE"/>
    <w:rsid w:val="00B976BB"/>
    <w:rsid w:val="00BA021A"/>
    <w:rsid w:val="00BA05C4"/>
    <w:rsid w:val="00BA29A2"/>
    <w:rsid w:val="00BA2B8E"/>
    <w:rsid w:val="00BA2FD3"/>
    <w:rsid w:val="00BA3AC7"/>
    <w:rsid w:val="00BA4104"/>
    <w:rsid w:val="00BA67EA"/>
    <w:rsid w:val="00BA6841"/>
    <w:rsid w:val="00BB09DB"/>
    <w:rsid w:val="00BB17DF"/>
    <w:rsid w:val="00BB2341"/>
    <w:rsid w:val="00BB6043"/>
    <w:rsid w:val="00BC0318"/>
    <w:rsid w:val="00BC0906"/>
    <w:rsid w:val="00BC1538"/>
    <w:rsid w:val="00BC313E"/>
    <w:rsid w:val="00BC576D"/>
    <w:rsid w:val="00BC6901"/>
    <w:rsid w:val="00BD14B2"/>
    <w:rsid w:val="00BD14D1"/>
    <w:rsid w:val="00BD1650"/>
    <w:rsid w:val="00BD1F9D"/>
    <w:rsid w:val="00BD2148"/>
    <w:rsid w:val="00BD3F2A"/>
    <w:rsid w:val="00BD4933"/>
    <w:rsid w:val="00BD4BB6"/>
    <w:rsid w:val="00BD619B"/>
    <w:rsid w:val="00BE2FC1"/>
    <w:rsid w:val="00BE320B"/>
    <w:rsid w:val="00BE5A8D"/>
    <w:rsid w:val="00BE5FD4"/>
    <w:rsid w:val="00BF0240"/>
    <w:rsid w:val="00BF04C9"/>
    <w:rsid w:val="00BF08D2"/>
    <w:rsid w:val="00BF2EEC"/>
    <w:rsid w:val="00BF60AE"/>
    <w:rsid w:val="00C00072"/>
    <w:rsid w:val="00C01C1D"/>
    <w:rsid w:val="00C0335D"/>
    <w:rsid w:val="00C047DE"/>
    <w:rsid w:val="00C05382"/>
    <w:rsid w:val="00C10252"/>
    <w:rsid w:val="00C12A2D"/>
    <w:rsid w:val="00C12EB8"/>
    <w:rsid w:val="00C16566"/>
    <w:rsid w:val="00C21BCF"/>
    <w:rsid w:val="00C249E2"/>
    <w:rsid w:val="00C25E04"/>
    <w:rsid w:val="00C26BA7"/>
    <w:rsid w:val="00C26BBF"/>
    <w:rsid w:val="00C27749"/>
    <w:rsid w:val="00C277CB"/>
    <w:rsid w:val="00C277F4"/>
    <w:rsid w:val="00C300F5"/>
    <w:rsid w:val="00C30E99"/>
    <w:rsid w:val="00C355E0"/>
    <w:rsid w:val="00C36847"/>
    <w:rsid w:val="00C36FCF"/>
    <w:rsid w:val="00C41022"/>
    <w:rsid w:val="00C44566"/>
    <w:rsid w:val="00C44E1D"/>
    <w:rsid w:val="00C45491"/>
    <w:rsid w:val="00C459AF"/>
    <w:rsid w:val="00C46B7D"/>
    <w:rsid w:val="00C5061A"/>
    <w:rsid w:val="00C51883"/>
    <w:rsid w:val="00C52003"/>
    <w:rsid w:val="00C5289D"/>
    <w:rsid w:val="00C545D3"/>
    <w:rsid w:val="00C557EA"/>
    <w:rsid w:val="00C55BB7"/>
    <w:rsid w:val="00C56AF8"/>
    <w:rsid w:val="00C5791D"/>
    <w:rsid w:val="00C6059A"/>
    <w:rsid w:val="00C61043"/>
    <w:rsid w:val="00C65955"/>
    <w:rsid w:val="00C669BE"/>
    <w:rsid w:val="00C70708"/>
    <w:rsid w:val="00C71178"/>
    <w:rsid w:val="00C71BB9"/>
    <w:rsid w:val="00C72FEF"/>
    <w:rsid w:val="00C76AD9"/>
    <w:rsid w:val="00C773EB"/>
    <w:rsid w:val="00C8050A"/>
    <w:rsid w:val="00C82FA9"/>
    <w:rsid w:val="00C84460"/>
    <w:rsid w:val="00C8471B"/>
    <w:rsid w:val="00C849BD"/>
    <w:rsid w:val="00C85C24"/>
    <w:rsid w:val="00C86906"/>
    <w:rsid w:val="00C9051A"/>
    <w:rsid w:val="00C9080D"/>
    <w:rsid w:val="00C91714"/>
    <w:rsid w:val="00C91D71"/>
    <w:rsid w:val="00C93102"/>
    <w:rsid w:val="00C96C41"/>
    <w:rsid w:val="00CA4DD4"/>
    <w:rsid w:val="00CA4F5B"/>
    <w:rsid w:val="00CA5E33"/>
    <w:rsid w:val="00CA6AA1"/>
    <w:rsid w:val="00CB20EB"/>
    <w:rsid w:val="00CB26AF"/>
    <w:rsid w:val="00CB4B25"/>
    <w:rsid w:val="00CB5353"/>
    <w:rsid w:val="00CB6247"/>
    <w:rsid w:val="00CB729D"/>
    <w:rsid w:val="00CC1ECE"/>
    <w:rsid w:val="00CC30A8"/>
    <w:rsid w:val="00CC4C45"/>
    <w:rsid w:val="00CC521F"/>
    <w:rsid w:val="00CC6463"/>
    <w:rsid w:val="00CC7FE1"/>
    <w:rsid w:val="00CD016D"/>
    <w:rsid w:val="00CD09B3"/>
    <w:rsid w:val="00CD0A81"/>
    <w:rsid w:val="00CD4A0E"/>
    <w:rsid w:val="00CD52DE"/>
    <w:rsid w:val="00CD68A2"/>
    <w:rsid w:val="00CD6B45"/>
    <w:rsid w:val="00CE177C"/>
    <w:rsid w:val="00CE47F2"/>
    <w:rsid w:val="00CF0E22"/>
    <w:rsid w:val="00CF1E63"/>
    <w:rsid w:val="00CF5081"/>
    <w:rsid w:val="00CF55D0"/>
    <w:rsid w:val="00CF62C3"/>
    <w:rsid w:val="00CF6A4D"/>
    <w:rsid w:val="00CF714E"/>
    <w:rsid w:val="00D03A71"/>
    <w:rsid w:val="00D04EE9"/>
    <w:rsid w:val="00D0523E"/>
    <w:rsid w:val="00D074AE"/>
    <w:rsid w:val="00D10275"/>
    <w:rsid w:val="00D10943"/>
    <w:rsid w:val="00D12350"/>
    <w:rsid w:val="00D12DA6"/>
    <w:rsid w:val="00D12DAF"/>
    <w:rsid w:val="00D14BCA"/>
    <w:rsid w:val="00D22096"/>
    <w:rsid w:val="00D22127"/>
    <w:rsid w:val="00D22802"/>
    <w:rsid w:val="00D238DE"/>
    <w:rsid w:val="00D24159"/>
    <w:rsid w:val="00D253D4"/>
    <w:rsid w:val="00D270B4"/>
    <w:rsid w:val="00D305CF"/>
    <w:rsid w:val="00D31D21"/>
    <w:rsid w:val="00D3201A"/>
    <w:rsid w:val="00D332F5"/>
    <w:rsid w:val="00D34EB8"/>
    <w:rsid w:val="00D40B38"/>
    <w:rsid w:val="00D41B18"/>
    <w:rsid w:val="00D41F56"/>
    <w:rsid w:val="00D456DF"/>
    <w:rsid w:val="00D52315"/>
    <w:rsid w:val="00D5414F"/>
    <w:rsid w:val="00D60E0E"/>
    <w:rsid w:val="00D6232B"/>
    <w:rsid w:val="00D62D93"/>
    <w:rsid w:val="00D64105"/>
    <w:rsid w:val="00D64595"/>
    <w:rsid w:val="00D64AA3"/>
    <w:rsid w:val="00D658E3"/>
    <w:rsid w:val="00D66931"/>
    <w:rsid w:val="00D70E4B"/>
    <w:rsid w:val="00D70FC1"/>
    <w:rsid w:val="00D71FE5"/>
    <w:rsid w:val="00D75D1C"/>
    <w:rsid w:val="00D81FA6"/>
    <w:rsid w:val="00D83669"/>
    <w:rsid w:val="00D84775"/>
    <w:rsid w:val="00D84E5C"/>
    <w:rsid w:val="00D85730"/>
    <w:rsid w:val="00D91C69"/>
    <w:rsid w:val="00D93170"/>
    <w:rsid w:val="00D93894"/>
    <w:rsid w:val="00D93AF9"/>
    <w:rsid w:val="00D93D59"/>
    <w:rsid w:val="00D941A3"/>
    <w:rsid w:val="00D95D07"/>
    <w:rsid w:val="00D97789"/>
    <w:rsid w:val="00D979DA"/>
    <w:rsid w:val="00DA1EFC"/>
    <w:rsid w:val="00DA50A9"/>
    <w:rsid w:val="00DA53C1"/>
    <w:rsid w:val="00DA5A2B"/>
    <w:rsid w:val="00DA5F18"/>
    <w:rsid w:val="00DA6311"/>
    <w:rsid w:val="00DB09A2"/>
    <w:rsid w:val="00DB1CBB"/>
    <w:rsid w:val="00DB39A1"/>
    <w:rsid w:val="00DB5CF1"/>
    <w:rsid w:val="00DC35CD"/>
    <w:rsid w:val="00DC4287"/>
    <w:rsid w:val="00DC5567"/>
    <w:rsid w:val="00DC5C72"/>
    <w:rsid w:val="00DC64F1"/>
    <w:rsid w:val="00DC6E3F"/>
    <w:rsid w:val="00DC7DB4"/>
    <w:rsid w:val="00DD00E2"/>
    <w:rsid w:val="00DD02BD"/>
    <w:rsid w:val="00DD1DF4"/>
    <w:rsid w:val="00DD1FEC"/>
    <w:rsid w:val="00DD2634"/>
    <w:rsid w:val="00DD2866"/>
    <w:rsid w:val="00DD33FE"/>
    <w:rsid w:val="00DD6ABD"/>
    <w:rsid w:val="00DD741A"/>
    <w:rsid w:val="00DE0EA2"/>
    <w:rsid w:val="00DE1775"/>
    <w:rsid w:val="00DE3077"/>
    <w:rsid w:val="00DE350C"/>
    <w:rsid w:val="00DE3FD8"/>
    <w:rsid w:val="00DE3FDB"/>
    <w:rsid w:val="00DE4C53"/>
    <w:rsid w:val="00DE5B7D"/>
    <w:rsid w:val="00DE615C"/>
    <w:rsid w:val="00DF0A10"/>
    <w:rsid w:val="00DF1D27"/>
    <w:rsid w:val="00DF27E8"/>
    <w:rsid w:val="00DF3885"/>
    <w:rsid w:val="00DF7F4A"/>
    <w:rsid w:val="00E0137B"/>
    <w:rsid w:val="00E03430"/>
    <w:rsid w:val="00E038EA"/>
    <w:rsid w:val="00E04E3B"/>
    <w:rsid w:val="00E05EF9"/>
    <w:rsid w:val="00E136F5"/>
    <w:rsid w:val="00E14E84"/>
    <w:rsid w:val="00E15B60"/>
    <w:rsid w:val="00E15E38"/>
    <w:rsid w:val="00E16C83"/>
    <w:rsid w:val="00E1767E"/>
    <w:rsid w:val="00E20A56"/>
    <w:rsid w:val="00E20BEB"/>
    <w:rsid w:val="00E235EE"/>
    <w:rsid w:val="00E2482F"/>
    <w:rsid w:val="00E2488D"/>
    <w:rsid w:val="00E24D87"/>
    <w:rsid w:val="00E254D0"/>
    <w:rsid w:val="00E2572E"/>
    <w:rsid w:val="00E260A4"/>
    <w:rsid w:val="00E27760"/>
    <w:rsid w:val="00E27A36"/>
    <w:rsid w:val="00E307FF"/>
    <w:rsid w:val="00E30B42"/>
    <w:rsid w:val="00E324A2"/>
    <w:rsid w:val="00E34FC7"/>
    <w:rsid w:val="00E40839"/>
    <w:rsid w:val="00E41586"/>
    <w:rsid w:val="00E4193B"/>
    <w:rsid w:val="00E44DE3"/>
    <w:rsid w:val="00E46ED6"/>
    <w:rsid w:val="00E47889"/>
    <w:rsid w:val="00E51FA1"/>
    <w:rsid w:val="00E53DB7"/>
    <w:rsid w:val="00E576DD"/>
    <w:rsid w:val="00E576E5"/>
    <w:rsid w:val="00E60C5C"/>
    <w:rsid w:val="00E6242B"/>
    <w:rsid w:val="00E635C1"/>
    <w:rsid w:val="00E63A19"/>
    <w:rsid w:val="00E645DB"/>
    <w:rsid w:val="00E64A1E"/>
    <w:rsid w:val="00E65991"/>
    <w:rsid w:val="00E67ED3"/>
    <w:rsid w:val="00E721AE"/>
    <w:rsid w:val="00E72944"/>
    <w:rsid w:val="00E73B3B"/>
    <w:rsid w:val="00E7547E"/>
    <w:rsid w:val="00E833CF"/>
    <w:rsid w:val="00E8362A"/>
    <w:rsid w:val="00E84BA4"/>
    <w:rsid w:val="00E860F8"/>
    <w:rsid w:val="00E86DE2"/>
    <w:rsid w:val="00E912F1"/>
    <w:rsid w:val="00E93850"/>
    <w:rsid w:val="00E956B7"/>
    <w:rsid w:val="00E960BC"/>
    <w:rsid w:val="00E9686A"/>
    <w:rsid w:val="00E97CA4"/>
    <w:rsid w:val="00EA00C7"/>
    <w:rsid w:val="00EA0B61"/>
    <w:rsid w:val="00EA255A"/>
    <w:rsid w:val="00EA2E3B"/>
    <w:rsid w:val="00EA33AE"/>
    <w:rsid w:val="00EA3483"/>
    <w:rsid w:val="00EA35AC"/>
    <w:rsid w:val="00EA67B1"/>
    <w:rsid w:val="00EB013B"/>
    <w:rsid w:val="00EB0B43"/>
    <w:rsid w:val="00EB0D7F"/>
    <w:rsid w:val="00EB111E"/>
    <w:rsid w:val="00EB1600"/>
    <w:rsid w:val="00EB29CF"/>
    <w:rsid w:val="00EB31D6"/>
    <w:rsid w:val="00EB3ACB"/>
    <w:rsid w:val="00EB49C0"/>
    <w:rsid w:val="00EB4AAA"/>
    <w:rsid w:val="00EB4E88"/>
    <w:rsid w:val="00EB5EEC"/>
    <w:rsid w:val="00EB7604"/>
    <w:rsid w:val="00EB7A48"/>
    <w:rsid w:val="00EC38A3"/>
    <w:rsid w:val="00EC4415"/>
    <w:rsid w:val="00EC4D0A"/>
    <w:rsid w:val="00EC52A4"/>
    <w:rsid w:val="00EC644A"/>
    <w:rsid w:val="00EC6A37"/>
    <w:rsid w:val="00ED34D9"/>
    <w:rsid w:val="00ED3CDE"/>
    <w:rsid w:val="00ED599D"/>
    <w:rsid w:val="00ED65AC"/>
    <w:rsid w:val="00ED7C24"/>
    <w:rsid w:val="00EE1F08"/>
    <w:rsid w:val="00EE3014"/>
    <w:rsid w:val="00EE447A"/>
    <w:rsid w:val="00EE48D8"/>
    <w:rsid w:val="00EE65E8"/>
    <w:rsid w:val="00EE682F"/>
    <w:rsid w:val="00EF0344"/>
    <w:rsid w:val="00EF27E2"/>
    <w:rsid w:val="00EF3209"/>
    <w:rsid w:val="00EF38D5"/>
    <w:rsid w:val="00EF463D"/>
    <w:rsid w:val="00EF4F27"/>
    <w:rsid w:val="00EF580E"/>
    <w:rsid w:val="00F045AD"/>
    <w:rsid w:val="00F04CEF"/>
    <w:rsid w:val="00F05113"/>
    <w:rsid w:val="00F0562A"/>
    <w:rsid w:val="00F06CDD"/>
    <w:rsid w:val="00F10C41"/>
    <w:rsid w:val="00F11485"/>
    <w:rsid w:val="00F14078"/>
    <w:rsid w:val="00F168D0"/>
    <w:rsid w:val="00F21051"/>
    <w:rsid w:val="00F22CC0"/>
    <w:rsid w:val="00F23A81"/>
    <w:rsid w:val="00F24AC3"/>
    <w:rsid w:val="00F25802"/>
    <w:rsid w:val="00F26648"/>
    <w:rsid w:val="00F2745F"/>
    <w:rsid w:val="00F30F70"/>
    <w:rsid w:val="00F31EE0"/>
    <w:rsid w:val="00F32BEA"/>
    <w:rsid w:val="00F33F80"/>
    <w:rsid w:val="00F35A4E"/>
    <w:rsid w:val="00F405DA"/>
    <w:rsid w:val="00F40760"/>
    <w:rsid w:val="00F407CE"/>
    <w:rsid w:val="00F40CF1"/>
    <w:rsid w:val="00F41048"/>
    <w:rsid w:val="00F41A8B"/>
    <w:rsid w:val="00F41AA8"/>
    <w:rsid w:val="00F42D21"/>
    <w:rsid w:val="00F42F68"/>
    <w:rsid w:val="00F42F9E"/>
    <w:rsid w:val="00F450CB"/>
    <w:rsid w:val="00F45B81"/>
    <w:rsid w:val="00F472F0"/>
    <w:rsid w:val="00F50235"/>
    <w:rsid w:val="00F5166F"/>
    <w:rsid w:val="00F51A4C"/>
    <w:rsid w:val="00F51E46"/>
    <w:rsid w:val="00F53DF0"/>
    <w:rsid w:val="00F53E8B"/>
    <w:rsid w:val="00F540A6"/>
    <w:rsid w:val="00F62112"/>
    <w:rsid w:val="00F630CF"/>
    <w:rsid w:val="00F65721"/>
    <w:rsid w:val="00F65FD2"/>
    <w:rsid w:val="00F6685E"/>
    <w:rsid w:val="00F66B99"/>
    <w:rsid w:val="00F67DA8"/>
    <w:rsid w:val="00F713C3"/>
    <w:rsid w:val="00F73260"/>
    <w:rsid w:val="00F73E39"/>
    <w:rsid w:val="00F74095"/>
    <w:rsid w:val="00F75F6F"/>
    <w:rsid w:val="00F76366"/>
    <w:rsid w:val="00F76DA4"/>
    <w:rsid w:val="00F77182"/>
    <w:rsid w:val="00F77549"/>
    <w:rsid w:val="00F77F0D"/>
    <w:rsid w:val="00F809FD"/>
    <w:rsid w:val="00F812DB"/>
    <w:rsid w:val="00F83B64"/>
    <w:rsid w:val="00F87E78"/>
    <w:rsid w:val="00F912F2"/>
    <w:rsid w:val="00F9290A"/>
    <w:rsid w:val="00F92C89"/>
    <w:rsid w:val="00F93286"/>
    <w:rsid w:val="00F936E3"/>
    <w:rsid w:val="00F93808"/>
    <w:rsid w:val="00F95976"/>
    <w:rsid w:val="00FA2E72"/>
    <w:rsid w:val="00FA6371"/>
    <w:rsid w:val="00FB0B67"/>
    <w:rsid w:val="00FB2A9C"/>
    <w:rsid w:val="00FB37DF"/>
    <w:rsid w:val="00FB3F89"/>
    <w:rsid w:val="00FB4C32"/>
    <w:rsid w:val="00FC4D03"/>
    <w:rsid w:val="00FC5C2D"/>
    <w:rsid w:val="00FD10E0"/>
    <w:rsid w:val="00FD1577"/>
    <w:rsid w:val="00FD1962"/>
    <w:rsid w:val="00FD4B4B"/>
    <w:rsid w:val="00FD5827"/>
    <w:rsid w:val="00FE1A55"/>
    <w:rsid w:val="00FE54E3"/>
    <w:rsid w:val="00FE6C2F"/>
    <w:rsid w:val="00FE7240"/>
    <w:rsid w:val="00FF02B0"/>
    <w:rsid w:val="00FF075B"/>
    <w:rsid w:val="00FF0B5B"/>
    <w:rsid w:val="00FF0C33"/>
    <w:rsid w:val="00FF2405"/>
    <w:rsid w:val="00FF2EB6"/>
    <w:rsid w:val="00FF44DA"/>
    <w:rsid w:val="00FF49F7"/>
    <w:rsid w:val="00FF5F54"/>
    <w:rsid w:val="00FF7822"/>
    <w:rsid w:val="00FF7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4E45C"/>
  <w15:docId w15:val="{CF45C0B2-71B6-4BEB-955E-05152DCE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0E"/>
    <w:rPr>
      <w:rFonts w:ascii="Times New Roman" w:hAnsi="Times New Roman"/>
      <w:sz w:val="24"/>
    </w:rPr>
  </w:style>
  <w:style w:type="paragraph" w:styleId="Heading1">
    <w:name w:val="heading 1"/>
    <w:basedOn w:val="Normal"/>
    <w:next w:val="Normal"/>
    <w:link w:val="Heading1Char"/>
    <w:uiPriority w:val="9"/>
    <w:qFormat/>
    <w:rsid w:val="008D30A6"/>
    <w:pPr>
      <w:keepNext/>
      <w:keepLines/>
      <w:spacing w:before="24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3000A8"/>
    <w:pPr>
      <w:keepNext/>
      <w:keepLines/>
      <w:spacing w:before="16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93102"/>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A655C1"/>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0A6"/>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3000A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C93102"/>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A655C1"/>
    <w:rPr>
      <w:rFonts w:ascii="Times New Roman" w:eastAsiaTheme="majorEastAsia" w:hAnsi="Times New Roman" w:cstheme="majorBidi"/>
      <w:b/>
      <w:iCs/>
      <w:sz w:val="24"/>
    </w:rPr>
  </w:style>
  <w:style w:type="paragraph" w:styleId="TOCHeading">
    <w:name w:val="TOC Heading"/>
    <w:basedOn w:val="Heading1"/>
    <w:next w:val="Normal"/>
    <w:uiPriority w:val="39"/>
    <w:unhideWhenUsed/>
    <w:qFormat/>
    <w:rsid w:val="00A83BAC"/>
    <w:pPr>
      <w:spacing w:line="259" w:lineRule="auto"/>
      <w:jc w:val="left"/>
      <w:outlineLvl w:val="9"/>
    </w:pPr>
  </w:style>
  <w:style w:type="paragraph" w:styleId="TOC1">
    <w:name w:val="toc 1"/>
    <w:basedOn w:val="Normal"/>
    <w:next w:val="Normal"/>
    <w:autoRedefine/>
    <w:uiPriority w:val="39"/>
    <w:unhideWhenUsed/>
    <w:rsid w:val="00A34B39"/>
    <w:pPr>
      <w:tabs>
        <w:tab w:val="right" w:leader="dot" w:pos="9016"/>
      </w:tabs>
      <w:spacing w:after="100" w:line="480" w:lineRule="auto"/>
    </w:pPr>
    <w:rPr>
      <w:rFonts w:eastAsia="Times New Roman" w:cs="Times New Roman"/>
      <w:b/>
      <w:bCs/>
      <w:noProof/>
    </w:rPr>
  </w:style>
  <w:style w:type="character" w:styleId="Hyperlink">
    <w:name w:val="Hyperlink"/>
    <w:basedOn w:val="DefaultParagraphFont"/>
    <w:uiPriority w:val="99"/>
    <w:unhideWhenUsed/>
    <w:rsid w:val="00A83BAC"/>
    <w:rPr>
      <w:color w:val="0563C1" w:themeColor="hyperlink"/>
      <w:u w:val="single"/>
    </w:rPr>
  </w:style>
  <w:style w:type="character" w:styleId="PlaceholderText">
    <w:name w:val="Placeholder Text"/>
    <w:basedOn w:val="DefaultParagraphFont"/>
    <w:uiPriority w:val="99"/>
    <w:semiHidden/>
    <w:rsid w:val="003253D4"/>
    <w:rPr>
      <w:color w:val="808080"/>
    </w:rPr>
  </w:style>
  <w:style w:type="character" w:customStyle="1" w:styleId="UnresolvedMention1">
    <w:name w:val="Unresolved Mention1"/>
    <w:basedOn w:val="DefaultParagraphFont"/>
    <w:uiPriority w:val="99"/>
    <w:semiHidden/>
    <w:unhideWhenUsed/>
    <w:rsid w:val="00E73B3B"/>
    <w:rPr>
      <w:color w:val="605E5C"/>
      <w:shd w:val="clear" w:color="auto" w:fill="E1DFDD"/>
    </w:rPr>
  </w:style>
  <w:style w:type="paragraph" w:styleId="NormalWeb">
    <w:name w:val="Normal (Web)"/>
    <w:basedOn w:val="Normal"/>
    <w:uiPriority w:val="99"/>
    <w:unhideWhenUsed/>
    <w:rsid w:val="00415EF5"/>
    <w:pPr>
      <w:spacing w:before="100" w:beforeAutospacing="1" w:after="100" w:afterAutospacing="1"/>
      <w:jc w:val="left"/>
    </w:pPr>
    <w:rPr>
      <w:rFonts w:eastAsia="Times New Roman" w:cs="Times New Roman"/>
      <w:szCs w:val="24"/>
    </w:rPr>
  </w:style>
  <w:style w:type="character" w:styleId="Emphasis">
    <w:name w:val="Emphasis"/>
    <w:basedOn w:val="DefaultParagraphFont"/>
    <w:uiPriority w:val="20"/>
    <w:qFormat/>
    <w:rsid w:val="00415EF5"/>
    <w:rPr>
      <w:i/>
      <w:iCs/>
    </w:rPr>
  </w:style>
  <w:style w:type="paragraph" w:styleId="ListParagraph">
    <w:name w:val="List Paragraph"/>
    <w:basedOn w:val="Normal"/>
    <w:uiPriority w:val="34"/>
    <w:qFormat/>
    <w:rsid w:val="00B842CD"/>
    <w:pPr>
      <w:ind w:left="720"/>
      <w:contextualSpacing/>
    </w:pPr>
  </w:style>
  <w:style w:type="paragraph" w:styleId="TOC2">
    <w:name w:val="toc 2"/>
    <w:basedOn w:val="Normal"/>
    <w:next w:val="Normal"/>
    <w:autoRedefine/>
    <w:uiPriority w:val="39"/>
    <w:unhideWhenUsed/>
    <w:rsid w:val="00CF5081"/>
    <w:pPr>
      <w:tabs>
        <w:tab w:val="left" w:pos="720"/>
        <w:tab w:val="right" w:leader="dot" w:pos="9016"/>
      </w:tabs>
      <w:spacing w:after="100" w:line="480" w:lineRule="auto"/>
      <w:ind w:left="720" w:hanging="720"/>
    </w:pPr>
  </w:style>
  <w:style w:type="table" w:styleId="TableGrid">
    <w:name w:val="Table Grid"/>
    <w:basedOn w:val="TableNormal"/>
    <w:uiPriority w:val="39"/>
    <w:rsid w:val="00A10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Normal"/>
    <w:uiPriority w:val="50"/>
    <w:rsid w:val="00A10B1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PlainTable51">
    <w:name w:val="Plain Table 51"/>
    <w:basedOn w:val="TableNormal"/>
    <w:uiPriority w:val="45"/>
    <w:rsid w:val="00A10B1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rsid w:val="0099223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
    <w:name w:val="Plain Table 31"/>
    <w:basedOn w:val="TableNormal"/>
    <w:uiPriority w:val="43"/>
    <w:rsid w:val="0086062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187499"/>
    <w:pPr>
      <w:tabs>
        <w:tab w:val="center" w:pos="4513"/>
        <w:tab w:val="right" w:pos="9026"/>
      </w:tabs>
    </w:pPr>
  </w:style>
  <w:style w:type="character" w:customStyle="1" w:styleId="HeaderChar">
    <w:name w:val="Header Char"/>
    <w:basedOn w:val="DefaultParagraphFont"/>
    <w:link w:val="Header"/>
    <w:uiPriority w:val="99"/>
    <w:rsid w:val="00187499"/>
  </w:style>
  <w:style w:type="paragraph" w:styleId="Footer">
    <w:name w:val="footer"/>
    <w:basedOn w:val="Normal"/>
    <w:link w:val="FooterChar"/>
    <w:uiPriority w:val="99"/>
    <w:unhideWhenUsed/>
    <w:rsid w:val="00187499"/>
    <w:pPr>
      <w:tabs>
        <w:tab w:val="center" w:pos="4513"/>
        <w:tab w:val="right" w:pos="9026"/>
      </w:tabs>
    </w:pPr>
  </w:style>
  <w:style w:type="character" w:customStyle="1" w:styleId="FooterChar">
    <w:name w:val="Footer Char"/>
    <w:basedOn w:val="DefaultParagraphFont"/>
    <w:link w:val="Footer"/>
    <w:uiPriority w:val="99"/>
    <w:rsid w:val="00187499"/>
  </w:style>
  <w:style w:type="character" w:styleId="Strong">
    <w:name w:val="Strong"/>
    <w:basedOn w:val="DefaultParagraphFont"/>
    <w:uiPriority w:val="22"/>
    <w:qFormat/>
    <w:rsid w:val="00590C0A"/>
    <w:rPr>
      <w:b/>
      <w:bCs/>
    </w:rPr>
  </w:style>
  <w:style w:type="paragraph" w:styleId="FootnoteText">
    <w:name w:val="footnote text"/>
    <w:basedOn w:val="Normal"/>
    <w:link w:val="FootnoteTextChar"/>
    <w:uiPriority w:val="99"/>
    <w:semiHidden/>
    <w:unhideWhenUsed/>
    <w:rsid w:val="00A7180D"/>
    <w:rPr>
      <w:sz w:val="20"/>
      <w:szCs w:val="20"/>
    </w:rPr>
  </w:style>
  <w:style w:type="character" w:customStyle="1" w:styleId="FootnoteTextChar">
    <w:name w:val="Footnote Text Char"/>
    <w:basedOn w:val="DefaultParagraphFont"/>
    <w:link w:val="FootnoteText"/>
    <w:uiPriority w:val="99"/>
    <w:semiHidden/>
    <w:rsid w:val="00A7180D"/>
    <w:rPr>
      <w:sz w:val="20"/>
      <w:szCs w:val="20"/>
    </w:rPr>
  </w:style>
  <w:style w:type="character" w:styleId="FootnoteReference">
    <w:name w:val="footnote reference"/>
    <w:basedOn w:val="DefaultParagraphFont"/>
    <w:uiPriority w:val="99"/>
    <w:semiHidden/>
    <w:unhideWhenUsed/>
    <w:rsid w:val="00A7180D"/>
    <w:rPr>
      <w:vertAlign w:val="superscript"/>
    </w:rPr>
  </w:style>
  <w:style w:type="character" w:customStyle="1" w:styleId="fontstyle01">
    <w:name w:val="fontstyle01"/>
    <w:basedOn w:val="DefaultParagraphFont"/>
    <w:rsid w:val="006C1347"/>
    <w:rPr>
      <w:rFonts w:ascii="Times New Roman" w:hAnsi="Times New Roman" w:cs="Times New Roman" w:hint="default"/>
      <w:b w:val="0"/>
      <w:bCs w:val="0"/>
      <w:i w:val="0"/>
      <w:iCs w:val="0"/>
      <w:color w:val="000000"/>
      <w:sz w:val="24"/>
      <w:szCs w:val="24"/>
    </w:rPr>
  </w:style>
  <w:style w:type="paragraph" w:styleId="Subtitle">
    <w:name w:val="Subtitle"/>
    <w:basedOn w:val="Normal"/>
    <w:next w:val="Normal"/>
    <w:link w:val="SubtitleChar"/>
    <w:uiPriority w:val="11"/>
    <w:qFormat/>
    <w:rsid w:val="00BC1538"/>
    <w:pPr>
      <w:numPr>
        <w:ilvl w:val="1"/>
      </w:numPr>
      <w:ind w:left="35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1538"/>
    <w:rPr>
      <w:rFonts w:eastAsiaTheme="minorEastAsia"/>
      <w:color w:val="5A5A5A" w:themeColor="text1" w:themeTint="A5"/>
      <w:spacing w:val="15"/>
    </w:rPr>
  </w:style>
  <w:style w:type="table" w:customStyle="1" w:styleId="PlainTable41">
    <w:name w:val="Plain Table 41"/>
    <w:basedOn w:val="TableNormal"/>
    <w:uiPriority w:val="44"/>
    <w:rsid w:val="00E576D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84E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semiHidden/>
    <w:unhideWhenUsed/>
    <w:qFormat/>
    <w:rsid w:val="00714C9F"/>
    <w:pPr>
      <w:spacing w:after="200"/>
      <w:jc w:val="left"/>
    </w:pPr>
    <w:rPr>
      <w:rFonts w:ascii="Calibri" w:eastAsia="Calibri" w:hAnsi="Calibri" w:cs="Times New Roman"/>
      <w:b/>
      <w:bCs/>
      <w:sz w:val="20"/>
      <w:szCs w:val="20"/>
    </w:rPr>
  </w:style>
  <w:style w:type="table" w:customStyle="1" w:styleId="PlainTable11">
    <w:name w:val="Plain Table 11"/>
    <w:basedOn w:val="TableNormal"/>
    <w:uiPriority w:val="41"/>
    <w:rsid w:val="00714C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A130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A34B39"/>
    <w:pPr>
      <w:tabs>
        <w:tab w:val="left" w:pos="1320"/>
        <w:tab w:val="right" w:leader="dot" w:pos="9016"/>
      </w:tabs>
      <w:spacing w:after="100" w:line="480" w:lineRule="auto"/>
      <w:ind w:left="440"/>
    </w:pPr>
    <w:rPr>
      <w:noProof/>
    </w:rPr>
  </w:style>
  <w:style w:type="paragraph" w:styleId="NoSpacing">
    <w:name w:val="No Spacing"/>
    <w:uiPriority w:val="1"/>
    <w:qFormat/>
    <w:rsid w:val="00A34437"/>
    <w:pPr>
      <w:spacing w:line="240" w:lineRule="auto"/>
    </w:pPr>
  </w:style>
  <w:style w:type="table" w:customStyle="1" w:styleId="ListTable6Colorful1">
    <w:name w:val="List Table 6 Colorful1"/>
    <w:basedOn w:val="TableNormal"/>
    <w:uiPriority w:val="51"/>
    <w:rsid w:val="00604A75"/>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unhideWhenUsed/>
    <w:rsid w:val="004A73DA"/>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4A73DA"/>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4A73DA"/>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4A73DA"/>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4A73DA"/>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4A73DA"/>
    <w:pPr>
      <w:spacing w:after="100" w:line="259" w:lineRule="auto"/>
      <w:ind w:left="1760"/>
      <w:jc w:val="left"/>
    </w:pPr>
    <w:rPr>
      <w:rFonts w:asciiTheme="minorHAnsi" w:eastAsiaTheme="minorEastAsia" w:hAnsiTheme="minorHAnsi"/>
      <w:sz w:val="22"/>
    </w:rPr>
  </w:style>
  <w:style w:type="character" w:styleId="LineNumber">
    <w:name w:val="line number"/>
    <w:basedOn w:val="DefaultParagraphFont"/>
    <w:uiPriority w:val="99"/>
    <w:semiHidden/>
    <w:unhideWhenUsed/>
    <w:rsid w:val="005D236E"/>
  </w:style>
  <w:style w:type="table" w:customStyle="1" w:styleId="ListTable21">
    <w:name w:val="List Table 21"/>
    <w:basedOn w:val="TableNormal"/>
    <w:uiPriority w:val="47"/>
    <w:rsid w:val="009E63C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692E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EEF"/>
    <w:rPr>
      <w:rFonts w:ascii="Tahoma" w:hAnsi="Tahoma" w:cs="Tahoma"/>
      <w:sz w:val="16"/>
      <w:szCs w:val="16"/>
    </w:rPr>
  </w:style>
  <w:style w:type="table" w:styleId="LightShading">
    <w:name w:val="Light Shading"/>
    <w:basedOn w:val="TableNormal"/>
    <w:uiPriority w:val="60"/>
    <w:rsid w:val="003E467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6Colorful">
    <w:name w:val="List Table 6 Colorful"/>
    <w:basedOn w:val="TableNormal"/>
    <w:uiPriority w:val="51"/>
    <w:rsid w:val="006E1D0A"/>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5415B9"/>
    <w:pPr>
      <w:spacing w:line="240" w:lineRule="auto"/>
      <w:jc w:val="left"/>
    </w:pPr>
    <w:rPr>
      <w:rFonts w:ascii="Times New Roman" w:hAnsi="Times New Roman"/>
      <w:sz w:val="24"/>
    </w:rPr>
  </w:style>
  <w:style w:type="character" w:customStyle="1" w:styleId="UnresolvedMention2">
    <w:name w:val="Unresolved Mention2"/>
    <w:basedOn w:val="DefaultParagraphFont"/>
    <w:uiPriority w:val="99"/>
    <w:semiHidden/>
    <w:unhideWhenUsed/>
    <w:rsid w:val="00770950"/>
    <w:rPr>
      <w:color w:val="605E5C"/>
      <w:shd w:val="clear" w:color="auto" w:fill="E1DFDD"/>
    </w:rPr>
  </w:style>
  <w:style w:type="character" w:customStyle="1" w:styleId="UnresolvedMention3">
    <w:name w:val="Unresolved Mention3"/>
    <w:basedOn w:val="DefaultParagraphFont"/>
    <w:uiPriority w:val="99"/>
    <w:semiHidden/>
    <w:unhideWhenUsed/>
    <w:rsid w:val="00571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983">
      <w:bodyDiv w:val="1"/>
      <w:marLeft w:val="0"/>
      <w:marRight w:val="0"/>
      <w:marTop w:val="0"/>
      <w:marBottom w:val="0"/>
      <w:divBdr>
        <w:top w:val="none" w:sz="0" w:space="0" w:color="auto"/>
        <w:left w:val="none" w:sz="0" w:space="0" w:color="auto"/>
        <w:bottom w:val="none" w:sz="0" w:space="0" w:color="auto"/>
        <w:right w:val="none" w:sz="0" w:space="0" w:color="auto"/>
      </w:divBdr>
    </w:div>
    <w:div w:id="57409660">
      <w:bodyDiv w:val="1"/>
      <w:marLeft w:val="0"/>
      <w:marRight w:val="0"/>
      <w:marTop w:val="0"/>
      <w:marBottom w:val="0"/>
      <w:divBdr>
        <w:top w:val="none" w:sz="0" w:space="0" w:color="auto"/>
        <w:left w:val="none" w:sz="0" w:space="0" w:color="auto"/>
        <w:bottom w:val="none" w:sz="0" w:space="0" w:color="auto"/>
        <w:right w:val="none" w:sz="0" w:space="0" w:color="auto"/>
      </w:divBdr>
    </w:div>
    <w:div w:id="96679923">
      <w:bodyDiv w:val="1"/>
      <w:marLeft w:val="0"/>
      <w:marRight w:val="0"/>
      <w:marTop w:val="0"/>
      <w:marBottom w:val="0"/>
      <w:divBdr>
        <w:top w:val="none" w:sz="0" w:space="0" w:color="auto"/>
        <w:left w:val="none" w:sz="0" w:space="0" w:color="auto"/>
        <w:bottom w:val="none" w:sz="0" w:space="0" w:color="auto"/>
        <w:right w:val="none" w:sz="0" w:space="0" w:color="auto"/>
      </w:divBdr>
    </w:div>
    <w:div w:id="115834477">
      <w:bodyDiv w:val="1"/>
      <w:marLeft w:val="0"/>
      <w:marRight w:val="0"/>
      <w:marTop w:val="0"/>
      <w:marBottom w:val="0"/>
      <w:divBdr>
        <w:top w:val="none" w:sz="0" w:space="0" w:color="auto"/>
        <w:left w:val="none" w:sz="0" w:space="0" w:color="auto"/>
        <w:bottom w:val="none" w:sz="0" w:space="0" w:color="auto"/>
        <w:right w:val="none" w:sz="0" w:space="0" w:color="auto"/>
      </w:divBdr>
    </w:div>
    <w:div w:id="118300071">
      <w:bodyDiv w:val="1"/>
      <w:marLeft w:val="0"/>
      <w:marRight w:val="0"/>
      <w:marTop w:val="0"/>
      <w:marBottom w:val="0"/>
      <w:divBdr>
        <w:top w:val="none" w:sz="0" w:space="0" w:color="auto"/>
        <w:left w:val="none" w:sz="0" w:space="0" w:color="auto"/>
        <w:bottom w:val="none" w:sz="0" w:space="0" w:color="auto"/>
        <w:right w:val="none" w:sz="0" w:space="0" w:color="auto"/>
      </w:divBdr>
    </w:div>
    <w:div w:id="145896071">
      <w:bodyDiv w:val="1"/>
      <w:marLeft w:val="0"/>
      <w:marRight w:val="0"/>
      <w:marTop w:val="0"/>
      <w:marBottom w:val="0"/>
      <w:divBdr>
        <w:top w:val="none" w:sz="0" w:space="0" w:color="auto"/>
        <w:left w:val="none" w:sz="0" w:space="0" w:color="auto"/>
        <w:bottom w:val="none" w:sz="0" w:space="0" w:color="auto"/>
        <w:right w:val="none" w:sz="0" w:space="0" w:color="auto"/>
      </w:divBdr>
    </w:div>
    <w:div w:id="248663346">
      <w:bodyDiv w:val="1"/>
      <w:marLeft w:val="0"/>
      <w:marRight w:val="0"/>
      <w:marTop w:val="0"/>
      <w:marBottom w:val="0"/>
      <w:divBdr>
        <w:top w:val="none" w:sz="0" w:space="0" w:color="auto"/>
        <w:left w:val="none" w:sz="0" w:space="0" w:color="auto"/>
        <w:bottom w:val="none" w:sz="0" w:space="0" w:color="auto"/>
        <w:right w:val="none" w:sz="0" w:space="0" w:color="auto"/>
      </w:divBdr>
    </w:div>
    <w:div w:id="319043346">
      <w:bodyDiv w:val="1"/>
      <w:marLeft w:val="0"/>
      <w:marRight w:val="0"/>
      <w:marTop w:val="0"/>
      <w:marBottom w:val="0"/>
      <w:divBdr>
        <w:top w:val="none" w:sz="0" w:space="0" w:color="auto"/>
        <w:left w:val="none" w:sz="0" w:space="0" w:color="auto"/>
        <w:bottom w:val="none" w:sz="0" w:space="0" w:color="auto"/>
        <w:right w:val="none" w:sz="0" w:space="0" w:color="auto"/>
      </w:divBdr>
    </w:div>
    <w:div w:id="321591430">
      <w:bodyDiv w:val="1"/>
      <w:marLeft w:val="0"/>
      <w:marRight w:val="0"/>
      <w:marTop w:val="0"/>
      <w:marBottom w:val="0"/>
      <w:divBdr>
        <w:top w:val="none" w:sz="0" w:space="0" w:color="auto"/>
        <w:left w:val="none" w:sz="0" w:space="0" w:color="auto"/>
        <w:bottom w:val="none" w:sz="0" w:space="0" w:color="auto"/>
        <w:right w:val="none" w:sz="0" w:space="0" w:color="auto"/>
      </w:divBdr>
    </w:div>
    <w:div w:id="336008431">
      <w:bodyDiv w:val="1"/>
      <w:marLeft w:val="0"/>
      <w:marRight w:val="0"/>
      <w:marTop w:val="0"/>
      <w:marBottom w:val="0"/>
      <w:divBdr>
        <w:top w:val="none" w:sz="0" w:space="0" w:color="auto"/>
        <w:left w:val="none" w:sz="0" w:space="0" w:color="auto"/>
        <w:bottom w:val="none" w:sz="0" w:space="0" w:color="auto"/>
        <w:right w:val="none" w:sz="0" w:space="0" w:color="auto"/>
      </w:divBdr>
    </w:div>
    <w:div w:id="345058793">
      <w:bodyDiv w:val="1"/>
      <w:marLeft w:val="0"/>
      <w:marRight w:val="0"/>
      <w:marTop w:val="0"/>
      <w:marBottom w:val="0"/>
      <w:divBdr>
        <w:top w:val="none" w:sz="0" w:space="0" w:color="auto"/>
        <w:left w:val="none" w:sz="0" w:space="0" w:color="auto"/>
        <w:bottom w:val="none" w:sz="0" w:space="0" w:color="auto"/>
        <w:right w:val="none" w:sz="0" w:space="0" w:color="auto"/>
      </w:divBdr>
    </w:div>
    <w:div w:id="353000566">
      <w:bodyDiv w:val="1"/>
      <w:marLeft w:val="0"/>
      <w:marRight w:val="0"/>
      <w:marTop w:val="0"/>
      <w:marBottom w:val="0"/>
      <w:divBdr>
        <w:top w:val="none" w:sz="0" w:space="0" w:color="auto"/>
        <w:left w:val="none" w:sz="0" w:space="0" w:color="auto"/>
        <w:bottom w:val="none" w:sz="0" w:space="0" w:color="auto"/>
        <w:right w:val="none" w:sz="0" w:space="0" w:color="auto"/>
      </w:divBdr>
    </w:div>
    <w:div w:id="380633367">
      <w:bodyDiv w:val="1"/>
      <w:marLeft w:val="0"/>
      <w:marRight w:val="0"/>
      <w:marTop w:val="0"/>
      <w:marBottom w:val="0"/>
      <w:divBdr>
        <w:top w:val="none" w:sz="0" w:space="0" w:color="auto"/>
        <w:left w:val="none" w:sz="0" w:space="0" w:color="auto"/>
        <w:bottom w:val="none" w:sz="0" w:space="0" w:color="auto"/>
        <w:right w:val="none" w:sz="0" w:space="0" w:color="auto"/>
      </w:divBdr>
    </w:div>
    <w:div w:id="411582871">
      <w:bodyDiv w:val="1"/>
      <w:marLeft w:val="0"/>
      <w:marRight w:val="0"/>
      <w:marTop w:val="0"/>
      <w:marBottom w:val="0"/>
      <w:divBdr>
        <w:top w:val="none" w:sz="0" w:space="0" w:color="auto"/>
        <w:left w:val="none" w:sz="0" w:space="0" w:color="auto"/>
        <w:bottom w:val="none" w:sz="0" w:space="0" w:color="auto"/>
        <w:right w:val="none" w:sz="0" w:space="0" w:color="auto"/>
      </w:divBdr>
    </w:div>
    <w:div w:id="419520034">
      <w:bodyDiv w:val="1"/>
      <w:marLeft w:val="0"/>
      <w:marRight w:val="0"/>
      <w:marTop w:val="0"/>
      <w:marBottom w:val="0"/>
      <w:divBdr>
        <w:top w:val="none" w:sz="0" w:space="0" w:color="auto"/>
        <w:left w:val="none" w:sz="0" w:space="0" w:color="auto"/>
        <w:bottom w:val="none" w:sz="0" w:space="0" w:color="auto"/>
        <w:right w:val="none" w:sz="0" w:space="0" w:color="auto"/>
      </w:divBdr>
    </w:div>
    <w:div w:id="476192984">
      <w:bodyDiv w:val="1"/>
      <w:marLeft w:val="0"/>
      <w:marRight w:val="0"/>
      <w:marTop w:val="0"/>
      <w:marBottom w:val="0"/>
      <w:divBdr>
        <w:top w:val="none" w:sz="0" w:space="0" w:color="auto"/>
        <w:left w:val="none" w:sz="0" w:space="0" w:color="auto"/>
        <w:bottom w:val="none" w:sz="0" w:space="0" w:color="auto"/>
        <w:right w:val="none" w:sz="0" w:space="0" w:color="auto"/>
      </w:divBdr>
    </w:div>
    <w:div w:id="504397003">
      <w:bodyDiv w:val="1"/>
      <w:marLeft w:val="0"/>
      <w:marRight w:val="0"/>
      <w:marTop w:val="0"/>
      <w:marBottom w:val="0"/>
      <w:divBdr>
        <w:top w:val="none" w:sz="0" w:space="0" w:color="auto"/>
        <w:left w:val="none" w:sz="0" w:space="0" w:color="auto"/>
        <w:bottom w:val="none" w:sz="0" w:space="0" w:color="auto"/>
        <w:right w:val="none" w:sz="0" w:space="0" w:color="auto"/>
      </w:divBdr>
    </w:div>
    <w:div w:id="541795747">
      <w:bodyDiv w:val="1"/>
      <w:marLeft w:val="0"/>
      <w:marRight w:val="0"/>
      <w:marTop w:val="0"/>
      <w:marBottom w:val="0"/>
      <w:divBdr>
        <w:top w:val="none" w:sz="0" w:space="0" w:color="auto"/>
        <w:left w:val="none" w:sz="0" w:space="0" w:color="auto"/>
        <w:bottom w:val="none" w:sz="0" w:space="0" w:color="auto"/>
        <w:right w:val="none" w:sz="0" w:space="0" w:color="auto"/>
      </w:divBdr>
    </w:div>
    <w:div w:id="543835142">
      <w:bodyDiv w:val="1"/>
      <w:marLeft w:val="0"/>
      <w:marRight w:val="0"/>
      <w:marTop w:val="0"/>
      <w:marBottom w:val="0"/>
      <w:divBdr>
        <w:top w:val="none" w:sz="0" w:space="0" w:color="auto"/>
        <w:left w:val="none" w:sz="0" w:space="0" w:color="auto"/>
        <w:bottom w:val="none" w:sz="0" w:space="0" w:color="auto"/>
        <w:right w:val="none" w:sz="0" w:space="0" w:color="auto"/>
      </w:divBdr>
    </w:div>
    <w:div w:id="601038578">
      <w:bodyDiv w:val="1"/>
      <w:marLeft w:val="0"/>
      <w:marRight w:val="0"/>
      <w:marTop w:val="0"/>
      <w:marBottom w:val="0"/>
      <w:divBdr>
        <w:top w:val="none" w:sz="0" w:space="0" w:color="auto"/>
        <w:left w:val="none" w:sz="0" w:space="0" w:color="auto"/>
        <w:bottom w:val="none" w:sz="0" w:space="0" w:color="auto"/>
        <w:right w:val="none" w:sz="0" w:space="0" w:color="auto"/>
      </w:divBdr>
    </w:div>
    <w:div w:id="643896559">
      <w:bodyDiv w:val="1"/>
      <w:marLeft w:val="0"/>
      <w:marRight w:val="0"/>
      <w:marTop w:val="0"/>
      <w:marBottom w:val="0"/>
      <w:divBdr>
        <w:top w:val="none" w:sz="0" w:space="0" w:color="auto"/>
        <w:left w:val="none" w:sz="0" w:space="0" w:color="auto"/>
        <w:bottom w:val="none" w:sz="0" w:space="0" w:color="auto"/>
        <w:right w:val="none" w:sz="0" w:space="0" w:color="auto"/>
      </w:divBdr>
    </w:div>
    <w:div w:id="649407733">
      <w:bodyDiv w:val="1"/>
      <w:marLeft w:val="0"/>
      <w:marRight w:val="0"/>
      <w:marTop w:val="0"/>
      <w:marBottom w:val="0"/>
      <w:divBdr>
        <w:top w:val="none" w:sz="0" w:space="0" w:color="auto"/>
        <w:left w:val="none" w:sz="0" w:space="0" w:color="auto"/>
        <w:bottom w:val="none" w:sz="0" w:space="0" w:color="auto"/>
        <w:right w:val="none" w:sz="0" w:space="0" w:color="auto"/>
      </w:divBdr>
    </w:div>
    <w:div w:id="650251465">
      <w:bodyDiv w:val="1"/>
      <w:marLeft w:val="0"/>
      <w:marRight w:val="0"/>
      <w:marTop w:val="0"/>
      <w:marBottom w:val="0"/>
      <w:divBdr>
        <w:top w:val="none" w:sz="0" w:space="0" w:color="auto"/>
        <w:left w:val="none" w:sz="0" w:space="0" w:color="auto"/>
        <w:bottom w:val="none" w:sz="0" w:space="0" w:color="auto"/>
        <w:right w:val="none" w:sz="0" w:space="0" w:color="auto"/>
      </w:divBdr>
    </w:div>
    <w:div w:id="664016444">
      <w:bodyDiv w:val="1"/>
      <w:marLeft w:val="0"/>
      <w:marRight w:val="0"/>
      <w:marTop w:val="0"/>
      <w:marBottom w:val="0"/>
      <w:divBdr>
        <w:top w:val="none" w:sz="0" w:space="0" w:color="auto"/>
        <w:left w:val="none" w:sz="0" w:space="0" w:color="auto"/>
        <w:bottom w:val="none" w:sz="0" w:space="0" w:color="auto"/>
        <w:right w:val="none" w:sz="0" w:space="0" w:color="auto"/>
      </w:divBdr>
    </w:div>
    <w:div w:id="722171975">
      <w:bodyDiv w:val="1"/>
      <w:marLeft w:val="0"/>
      <w:marRight w:val="0"/>
      <w:marTop w:val="0"/>
      <w:marBottom w:val="0"/>
      <w:divBdr>
        <w:top w:val="none" w:sz="0" w:space="0" w:color="auto"/>
        <w:left w:val="none" w:sz="0" w:space="0" w:color="auto"/>
        <w:bottom w:val="none" w:sz="0" w:space="0" w:color="auto"/>
        <w:right w:val="none" w:sz="0" w:space="0" w:color="auto"/>
      </w:divBdr>
    </w:div>
    <w:div w:id="726412435">
      <w:bodyDiv w:val="1"/>
      <w:marLeft w:val="0"/>
      <w:marRight w:val="0"/>
      <w:marTop w:val="0"/>
      <w:marBottom w:val="0"/>
      <w:divBdr>
        <w:top w:val="none" w:sz="0" w:space="0" w:color="auto"/>
        <w:left w:val="none" w:sz="0" w:space="0" w:color="auto"/>
        <w:bottom w:val="none" w:sz="0" w:space="0" w:color="auto"/>
        <w:right w:val="none" w:sz="0" w:space="0" w:color="auto"/>
      </w:divBdr>
    </w:div>
    <w:div w:id="730423182">
      <w:bodyDiv w:val="1"/>
      <w:marLeft w:val="0"/>
      <w:marRight w:val="0"/>
      <w:marTop w:val="0"/>
      <w:marBottom w:val="0"/>
      <w:divBdr>
        <w:top w:val="none" w:sz="0" w:space="0" w:color="auto"/>
        <w:left w:val="none" w:sz="0" w:space="0" w:color="auto"/>
        <w:bottom w:val="none" w:sz="0" w:space="0" w:color="auto"/>
        <w:right w:val="none" w:sz="0" w:space="0" w:color="auto"/>
      </w:divBdr>
      <w:divsChild>
        <w:div w:id="457532314">
          <w:marLeft w:val="0"/>
          <w:marRight w:val="0"/>
          <w:marTop w:val="0"/>
          <w:marBottom w:val="0"/>
          <w:divBdr>
            <w:top w:val="none" w:sz="0" w:space="0" w:color="auto"/>
            <w:left w:val="none" w:sz="0" w:space="0" w:color="auto"/>
            <w:bottom w:val="none" w:sz="0" w:space="0" w:color="auto"/>
            <w:right w:val="none" w:sz="0" w:space="0" w:color="auto"/>
          </w:divBdr>
        </w:div>
      </w:divsChild>
    </w:div>
    <w:div w:id="739063554">
      <w:bodyDiv w:val="1"/>
      <w:marLeft w:val="0"/>
      <w:marRight w:val="0"/>
      <w:marTop w:val="0"/>
      <w:marBottom w:val="0"/>
      <w:divBdr>
        <w:top w:val="none" w:sz="0" w:space="0" w:color="auto"/>
        <w:left w:val="none" w:sz="0" w:space="0" w:color="auto"/>
        <w:bottom w:val="none" w:sz="0" w:space="0" w:color="auto"/>
        <w:right w:val="none" w:sz="0" w:space="0" w:color="auto"/>
      </w:divBdr>
    </w:div>
    <w:div w:id="751587002">
      <w:bodyDiv w:val="1"/>
      <w:marLeft w:val="0"/>
      <w:marRight w:val="0"/>
      <w:marTop w:val="0"/>
      <w:marBottom w:val="0"/>
      <w:divBdr>
        <w:top w:val="none" w:sz="0" w:space="0" w:color="auto"/>
        <w:left w:val="none" w:sz="0" w:space="0" w:color="auto"/>
        <w:bottom w:val="none" w:sz="0" w:space="0" w:color="auto"/>
        <w:right w:val="none" w:sz="0" w:space="0" w:color="auto"/>
      </w:divBdr>
    </w:div>
    <w:div w:id="751782952">
      <w:bodyDiv w:val="1"/>
      <w:marLeft w:val="0"/>
      <w:marRight w:val="0"/>
      <w:marTop w:val="0"/>
      <w:marBottom w:val="0"/>
      <w:divBdr>
        <w:top w:val="none" w:sz="0" w:space="0" w:color="auto"/>
        <w:left w:val="none" w:sz="0" w:space="0" w:color="auto"/>
        <w:bottom w:val="none" w:sz="0" w:space="0" w:color="auto"/>
        <w:right w:val="none" w:sz="0" w:space="0" w:color="auto"/>
      </w:divBdr>
      <w:divsChild>
        <w:div w:id="431556618">
          <w:marLeft w:val="0"/>
          <w:marRight w:val="0"/>
          <w:marTop w:val="0"/>
          <w:marBottom w:val="0"/>
          <w:divBdr>
            <w:top w:val="none" w:sz="0" w:space="0" w:color="auto"/>
            <w:left w:val="none" w:sz="0" w:space="0" w:color="auto"/>
            <w:bottom w:val="none" w:sz="0" w:space="0" w:color="auto"/>
            <w:right w:val="none" w:sz="0" w:space="0" w:color="auto"/>
          </w:divBdr>
        </w:div>
      </w:divsChild>
    </w:div>
    <w:div w:id="792092554">
      <w:bodyDiv w:val="1"/>
      <w:marLeft w:val="0"/>
      <w:marRight w:val="0"/>
      <w:marTop w:val="0"/>
      <w:marBottom w:val="0"/>
      <w:divBdr>
        <w:top w:val="none" w:sz="0" w:space="0" w:color="auto"/>
        <w:left w:val="none" w:sz="0" w:space="0" w:color="auto"/>
        <w:bottom w:val="none" w:sz="0" w:space="0" w:color="auto"/>
        <w:right w:val="none" w:sz="0" w:space="0" w:color="auto"/>
      </w:divBdr>
    </w:div>
    <w:div w:id="832795418">
      <w:bodyDiv w:val="1"/>
      <w:marLeft w:val="0"/>
      <w:marRight w:val="0"/>
      <w:marTop w:val="0"/>
      <w:marBottom w:val="0"/>
      <w:divBdr>
        <w:top w:val="none" w:sz="0" w:space="0" w:color="auto"/>
        <w:left w:val="none" w:sz="0" w:space="0" w:color="auto"/>
        <w:bottom w:val="none" w:sz="0" w:space="0" w:color="auto"/>
        <w:right w:val="none" w:sz="0" w:space="0" w:color="auto"/>
      </w:divBdr>
    </w:div>
    <w:div w:id="877358141">
      <w:bodyDiv w:val="1"/>
      <w:marLeft w:val="0"/>
      <w:marRight w:val="0"/>
      <w:marTop w:val="0"/>
      <w:marBottom w:val="0"/>
      <w:divBdr>
        <w:top w:val="none" w:sz="0" w:space="0" w:color="auto"/>
        <w:left w:val="none" w:sz="0" w:space="0" w:color="auto"/>
        <w:bottom w:val="none" w:sz="0" w:space="0" w:color="auto"/>
        <w:right w:val="none" w:sz="0" w:space="0" w:color="auto"/>
      </w:divBdr>
    </w:div>
    <w:div w:id="893346082">
      <w:bodyDiv w:val="1"/>
      <w:marLeft w:val="0"/>
      <w:marRight w:val="0"/>
      <w:marTop w:val="0"/>
      <w:marBottom w:val="0"/>
      <w:divBdr>
        <w:top w:val="none" w:sz="0" w:space="0" w:color="auto"/>
        <w:left w:val="none" w:sz="0" w:space="0" w:color="auto"/>
        <w:bottom w:val="none" w:sz="0" w:space="0" w:color="auto"/>
        <w:right w:val="none" w:sz="0" w:space="0" w:color="auto"/>
      </w:divBdr>
    </w:div>
    <w:div w:id="924143381">
      <w:bodyDiv w:val="1"/>
      <w:marLeft w:val="0"/>
      <w:marRight w:val="0"/>
      <w:marTop w:val="0"/>
      <w:marBottom w:val="0"/>
      <w:divBdr>
        <w:top w:val="none" w:sz="0" w:space="0" w:color="auto"/>
        <w:left w:val="none" w:sz="0" w:space="0" w:color="auto"/>
        <w:bottom w:val="none" w:sz="0" w:space="0" w:color="auto"/>
        <w:right w:val="none" w:sz="0" w:space="0" w:color="auto"/>
      </w:divBdr>
    </w:div>
    <w:div w:id="971791399">
      <w:bodyDiv w:val="1"/>
      <w:marLeft w:val="0"/>
      <w:marRight w:val="0"/>
      <w:marTop w:val="0"/>
      <w:marBottom w:val="0"/>
      <w:divBdr>
        <w:top w:val="none" w:sz="0" w:space="0" w:color="auto"/>
        <w:left w:val="none" w:sz="0" w:space="0" w:color="auto"/>
        <w:bottom w:val="none" w:sz="0" w:space="0" w:color="auto"/>
        <w:right w:val="none" w:sz="0" w:space="0" w:color="auto"/>
      </w:divBdr>
    </w:div>
    <w:div w:id="1068654327">
      <w:bodyDiv w:val="1"/>
      <w:marLeft w:val="0"/>
      <w:marRight w:val="0"/>
      <w:marTop w:val="0"/>
      <w:marBottom w:val="0"/>
      <w:divBdr>
        <w:top w:val="none" w:sz="0" w:space="0" w:color="auto"/>
        <w:left w:val="none" w:sz="0" w:space="0" w:color="auto"/>
        <w:bottom w:val="none" w:sz="0" w:space="0" w:color="auto"/>
        <w:right w:val="none" w:sz="0" w:space="0" w:color="auto"/>
      </w:divBdr>
    </w:div>
    <w:div w:id="1084759024">
      <w:bodyDiv w:val="1"/>
      <w:marLeft w:val="0"/>
      <w:marRight w:val="0"/>
      <w:marTop w:val="0"/>
      <w:marBottom w:val="0"/>
      <w:divBdr>
        <w:top w:val="none" w:sz="0" w:space="0" w:color="auto"/>
        <w:left w:val="none" w:sz="0" w:space="0" w:color="auto"/>
        <w:bottom w:val="none" w:sz="0" w:space="0" w:color="auto"/>
        <w:right w:val="none" w:sz="0" w:space="0" w:color="auto"/>
      </w:divBdr>
    </w:div>
    <w:div w:id="1111558336">
      <w:bodyDiv w:val="1"/>
      <w:marLeft w:val="0"/>
      <w:marRight w:val="0"/>
      <w:marTop w:val="0"/>
      <w:marBottom w:val="0"/>
      <w:divBdr>
        <w:top w:val="none" w:sz="0" w:space="0" w:color="auto"/>
        <w:left w:val="none" w:sz="0" w:space="0" w:color="auto"/>
        <w:bottom w:val="none" w:sz="0" w:space="0" w:color="auto"/>
        <w:right w:val="none" w:sz="0" w:space="0" w:color="auto"/>
      </w:divBdr>
    </w:div>
    <w:div w:id="1124732666">
      <w:bodyDiv w:val="1"/>
      <w:marLeft w:val="0"/>
      <w:marRight w:val="0"/>
      <w:marTop w:val="0"/>
      <w:marBottom w:val="0"/>
      <w:divBdr>
        <w:top w:val="none" w:sz="0" w:space="0" w:color="auto"/>
        <w:left w:val="none" w:sz="0" w:space="0" w:color="auto"/>
        <w:bottom w:val="none" w:sz="0" w:space="0" w:color="auto"/>
        <w:right w:val="none" w:sz="0" w:space="0" w:color="auto"/>
      </w:divBdr>
    </w:div>
    <w:div w:id="1131436736">
      <w:bodyDiv w:val="1"/>
      <w:marLeft w:val="0"/>
      <w:marRight w:val="0"/>
      <w:marTop w:val="0"/>
      <w:marBottom w:val="0"/>
      <w:divBdr>
        <w:top w:val="none" w:sz="0" w:space="0" w:color="auto"/>
        <w:left w:val="none" w:sz="0" w:space="0" w:color="auto"/>
        <w:bottom w:val="none" w:sz="0" w:space="0" w:color="auto"/>
        <w:right w:val="none" w:sz="0" w:space="0" w:color="auto"/>
      </w:divBdr>
    </w:div>
    <w:div w:id="1139807032">
      <w:bodyDiv w:val="1"/>
      <w:marLeft w:val="0"/>
      <w:marRight w:val="0"/>
      <w:marTop w:val="0"/>
      <w:marBottom w:val="0"/>
      <w:divBdr>
        <w:top w:val="none" w:sz="0" w:space="0" w:color="auto"/>
        <w:left w:val="none" w:sz="0" w:space="0" w:color="auto"/>
        <w:bottom w:val="none" w:sz="0" w:space="0" w:color="auto"/>
        <w:right w:val="none" w:sz="0" w:space="0" w:color="auto"/>
      </w:divBdr>
    </w:div>
    <w:div w:id="121912993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308894459">
      <w:bodyDiv w:val="1"/>
      <w:marLeft w:val="0"/>
      <w:marRight w:val="0"/>
      <w:marTop w:val="0"/>
      <w:marBottom w:val="0"/>
      <w:divBdr>
        <w:top w:val="none" w:sz="0" w:space="0" w:color="auto"/>
        <w:left w:val="none" w:sz="0" w:space="0" w:color="auto"/>
        <w:bottom w:val="none" w:sz="0" w:space="0" w:color="auto"/>
        <w:right w:val="none" w:sz="0" w:space="0" w:color="auto"/>
      </w:divBdr>
    </w:div>
    <w:div w:id="1360351930">
      <w:bodyDiv w:val="1"/>
      <w:marLeft w:val="0"/>
      <w:marRight w:val="0"/>
      <w:marTop w:val="0"/>
      <w:marBottom w:val="0"/>
      <w:divBdr>
        <w:top w:val="none" w:sz="0" w:space="0" w:color="auto"/>
        <w:left w:val="none" w:sz="0" w:space="0" w:color="auto"/>
        <w:bottom w:val="none" w:sz="0" w:space="0" w:color="auto"/>
        <w:right w:val="none" w:sz="0" w:space="0" w:color="auto"/>
      </w:divBdr>
    </w:div>
    <w:div w:id="1372068862">
      <w:bodyDiv w:val="1"/>
      <w:marLeft w:val="0"/>
      <w:marRight w:val="0"/>
      <w:marTop w:val="0"/>
      <w:marBottom w:val="0"/>
      <w:divBdr>
        <w:top w:val="none" w:sz="0" w:space="0" w:color="auto"/>
        <w:left w:val="none" w:sz="0" w:space="0" w:color="auto"/>
        <w:bottom w:val="none" w:sz="0" w:space="0" w:color="auto"/>
        <w:right w:val="none" w:sz="0" w:space="0" w:color="auto"/>
      </w:divBdr>
    </w:div>
    <w:div w:id="1395662357">
      <w:bodyDiv w:val="1"/>
      <w:marLeft w:val="0"/>
      <w:marRight w:val="0"/>
      <w:marTop w:val="0"/>
      <w:marBottom w:val="0"/>
      <w:divBdr>
        <w:top w:val="none" w:sz="0" w:space="0" w:color="auto"/>
        <w:left w:val="none" w:sz="0" w:space="0" w:color="auto"/>
        <w:bottom w:val="none" w:sz="0" w:space="0" w:color="auto"/>
        <w:right w:val="none" w:sz="0" w:space="0" w:color="auto"/>
      </w:divBdr>
    </w:div>
    <w:div w:id="1453670316">
      <w:bodyDiv w:val="1"/>
      <w:marLeft w:val="0"/>
      <w:marRight w:val="0"/>
      <w:marTop w:val="0"/>
      <w:marBottom w:val="0"/>
      <w:divBdr>
        <w:top w:val="none" w:sz="0" w:space="0" w:color="auto"/>
        <w:left w:val="none" w:sz="0" w:space="0" w:color="auto"/>
        <w:bottom w:val="none" w:sz="0" w:space="0" w:color="auto"/>
        <w:right w:val="none" w:sz="0" w:space="0" w:color="auto"/>
      </w:divBdr>
    </w:div>
    <w:div w:id="1459256806">
      <w:bodyDiv w:val="1"/>
      <w:marLeft w:val="0"/>
      <w:marRight w:val="0"/>
      <w:marTop w:val="0"/>
      <w:marBottom w:val="0"/>
      <w:divBdr>
        <w:top w:val="none" w:sz="0" w:space="0" w:color="auto"/>
        <w:left w:val="none" w:sz="0" w:space="0" w:color="auto"/>
        <w:bottom w:val="none" w:sz="0" w:space="0" w:color="auto"/>
        <w:right w:val="none" w:sz="0" w:space="0" w:color="auto"/>
      </w:divBdr>
    </w:div>
    <w:div w:id="1459374722">
      <w:bodyDiv w:val="1"/>
      <w:marLeft w:val="0"/>
      <w:marRight w:val="0"/>
      <w:marTop w:val="0"/>
      <w:marBottom w:val="0"/>
      <w:divBdr>
        <w:top w:val="none" w:sz="0" w:space="0" w:color="auto"/>
        <w:left w:val="none" w:sz="0" w:space="0" w:color="auto"/>
        <w:bottom w:val="none" w:sz="0" w:space="0" w:color="auto"/>
        <w:right w:val="none" w:sz="0" w:space="0" w:color="auto"/>
      </w:divBdr>
    </w:div>
    <w:div w:id="1473324461">
      <w:bodyDiv w:val="1"/>
      <w:marLeft w:val="0"/>
      <w:marRight w:val="0"/>
      <w:marTop w:val="0"/>
      <w:marBottom w:val="0"/>
      <w:divBdr>
        <w:top w:val="none" w:sz="0" w:space="0" w:color="auto"/>
        <w:left w:val="none" w:sz="0" w:space="0" w:color="auto"/>
        <w:bottom w:val="none" w:sz="0" w:space="0" w:color="auto"/>
        <w:right w:val="none" w:sz="0" w:space="0" w:color="auto"/>
      </w:divBdr>
    </w:div>
    <w:div w:id="1521549574">
      <w:bodyDiv w:val="1"/>
      <w:marLeft w:val="0"/>
      <w:marRight w:val="0"/>
      <w:marTop w:val="0"/>
      <w:marBottom w:val="0"/>
      <w:divBdr>
        <w:top w:val="none" w:sz="0" w:space="0" w:color="auto"/>
        <w:left w:val="none" w:sz="0" w:space="0" w:color="auto"/>
        <w:bottom w:val="none" w:sz="0" w:space="0" w:color="auto"/>
        <w:right w:val="none" w:sz="0" w:space="0" w:color="auto"/>
      </w:divBdr>
      <w:divsChild>
        <w:div w:id="1696728327">
          <w:marLeft w:val="0"/>
          <w:marRight w:val="0"/>
          <w:marTop w:val="0"/>
          <w:marBottom w:val="0"/>
          <w:divBdr>
            <w:top w:val="none" w:sz="0" w:space="0" w:color="auto"/>
            <w:left w:val="none" w:sz="0" w:space="0" w:color="auto"/>
            <w:bottom w:val="none" w:sz="0" w:space="0" w:color="auto"/>
            <w:right w:val="none" w:sz="0" w:space="0" w:color="auto"/>
          </w:divBdr>
        </w:div>
      </w:divsChild>
    </w:div>
    <w:div w:id="1562063251">
      <w:bodyDiv w:val="1"/>
      <w:marLeft w:val="0"/>
      <w:marRight w:val="0"/>
      <w:marTop w:val="0"/>
      <w:marBottom w:val="0"/>
      <w:divBdr>
        <w:top w:val="none" w:sz="0" w:space="0" w:color="auto"/>
        <w:left w:val="none" w:sz="0" w:space="0" w:color="auto"/>
        <w:bottom w:val="none" w:sz="0" w:space="0" w:color="auto"/>
        <w:right w:val="none" w:sz="0" w:space="0" w:color="auto"/>
      </w:divBdr>
    </w:div>
    <w:div w:id="1613779393">
      <w:bodyDiv w:val="1"/>
      <w:marLeft w:val="0"/>
      <w:marRight w:val="0"/>
      <w:marTop w:val="0"/>
      <w:marBottom w:val="0"/>
      <w:divBdr>
        <w:top w:val="none" w:sz="0" w:space="0" w:color="auto"/>
        <w:left w:val="none" w:sz="0" w:space="0" w:color="auto"/>
        <w:bottom w:val="none" w:sz="0" w:space="0" w:color="auto"/>
        <w:right w:val="none" w:sz="0" w:space="0" w:color="auto"/>
      </w:divBdr>
    </w:div>
    <w:div w:id="1614483726">
      <w:bodyDiv w:val="1"/>
      <w:marLeft w:val="0"/>
      <w:marRight w:val="0"/>
      <w:marTop w:val="0"/>
      <w:marBottom w:val="0"/>
      <w:divBdr>
        <w:top w:val="none" w:sz="0" w:space="0" w:color="auto"/>
        <w:left w:val="none" w:sz="0" w:space="0" w:color="auto"/>
        <w:bottom w:val="none" w:sz="0" w:space="0" w:color="auto"/>
        <w:right w:val="none" w:sz="0" w:space="0" w:color="auto"/>
      </w:divBdr>
    </w:div>
    <w:div w:id="1638104578">
      <w:bodyDiv w:val="1"/>
      <w:marLeft w:val="0"/>
      <w:marRight w:val="0"/>
      <w:marTop w:val="0"/>
      <w:marBottom w:val="0"/>
      <w:divBdr>
        <w:top w:val="none" w:sz="0" w:space="0" w:color="auto"/>
        <w:left w:val="none" w:sz="0" w:space="0" w:color="auto"/>
        <w:bottom w:val="none" w:sz="0" w:space="0" w:color="auto"/>
        <w:right w:val="none" w:sz="0" w:space="0" w:color="auto"/>
      </w:divBdr>
    </w:div>
    <w:div w:id="1658725011">
      <w:bodyDiv w:val="1"/>
      <w:marLeft w:val="0"/>
      <w:marRight w:val="0"/>
      <w:marTop w:val="0"/>
      <w:marBottom w:val="0"/>
      <w:divBdr>
        <w:top w:val="none" w:sz="0" w:space="0" w:color="auto"/>
        <w:left w:val="none" w:sz="0" w:space="0" w:color="auto"/>
        <w:bottom w:val="none" w:sz="0" w:space="0" w:color="auto"/>
        <w:right w:val="none" w:sz="0" w:space="0" w:color="auto"/>
      </w:divBdr>
    </w:div>
    <w:div w:id="1667441191">
      <w:bodyDiv w:val="1"/>
      <w:marLeft w:val="0"/>
      <w:marRight w:val="0"/>
      <w:marTop w:val="0"/>
      <w:marBottom w:val="0"/>
      <w:divBdr>
        <w:top w:val="none" w:sz="0" w:space="0" w:color="auto"/>
        <w:left w:val="none" w:sz="0" w:space="0" w:color="auto"/>
        <w:bottom w:val="none" w:sz="0" w:space="0" w:color="auto"/>
        <w:right w:val="none" w:sz="0" w:space="0" w:color="auto"/>
      </w:divBdr>
    </w:div>
    <w:div w:id="1689717317">
      <w:bodyDiv w:val="1"/>
      <w:marLeft w:val="0"/>
      <w:marRight w:val="0"/>
      <w:marTop w:val="0"/>
      <w:marBottom w:val="0"/>
      <w:divBdr>
        <w:top w:val="none" w:sz="0" w:space="0" w:color="auto"/>
        <w:left w:val="none" w:sz="0" w:space="0" w:color="auto"/>
        <w:bottom w:val="none" w:sz="0" w:space="0" w:color="auto"/>
        <w:right w:val="none" w:sz="0" w:space="0" w:color="auto"/>
      </w:divBdr>
    </w:div>
    <w:div w:id="1746802018">
      <w:bodyDiv w:val="1"/>
      <w:marLeft w:val="0"/>
      <w:marRight w:val="0"/>
      <w:marTop w:val="0"/>
      <w:marBottom w:val="0"/>
      <w:divBdr>
        <w:top w:val="none" w:sz="0" w:space="0" w:color="auto"/>
        <w:left w:val="none" w:sz="0" w:space="0" w:color="auto"/>
        <w:bottom w:val="none" w:sz="0" w:space="0" w:color="auto"/>
        <w:right w:val="none" w:sz="0" w:space="0" w:color="auto"/>
      </w:divBdr>
    </w:div>
    <w:div w:id="1750036575">
      <w:bodyDiv w:val="1"/>
      <w:marLeft w:val="0"/>
      <w:marRight w:val="0"/>
      <w:marTop w:val="0"/>
      <w:marBottom w:val="0"/>
      <w:divBdr>
        <w:top w:val="none" w:sz="0" w:space="0" w:color="auto"/>
        <w:left w:val="none" w:sz="0" w:space="0" w:color="auto"/>
        <w:bottom w:val="none" w:sz="0" w:space="0" w:color="auto"/>
        <w:right w:val="none" w:sz="0" w:space="0" w:color="auto"/>
      </w:divBdr>
      <w:divsChild>
        <w:div w:id="1634171722">
          <w:marLeft w:val="0"/>
          <w:marRight w:val="0"/>
          <w:marTop w:val="0"/>
          <w:marBottom w:val="0"/>
          <w:divBdr>
            <w:top w:val="none" w:sz="0" w:space="0" w:color="auto"/>
            <w:left w:val="none" w:sz="0" w:space="0" w:color="auto"/>
            <w:bottom w:val="none" w:sz="0" w:space="0" w:color="auto"/>
            <w:right w:val="none" w:sz="0" w:space="0" w:color="auto"/>
          </w:divBdr>
          <w:divsChild>
            <w:div w:id="1804886412">
              <w:marLeft w:val="0"/>
              <w:marRight w:val="0"/>
              <w:marTop w:val="0"/>
              <w:marBottom w:val="0"/>
              <w:divBdr>
                <w:top w:val="none" w:sz="0" w:space="0" w:color="auto"/>
                <w:left w:val="none" w:sz="0" w:space="0" w:color="auto"/>
                <w:bottom w:val="none" w:sz="0" w:space="0" w:color="auto"/>
                <w:right w:val="none" w:sz="0" w:space="0" w:color="auto"/>
              </w:divBdr>
              <w:divsChild>
                <w:div w:id="408380989">
                  <w:marLeft w:val="0"/>
                  <w:marRight w:val="0"/>
                  <w:marTop w:val="450"/>
                  <w:marBottom w:val="450"/>
                  <w:divBdr>
                    <w:top w:val="none" w:sz="0" w:space="0" w:color="auto"/>
                    <w:left w:val="none" w:sz="0" w:space="0" w:color="auto"/>
                    <w:bottom w:val="none" w:sz="0" w:space="0" w:color="auto"/>
                    <w:right w:val="none" w:sz="0" w:space="0" w:color="auto"/>
                  </w:divBdr>
                  <w:divsChild>
                    <w:div w:id="519784567">
                      <w:marLeft w:val="0"/>
                      <w:marRight w:val="0"/>
                      <w:marTop w:val="0"/>
                      <w:marBottom w:val="0"/>
                      <w:divBdr>
                        <w:top w:val="single" w:sz="24" w:space="0" w:color="333333"/>
                        <w:left w:val="none" w:sz="0" w:space="0" w:color="auto"/>
                        <w:bottom w:val="none" w:sz="0" w:space="0" w:color="auto"/>
                        <w:right w:val="none" w:sz="0" w:space="0" w:color="auto"/>
                      </w:divBdr>
                      <w:divsChild>
                        <w:div w:id="20830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51488">
      <w:bodyDiv w:val="1"/>
      <w:marLeft w:val="0"/>
      <w:marRight w:val="0"/>
      <w:marTop w:val="0"/>
      <w:marBottom w:val="0"/>
      <w:divBdr>
        <w:top w:val="none" w:sz="0" w:space="0" w:color="auto"/>
        <w:left w:val="none" w:sz="0" w:space="0" w:color="auto"/>
        <w:bottom w:val="none" w:sz="0" w:space="0" w:color="auto"/>
        <w:right w:val="none" w:sz="0" w:space="0" w:color="auto"/>
      </w:divBdr>
    </w:div>
    <w:div w:id="1843276339">
      <w:bodyDiv w:val="1"/>
      <w:marLeft w:val="0"/>
      <w:marRight w:val="0"/>
      <w:marTop w:val="0"/>
      <w:marBottom w:val="0"/>
      <w:divBdr>
        <w:top w:val="none" w:sz="0" w:space="0" w:color="auto"/>
        <w:left w:val="none" w:sz="0" w:space="0" w:color="auto"/>
        <w:bottom w:val="none" w:sz="0" w:space="0" w:color="auto"/>
        <w:right w:val="none" w:sz="0" w:space="0" w:color="auto"/>
      </w:divBdr>
    </w:div>
    <w:div w:id="1845240006">
      <w:bodyDiv w:val="1"/>
      <w:marLeft w:val="0"/>
      <w:marRight w:val="0"/>
      <w:marTop w:val="0"/>
      <w:marBottom w:val="0"/>
      <w:divBdr>
        <w:top w:val="none" w:sz="0" w:space="0" w:color="auto"/>
        <w:left w:val="none" w:sz="0" w:space="0" w:color="auto"/>
        <w:bottom w:val="none" w:sz="0" w:space="0" w:color="auto"/>
        <w:right w:val="none" w:sz="0" w:space="0" w:color="auto"/>
      </w:divBdr>
    </w:div>
    <w:div w:id="1872958520">
      <w:bodyDiv w:val="1"/>
      <w:marLeft w:val="0"/>
      <w:marRight w:val="0"/>
      <w:marTop w:val="0"/>
      <w:marBottom w:val="0"/>
      <w:divBdr>
        <w:top w:val="none" w:sz="0" w:space="0" w:color="auto"/>
        <w:left w:val="none" w:sz="0" w:space="0" w:color="auto"/>
        <w:bottom w:val="none" w:sz="0" w:space="0" w:color="auto"/>
        <w:right w:val="none" w:sz="0" w:space="0" w:color="auto"/>
      </w:divBdr>
    </w:div>
    <w:div w:id="1880506666">
      <w:bodyDiv w:val="1"/>
      <w:marLeft w:val="0"/>
      <w:marRight w:val="0"/>
      <w:marTop w:val="0"/>
      <w:marBottom w:val="0"/>
      <w:divBdr>
        <w:top w:val="none" w:sz="0" w:space="0" w:color="auto"/>
        <w:left w:val="none" w:sz="0" w:space="0" w:color="auto"/>
        <w:bottom w:val="none" w:sz="0" w:space="0" w:color="auto"/>
        <w:right w:val="none" w:sz="0" w:space="0" w:color="auto"/>
      </w:divBdr>
    </w:div>
    <w:div w:id="1886527217">
      <w:bodyDiv w:val="1"/>
      <w:marLeft w:val="0"/>
      <w:marRight w:val="0"/>
      <w:marTop w:val="0"/>
      <w:marBottom w:val="0"/>
      <w:divBdr>
        <w:top w:val="none" w:sz="0" w:space="0" w:color="auto"/>
        <w:left w:val="none" w:sz="0" w:space="0" w:color="auto"/>
        <w:bottom w:val="none" w:sz="0" w:space="0" w:color="auto"/>
        <w:right w:val="none" w:sz="0" w:space="0" w:color="auto"/>
      </w:divBdr>
    </w:div>
    <w:div w:id="1886866713">
      <w:bodyDiv w:val="1"/>
      <w:marLeft w:val="0"/>
      <w:marRight w:val="0"/>
      <w:marTop w:val="0"/>
      <w:marBottom w:val="0"/>
      <w:divBdr>
        <w:top w:val="none" w:sz="0" w:space="0" w:color="auto"/>
        <w:left w:val="none" w:sz="0" w:space="0" w:color="auto"/>
        <w:bottom w:val="none" w:sz="0" w:space="0" w:color="auto"/>
        <w:right w:val="none" w:sz="0" w:space="0" w:color="auto"/>
      </w:divBdr>
    </w:div>
    <w:div w:id="1928147703">
      <w:bodyDiv w:val="1"/>
      <w:marLeft w:val="0"/>
      <w:marRight w:val="0"/>
      <w:marTop w:val="0"/>
      <w:marBottom w:val="0"/>
      <w:divBdr>
        <w:top w:val="none" w:sz="0" w:space="0" w:color="auto"/>
        <w:left w:val="none" w:sz="0" w:space="0" w:color="auto"/>
        <w:bottom w:val="none" w:sz="0" w:space="0" w:color="auto"/>
        <w:right w:val="none" w:sz="0" w:space="0" w:color="auto"/>
      </w:divBdr>
    </w:div>
    <w:div w:id="1992366442">
      <w:bodyDiv w:val="1"/>
      <w:marLeft w:val="0"/>
      <w:marRight w:val="0"/>
      <w:marTop w:val="0"/>
      <w:marBottom w:val="0"/>
      <w:divBdr>
        <w:top w:val="none" w:sz="0" w:space="0" w:color="auto"/>
        <w:left w:val="none" w:sz="0" w:space="0" w:color="auto"/>
        <w:bottom w:val="none" w:sz="0" w:space="0" w:color="auto"/>
        <w:right w:val="none" w:sz="0" w:space="0" w:color="auto"/>
      </w:divBdr>
      <w:divsChild>
        <w:div w:id="571089016">
          <w:marLeft w:val="0"/>
          <w:marRight w:val="0"/>
          <w:marTop w:val="0"/>
          <w:marBottom w:val="0"/>
          <w:divBdr>
            <w:top w:val="none" w:sz="0" w:space="0" w:color="auto"/>
            <w:left w:val="none" w:sz="0" w:space="0" w:color="auto"/>
            <w:bottom w:val="none" w:sz="0" w:space="0" w:color="auto"/>
            <w:right w:val="none" w:sz="0" w:space="0" w:color="auto"/>
          </w:divBdr>
          <w:divsChild>
            <w:div w:id="1084648413">
              <w:marLeft w:val="0"/>
              <w:marRight w:val="0"/>
              <w:marTop w:val="0"/>
              <w:marBottom w:val="0"/>
              <w:divBdr>
                <w:top w:val="none" w:sz="0" w:space="0" w:color="auto"/>
                <w:left w:val="none" w:sz="0" w:space="0" w:color="auto"/>
                <w:bottom w:val="none" w:sz="0" w:space="0" w:color="auto"/>
                <w:right w:val="none" w:sz="0" w:space="0" w:color="auto"/>
              </w:divBdr>
            </w:div>
          </w:divsChild>
        </w:div>
        <w:div w:id="769282597">
          <w:marLeft w:val="0"/>
          <w:marRight w:val="0"/>
          <w:marTop w:val="0"/>
          <w:marBottom w:val="0"/>
          <w:divBdr>
            <w:top w:val="none" w:sz="0" w:space="0" w:color="auto"/>
            <w:left w:val="none" w:sz="0" w:space="0" w:color="auto"/>
            <w:bottom w:val="none" w:sz="0" w:space="0" w:color="auto"/>
            <w:right w:val="none" w:sz="0" w:space="0" w:color="auto"/>
          </w:divBdr>
        </w:div>
      </w:divsChild>
    </w:div>
    <w:div w:id="1998071078">
      <w:bodyDiv w:val="1"/>
      <w:marLeft w:val="0"/>
      <w:marRight w:val="0"/>
      <w:marTop w:val="0"/>
      <w:marBottom w:val="0"/>
      <w:divBdr>
        <w:top w:val="none" w:sz="0" w:space="0" w:color="auto"/>
        <w:left w:val="none" w:sz="0" w:space="0" w:color="auto"/>
        <w:bottom w:val="none" w:sz="0" w:space="0" w:color="auto"/>
        <w:right w:val="none" w:sz="0" w:space="0" w:color="auto"/>
      </w:divBdr>
    </w:div>
    <w:div w:id="2003973370">
      <w:bodyDiv w:val="1"/>
      <w:marLeft w:val="0"/>
      <w:marRight w:val="0"/>
      <w:marTop w:val="0"/>
      <w:marBottom w:val="0"/>
      <w:divBdr>
        <w:top w:val="none" w:sz="0" w:space="0" w:color="auto"/>
        <w:left w:val="none" w:sz="0" w:space="0" w:color="auto"/>
        <w:bottom w:val="none" w:sz="0" w:space="0" w:color="auto"/>
        <w:right w:val="none" w:sz="0" w:space="0" w:color="auto"/>
      </w:divBdr>
    </w:div>
    <w:div w:id="2033259633">
      <w:bodyDiv w:val="1"/>
      <w:marLeft w:val="0"/>
      <w:marRight w:val="0"/>
      <w:marTop w:val="0"/>
      <w:marBottom w:val="0"/>
      <w:divBdr>
        <w:top w:val="none" w:sz="0" w:space="0" w:color="auto"/>
        <w:left w:val="none" w:sz="0" w:space="0" w:color="auto"/>
        <w:bottom w:val="none" w:sz="0" w:space="0" w:color="auto"/>
        <w:right w:val="none" w:sz="0" w:space="0" w:color="auto"/>
      </w:divBdr>
    </w:div>
    <w:div w:id="2037580141">
      <w:bodyDiv w:val="1"/>
      <w:marLeft w:val="0"/>
      <w:marRight w:val="0"/>
      <w:marTop w:val="0"/>
      <w:marBottom w:val="0"/>
      <w:divBdr>
        <w:top w:val="none" w:sz="0" w:space="0" w:color="auto"/>
        <w:left w:val="none" w:sz="0" w:space="0" w:color="auto"/>
        <w:bottom w:val="none" w:sz="0" w:space="0" w:color="auto"/>
        <w:right w:val="none" w:sz="0" w:space="0" w:color="auto"/>
      </w:divBdr>
    </w:div>
    <w:div w:id="2049602097">
      <w:bodyDiv w:val="1"/>
      <w:marLeft w:val="0"/>
      <w:marRight w:val="0"/>
      <w:marTop w:val="0"/>
      <w:marBottom w:val="0"/>
      <w:divBdr>
        <w:top w:val="none" w:sz="0" w:space="0" w:color="auto"/>
        <w:left w:val="none" w:sz="0" w:space="0" w:color="auto"/>
        <w:bottom w:val="none" w:sz="0" w:space="0" w:color="auto"/>
        <w:right w:val="none" w:sz="0" w:space="0" w:color="auto"/>
      </w:divBdr>
    </w:div>
    <w:div w:id="214168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rbenard13@gmail.com"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nis.iaea.org/search/search.aspx?orig_q=RN:4702087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radphyschem.2017.02.00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25387735623953"/>
          <c:y val="5.0925925925925923E-2"/>
          <c:w val="0.74882301154361974"/>
          <c:h val="0.66464530475357242"/>
        </c:manualLayout>
      </c:layout>
      <c:barChart>
        <c:barDir val="col"/>
        <c:grouping val="clustered"/>
        <c:varyColors val="0"/>
        <c:ser>
          <c:idx val="0"/>
          <c:order val="0"/>
          <c:tx>
            <c:strRef>
              <c:f>Sheet1!$F$10</c:f>
              <c:strCache>
                <c:ptCount val="1"/>
                <c:pt idx="0">
                  <c:v>SNR</c:v>
                </c:pt>
              </c:strCache>
            </c:strRef>
          </c:tx>
          <c:spPr>
            <a:solidFill>
              <a:schemeClr val="accent1"/>
            </a:solidFill>
            <a:ln>
              <a:noFill/>
            </a:ln>
            <a:effectLst/>
          </c:spPr>
          <c:invertIfNegative val="0"/>
          <c:cat>
            <c:strRef>
              <c:f>Sheet1!$E$11:$E$18</c:f>
              <c:strCache>
                <c:ptCount val="8"/>
                <c:pt idx="0">
                  <c:v>Image A</c:v>
                </c:pt>
                <c:pt idx="1">
                  <c:v>Image B</c:v>
                </c:pt>
                <c:pt idx="2">
                  <c:v>Image C</c:v>
                </c:pt>
                <c:pt idx="3">
                  <c:v>Image D</c:v>
                </c:pt>
                <c:pt idx="4">
                  <c:v>Image E</c:v>
                </c:pt>
                <c:pt idx="5">
                  <c:v>Image F</c:v>
                </c:pt>
                <c:pt idx="6">
                  <c:v>Image G</c:v>
                </c:pt>
                <c:pt idx="7">
                  <c:v>Image H</c:v>
                </c:pt>
              </c:strCache>
            </c:strRef>
          </c:cat>
          <c:val>
            <c:numRef>
              <c:f>Sheet1!$F$11:$F$18</c:f>
              <c:numCache>
                <c:formatCode>General</c:formatCode>
                <c:ptCount val="8"/>
                <c:pt idx="0">
                  <c:v>6.88</c:v>
                </c:pt>
                <c:pt idx="1">
                  <c:v>5.25</c:v>
                </c:pt>
                <c:pt idx="2">
                  <c:v>5.49</c:v>
                </c:pt>
                <c:pt idx="3">
                  <c:v>3.5</c:v>
                </c:pt>
                <c:pt idx="4">
                  <c:v>4.96</c:v>
                </c:pt>
                <c:pt idx="5">
                  <c:v>6.11</c:v>
                </c:pt>
                <c:pt idx="6">
                  <c:v>5.62</c:v>
                </c:pt>
                <c:pt idx="7">
                  <c:v>4.63</c:v>
                </c:pt>
              </c:numCache>
            </c:numRef>
          </c:val>
          <c:extLst>
            <c:ext xmlns:c16="http://schemas.microsoft.com/office/drawing/2014/chart" uri="{C3380CC4-5D6E-409C-BE32-E72D297353CC}">
              <c16:uniqueId val="{00000000-A383-44BE-A4A4-816762F63FA1}"/>
            </c:ext>
          </c:extLst>
        </c:ser>
        <c:ser>
          <c:idx val="1"/>
          <c:order val="1"/>
          <c:tx>
            <c:strRef>
              <c:f>Sheet1!$G$10</c:f>
              <c:strCache>
                <c:ptCount val="1"/>
                <c:pt idx="0">
                  <c:v>DLP</c:v>
                </c:pt>
              </c:strCache>
            </c:strRef>
          </c:tx>
          <c:spPr>
            <a:solidFill>
              <a:schemeClr val="accent2"/>
            </a:solidFill>
            <a:ln>
              <a:noFill/>
            </a:ln>
            <a:effectLst/>
          </c:spPr>
          <c:invertIfNegative val="0"/>
          <c:cat>
            <c:strRef>
              <c:f>Sheet1!$E$11:$E$18</c:f>
              <c:strCache>
                <c:ptCount val="8"/>
                <c:pt idx="0">
                  <c:v>Image A</c:v>
                </c:pt>
                <c:pt idx="1">
                  <c:v>Image B</c:v>
                </c:pt>
                <c:pt idx="2">
                  <c:v>Image C</c:v>
                </c:pt>
                <c:pt idx="3">
                  <c:v>Image D</c:v>
                </c:pt>
                <c:pt idx="4">
                  <c:v>Image E</c:v>
                </c:pt>
                <c:pt idx="5">
                  <c:v>Image F</c:v>
                </c:pt>
                <c:pt idx="6">
                  <c:v>Image G</c:v>
                </c:pt>
                <c:pt idx="7">
                  <c:v>Image H</c:v>
                </c:pt>
              </c:strCache>
            </c:strRef>
          </c:cat>
          <c:val>
            <c:numRef>
              <c:f>Sheet1!$G$11:$G$18</c:f>
              <c:numCache>
                <c:formatCode>General</c:formatCode>
                <c:ptCount val="8"/>
                <c:pt idx="0">
                  <c:v>16.995999999999999</c:v>
                </c:pt>
                <c:pt idx="1">
                  <c:v>10.372999999999999</c:v>
                </c:pt>
                <c:pt idx="2">
                  <c:v>10.138</c:v>
                </c:pt>
                <c:pt idx="3">
                  <c:v>5.5379999999999994</c:v>
                </c:pt>
                <c:pt idx="4">
                  <c:v>7.9289999999999994</c:v>
                </c:pt>
                <c:pt idx="5">
                  <c:v>12.277000000000001</c:v>
                </c:pt>
                <c:pt idx="6">
                  <c:v>11.76</c:v>
                </c:pt>
                <c:pt idx="7">
                  <c:v>7.7879999999999994</c:v>
                </c:pt>
              </c:numCache>
            </c:numRef>
          </c:val>
          <c:extLst>
            <c:ext xmlns:c16="http://schemas.microsoft.com/office/drawing/2014/chart" uri="{C3380CC4-5D6E-409C-BE32-E72D297353CC}">
              <c16:uniqueId val="{00000001-A383-44BE-A4A4-816762F63FA1}"/>
            </c:ext>
          </c:extLst>
        </c:ser>
        <c:dLbls>
          <c:showLegendKey val="0"/>
          <c:showVal val="0"/>
          <c:showCatName val="0"/>
          <c:showSerName val="0"/>
          <c:showPercent val="0"/>
          <c:showBubbleSize val="0"/>
        </c:dLbls>
        <c:gapWidth val="219"/>
        <c:overlap val="-27"/>
        <c:axId val="-577615744"/>
        <c:axId val="-577619008"/>
      </c:barChart>
      <c:catAx>
        <c:axId val="-57761574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Phantom</a:t>
                </a:r>
                <a:r>
                  <a:rPr lang="fr-FR" b="1" baseline="0"/>
                  <a:t> images</a:t>
                </a:r>
                <a:endParaRPr lang="fr-FR"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GH"/>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H"/>
          </a:p>
        </c:txPr>
        <c:crossAx val="-577619008"/>
        <c:crosses val="autoZero"/>
        <c:auto val="1"/>
        <c:lblAlgn val="ctr"/>
        <c:lblOffset val="100"/>
        <c:noMultiLvlLbl val="0"/>
      </c:catAx>
      <c:valAx>
        <c:axId val="-577619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100" b="1" i="0" baseline="0">
                    <a:effectLst/>
                  </a:rPr>
                  <a:t>DLP x10</a:t>
                </a:r>
                <a:r>
                  <a:rPr lang="fr-FR" sz="1100" b="1" i="0" baseline="30000">
                    <a:effectLst/>
                  </a:rPr>
                  <a:t>2</a:t>
                </a:r>
                <a:r>
                  <a:rPr lang="fr-FR" sz="1100" b="1" i="0" baseline="0">
                    <a:effectLst/>
                  </a:rPr>
                  <a:t> (mGy), SNR</a:t>
                </a:r>
              </a:p>
            </c:rich>
          </c:tx>
          <c:layout>
            <c:manualLayout>
              <c:xMode val="edge"/>
              <c:yMode val="edge"/>
              <c:x val="6.1982367799636333E-2"/>
              <c:y val="0.1832020997375328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H"/>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H"/>
          </a:p>
        </c:txPr>
        <c:crossAx val="-5776157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GH"/>
          </a:p>
        </c:txPr>
      </c:dTable>
      <c:spPr>
        <a:solidFill>
          <a:schemeClr val="bg1"/>
        </a:solidFill>
        <a:ln>
          <a:noFill/>
        </a:ln>
        <a:effectLst/>
      </c:spPr>
    </c:plotArea>
    <c:legend>
      <c:legendPos val="b"/>
      <c:layout>
        <c:manualLayout>
          <c:xMode val="edge"/>
          <c:yMode val="edge"/>
          <c:x val="0.47422780231739325"/>
          <c:y val="0.10243000874890634"/>
          <c:w val="0.15226717349986424"/>
          <c:h val="7.8125546806649182E-2"/>
        </c:manualLayout>
      </c:layout>
      <c:overlay val="0"/>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GH"/>
        </a:p>
      </c:txPr>
    </c:legend>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a:pPr>
      <a:endParaRPr lang="en-GH"/>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13806792717018"/>
          <c:y val="3.5512631891342371E-2"/>
          <c:w val="0.74305396073210239"/>
          <c:h val="0.66863065845582859"/>
        </c:manualLayout>
      </c:layout>
      <c:barChart>
        <c:barDir val="col"/>
        <c:grouping val="clustered"/>
        <c:varyColors val="0"/>
        <c:ser>
          <c:idx val="0"/>
          <c:order val="0"/>
          <c:tx>
            <c:strRef>
              <c:f>Sheet1!$B$1</c:f>
              <c:strCache>
                <c:ptCount val="1"/>
                <c:pt idx="0">
                  <c:v>SNR</c:v>
                </c:pt>
              </c:strCache>
            </c:strRef>
          </c:tx>
          <c:spPr>
            <a:solidFill>
              <a:schemeClr val="accent1"/>
            </a:solidFill>
            <a:ln>
              <a:noFill/>
            </a:ln>
            <a:effectLst/>
          </c:spPr>
          <c:invertIfNegative val="0"/>
          <c:cat>
            <c:strRef>
              <c:f>Sheet1!$A$2:$A$9</c:f>
              <c:strCache>
                <c:ptCount val="8"/>
                <c:pt idx="0">
                  <c:v>Image A</c:v>
                </c:pt>
                <c:pt idx="1">
                  <c:v>Image B</c:v>
                </c:pt>
                <c:pt idx="2">
                  <c:v>Image C</c:v>
                </c:pt>
                <c:pt idx="3">
                  <c:v>Image D</c:v>
                </c:pt>
                <c:pt idx="4">
                  <c:v>Image E</c:v>
                </c:pt>
                <c:pt idx="5">
                  <c:v>Image F</c:v>
                </c:pt>
                <c:pt idx="6">
                  <c:v>Image G</c:v>
                </c:pt>
                <c:pt idx="7">
                  <c:v>Image H</c:v>
                </c:pt>
              </c:strCache>
            </c:strRef>
          </c:cat>
          <c:val>
            <c:numRef>
              <c:f>Sheet1!$B$2:$B$9</c:f>
              <c:numCache>
                <c:formatCode>General</c:formatCode>
                <c:ptCount val="8"/>
                <c:pt idx="0">
                  <c:v>6.88</c:v>
                </c:pt>
                <c:pt idx="1">
                  <c:v>5.25</c:v>
                </c:pt>
                <c:pt idx="2">
                  <c:v>5.49</c:v>
                </c:pt>
                <c:pt idx="3">
                  <c:v>3.5</c:v>
                </c:pt>
                <c:pt idx="4">
                  <c:v>4.9630000000000001</c:v>
                </c:pt>
                <c:pt idx="5">
                  <c:v>6.11</c:v>
                </c:pt>
                <c:pt idx="6">
                  <c:v>5.62</c:v>
                </c:pt>
                <c:pt idx="7">
                  <c:v>4.63</c:v>
                </c:pt>
              </c:numCache>
            </c:numRef>
          </c:val>
          <c:extLst>
            <c:ext xmlns:c16="http://schemas.microsoft.com/office/drawing/2014/chart" uri="{C3380CC4-5D6E-409C-BE32-E72D297353CC}">
              <c16:uniqueId val="{00000000-2AE6-4C7B-B164-46CAEAFFA312}"/>
            </c:ext>
          </c:extLst>
        </c:ser>
        <c:ser>
          <c:idx val="1"/>
          <c:order val="1"/>
          <c:tx>
            <c:strRef>
              <c:f>Sheet1!$C$1</c:f>
              <c:strCache>
                <c:ptCount val="1"/>
                <c:pt idx="0">
                  <c:v>Effective Dose</c:v>
                </c:pt>
              </c:strCache>
            </c:strRef>
          </c:tx>
          <c:spPr>
            <a:solidFill>
              <a:schemeClr val="accent2"/>
            </a:solidFill>
            <a:ln>
              <a:noFill/>
            </a:ln>
            <a:effectLst/>
          </c:spPr>
          <c:invertIfNegative val="0"/>
          <c:cat>
            <c:strRef>
              <c:f>Sheet1!$A$2:$A$9</c:f>
              <c:strCache>
                <c:ptCount val="8"/>
                <c:pt idx="0">
                  <c:v>Image A</c:v>
                </c:pt>
                <c:pt idx="1">
                  <c:v>Image B</c:v>
                </c:pt>
                <c:pt idx="2">
                  <c:v>Image C</c:v>
                </c:pt>
                <c:pt idx="3">
                  <c:v>Image D</c:v>
                </c:pt>
                <c:pt idx="4">
                  <c:v>Image E</c:v>
                </c:pt>
                <c:pt idx="5">
                  <c:v>Image F</c:v>
                </c:pt>
                <c:pt idx="6">
                  <c:v>Image G</c:v>
                </c:pt>
                <c:pt idx="7">
                  <c:v>Image H</c:v>
                </c:pt>
              </c:strCache>
            </c:strRef>
          </c:cat>
          <c:val>
            <c:numRef>
              <c:f>Sheet1!$C$2:$C$9</c:f>
              <c:numCache>
                <c:formatCode>General</c:formatCode>
                <c:ptCount val="8"/>
                <c:pt idx="0">
                  <c:v>3.91</c:v>
                </c:pt>
                <c:pt idx="1">
                  <c:v>2.39</c:v>
                </c:pt>
                <c:pt idx="2">
                  <c:v>2.33</c:v>
                </c:pt>
                <c:pt idx="3">
                  <c:v>1.27</c:v>
                </c:pt>
                <c:pt idx="4">
                  <c:v>1.82</c:v>
                </c:pt>
                <c:pt idx="5">
                  <c:v>2.82</c:v>
                </c:pt>
                <c:pt idx="6">
                  <c:v>2.7</c:v>
                </c:pt>
                <c:pt idx="7">
                  <c:v>1.79</c:v>
                </c:pt>
              </c:numCache>
            </c:numRef>
          </c:val>
          <c:extLst>
            <c:ext xmlns:c16="http://schemas.microsoft.com/office/drawing/2014/chart" uri="{C3380CC4-5D6E-409C-BE32-E72D297353CC}">
              <c16:uniqueId val="{00000001-2AE6-4C7B-B164-46CAEAFFA312}"/>
            </c:ext>
          </c:extLst>
        </c:ser>
        <c:dLbls>
          <c:showLegendKey val="0"/>
          <c:showVal val="0"/>
          <c:showCatName val="0"/>
          <c:showSerName val="0"/>
          <c:showPercent val="0"/>
          <c:showBubbleSize val="0"/>
        </c:dLbls>
        <c:gapWidth val="219"/>
        <c:overlap val="-27"/>
        <c:axId val="-577615200"/>
        <c:axId val="-577616832"/>
      </c:barChart>
      <c:catAx>
        <c:axId val="-57761520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Phantom</a:t>
                </a:r>
                <a:r>
                  <a:rPr lang="en-US" sz="1100" b="1" baseline="0">
                    <a:latin typeface="Times New Roman" panose="02020603050405020304" pitchFamily="18" charset="0"/>
                    <a:cs typeface="Times New Roman" panose="02020603050405020304" pitchFamily="18" charset="0"/>
                  </a:rPr>
                  <a:t> images</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46627588293079708"/>
              <c:y val="0.935643655008240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H"/>
          </a:p>
        </c:txPr>
        <c:crossAx val="-577616832"/>
        <c:crosses val="autoZero"/>
        <c:auto val="1"/>
        <c:lblAlgn val="ctr"/>
        <c:lblOffset val="100"/>
        <c:noMultiLvlLbl val="0"/>
      </c:catAx>
      <c:valAx>
        <c:axId val="-57761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100" b="1" i="1">
                    <a:latin typeface="Times New Roman" panose="02020603050405020304" pitchFamily="18" charset="0"/>
                    <a:cs typeface="Times New Roman" panose="02020603050405020304" pitchFamily="18" charset="0"/>
                  </a:rPr>
                  <a:t>D</a:t>
                </a:r>
                <a:r>
                  <a:rPr lang="en-US" sz="1100" b="1" i="1" baseline="-25000">
                    <a:latin typeface="Times New Roman" panose="02020603050405020304" pitchFamily="18" charset="0"/>
                    <a:cs typeface="Times New Roman" panose="02020603050405020304" pitchFamily="18" charset="0"/>
                  </a:rPr>
                  <a:t>eff</a:t>
                </a:r>
                <a:r>
                  <a:rPr lang="en-US" sz="1100" b="1" i="0" baseline="0">
                    <a:latin typeface="Times New Roman" panose="02020603050405020304" pitchFamily="18" charset="0"/>
                    <a:cs typeface="Times New Roman" panose="02020603050405020304" pitchFamily="18" charset="0"/>
                  </a:rPr>
                  <a:t> (mSv), SNR</a:t>
                </a:r>
                <a:endParaRPr lang="en-US" sz="1100" b="1" i="1" baseline="0">
                  <a:latin typeface="Times New Roman" panose="02020603050405020304" pitchFamily="18" charset="0"/>
                  <a:cs typeface="Times New Roman" panose="02020603050405020304" pitchFamily="18" charset="0"/>
                </a:endParaRPr>
              </a:p>
            </c:rich>
          </c:tx>
          <c:layout>
            <c:manualLayout>
              <c:xMode val="edge"/>
              <c:yMode val="edge"/>
              <c:x val="0.10640817206085137"/>
              <c:y val="0.174272742771628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GH"/>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H"/>
          </a:p>
        </c:txPr>
        <c:crossAx val="-577615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GH"/>
          </a:p>
        </c:txPr>
      </c:dTable>
      <c:spPr>
        <a:solidFill>
          <a:srgbClr val="FFFFCC"/>
        </a:solidFill>
        <a:ln>
          <a:solidFill>
            <a:schemeClr val="tx1"/>
          </a:solidFill>
        </a:ln>
        <a:effectLst/>
      </c:spPr>
    </c:plotArea>
    <c:legend>
      <c:legendPos val="b"/>
      <c:layout>
        <c:manualLayout>
          <c:xMode val="edge"/>
          <c:yMode val="edge"/>
          <c:x val="0.53116638359085333"/>
          <c:y val="8.6763137658640188E-2"/>
          <c:w val="0.23211291651224839"/>
          <c:h val="5.4479800194467215E-2"/>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H"/>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CCECFF"/>
    </a:solidFill>
    <a:ln w="9525" cap="flat" cmpd="sng" algn="ctr">
      <a:solidFill>
        <a:schemeClr val="tx1"/>
      </a:solidFill>
      <a:round/>
    </a:ln>
    <a:effectLst/>
  </c:spPr>
  <c:txPr>
    <a:bodyPr/>
    <a:lstStyle/>
    <a:p>
      <a:pPr>
        <a:defRPr/>
      </a:pPr>
      <a:endParaRPr lang="en-GH"/>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0709C0-C2CB-42A7-B002-2E9E8CEE6CC0}">
  <we:reference id="wa104382081" version="1.21.0.0" store="en-001" storeType="OMEX"/>
  <we:alternateReferences>
    <we:reference id="wa104382081" version="1.21.0.0" store="en-001" storeType="OMEX"/>
  </we:alternateReferences>
  <we:properties>
    <we:property name="MENDELEY_CITATIONS" value="[{&quot;citationID&quot;:&quot;MENDELEY_CITATION_8b89128e-1d97-419b-9bd6-205a385eea53&quot;,&quot;citationItems&quot;:[{&quot;id&quot;:&quot;de5efa3f-6e0a-3506-b1f3-d66bf6052bee&quot;,&quot;itemData&quot;:{&quot;type&quot;:&quot;article-journal&quot;,&quot;id&quot;:&quot;de5efa3f-6e0a-3506-b1f3-d66bf6052bee&quot;,&quot;title&quot;:&quot;Computed tomography-old ideas and new technology&quot;,&quot;author&quot;:[{&quot;family&quot;:&quot;Fleischmann&quot;,&quot;given&quot;:&quot;Dominik&quot;,&quot;parse-names&quot;:false,&quot;dropping-particle&quot;:&quot;&quot;,&quot;non-dropping-particle&quot;:&quot;&quot;},{&quot;family&quot;:&quot;Boas&quot;,&quot;given&quot;:&quot;F. Edward&quot;,&quot;parse-names&quot;:false,&quot;dropping-particle&quot;:&quot;&quot;,&quot;non-dropping-particle&quot;:&quot;&quot;}],&quot;container-title&quot;:&quot;European Radiology&quot;,&quot;DOI&quot;:&quot;10.1007/s00330-011-2056-z&quot;,&quot;ISSN&quot;:&quot;09387994&quot;,&quot;PMID&quot;:&quot;21249371&quot;,&quot;issued&quot;:{&quot;date-parts&quot;:[[2011]]},&quot;page&quot;:&quot;510-517&quot;,&quot;abstract&quot;:&quot;Several recently introduced 'new' techniques in computed tomography-iterative reconstruction, gated cardiac CT, multiple-source, and dual-energy CT-actually date back to the early days of CT. We review the historic origins and evolution of these techniques, which may provide some insight into the latest innovations in commercial CT systems. © 2011 European Society of Radiology.&quot;,&quot;issue&quot;:&quot;3&quot;,&quot;volume&quot;:&quot;21&quot;},&quot;isTemporary&quot;:false}],&quot;properties&quot;:{&quot;noteIndex&quot;:0},&quot;isEdited&quot;:false,&quot;manualOverride&quot;:{&quot;isManuallyOverriden&quot;:false,&quot;citeprocText&quot;:&quot;(Fleischmann &amp;#38; Boas, 2011)&quot;,&quot;manualOverrideText&quot;:&quot;&quot;},&quot;citationTag&quot;:&quot;MENDELEY_CITATION_{\&quot;citationID\&quot;:\&quot;MENDELEY_CITATION_8b89128e-1d97-419b-9bd6-205a385eea53\&quot;,\&quot;citationItems\&quot;:[{\&quot;id\&quot;:\&quot;de5efa3f-6e0a-3506-b1f3-d66bf6052bee\&quot;,\&quot;itemData\&quot;:{\&quot;type\&quot;:\&quot;article-journal\&quot;,\&quot;id\&quot;:\&quot;de5efa3f-6e0a-3506-b1f3-d66bf6052bee\&quot;,\&quot;title\&quot;:\&quot;Computed tomography-old ideas and new technology\&quot;,\&quot;author\&quot;:[{\&quot;family\&quot;:\&quot;Fleischmann\&quot;,\&quot;given\&quot;:\&quot;Dominik\&quot;,\&quot;parse-names\&quot;:false,\&quot;dropping-particle\&quot;:\&quot;\&quot;,\&quot;non-dropping-particle\&quot;:\&quot;\&quot;},{\&quot;family\&quot;:\&quot;Boas\&quot;,\&quot;given\&quot;:\&quot;F. Edward\&quot;,\&quot;parse-names\&quot;:false,\&quot;dropping-particle\&quot;:\&quot;\&quot;,\&quot;non-dropping-particle\&quot;:\&quot;\&quot;}],\&quot;container-title\&quot;:\&quot;European Radiology\&quot;,\&quot;DOI\&quot;:\&quot;10.1007/s00330-011-2056-z\&quot;,\&quot;ISSN\&quot;:\&quot;09387994\&quot;,\&quot;PMID\&quot;:\&quot;21249371\&quot;,\&quot;issued\&quot;:{\&quot;date-parts\&quot;:[[2011]]},\&quot;page\&quot;:\&quot;510-517\&quot;,\&quot;abstract\&quot;:\&quot;Several recently introduced 'new' techniques in computed tomography-iterative reconstruction, gated cardiac CT, multiple-source, and dual-energy CT-actually date back to the early days of CT. We review the historic origins and evolution of these techniques, which may provide some insight into the latest innovations in commercial CT systems. © 2011 European Society of Radiology.\&quot;,\&quot;issue\&quot;:\&quot;3\&quot;,\&quot;volume\&quot;:\&quot;21\&quot;},\&quot;isTemporary\&quot;:false}],\&quot;properties\&quot;:{\&quot;noteIndex\&quot;:0},\&quot;isEdited\&quot;:false,\&quot;manualOverride\&quot;:{\&quot;isManuallyOverriden\&quot;:false,\&quot;citeprocText\&quot;:\&quot;(Fleischmann &amp;#38; Boas, 2011)\&quot;,\&quot;manualOverrideText\&quot;:\&quot;\&quot;}}&quot;},{&quot;citationID&quot;:&quot;MENDELEY_CITATION_309dad5b-815b-4c52-8f46-6734d5644501&quot;,&quot;citationItems&quot;:[{&quot;id&quot;:&quot;980885b6-4a0f-3048-8ed7-a64cc4b37894&quot;,&quot;itemData&quot;:{&quot;type&quot;:&quot;webpage&quot;,&quot;id&quot;:&quot;980885b6-4a0f-3048-8ed7-a64cc4b37894&quot;,&quot;title&quot;:&quot;International Atomic Energy Agency&quot;,&quot;URL&quot;:&quot;https://www.iaea.org/resources/rpop/health-professionals/radiology/computed-tomography&quot;,&quot;issued&quot;:{&quot;date-parts&quot;:[[2020]]}},&quot;isTemporary&quot;:false}],&quot;properties&quot;:{&quot;noteIndex&quot;:0},&quot;isEdited&quot;:false,&quot;manualOverride&quot;:{&quot;isManuallyOverriden&quot;:false,&quot;citeprocText&quot;:&quot;(&lt;i&gt;International Atomic Energy Agency&lt;/i&gt;, 2020)&quot;,&quot;manualOverrideText&quot;:&quot;&quot;},&quot;citationTag&quot;:&quot;MENDELEY_CITATION_{\&quot;citationID\&quot;:\&quot;MENDELEY_CITATION_309dad5b-815b-4c52-8f46-6734d5644501\&quot;,\&quot;citationItems\&quot;:[{\&quot;id\&quot;:\&quot;980885b6-4a0f-3048-8ed7-a64cc4b37894\&quot;,\&quot;itemData\&quot;:{\&quot;type\&quot;:\&quot;webpage\&quot;,\&quot;id\&quot;:\&quot;980885b6-4a0f-3048-8ed7-a64cc4b37894\&quot;,\&quot;title\&quot;:\&quot;International Atomic Energy Agency\&quot;,\&quot;URL\&quot;:\&quot;https://www.iaea.org/resources/rpop/health-professionals/radiology/computed-tomography\&quot;,\&quot;issued\&quot;:{\&quot;date-parts\&quot;:[[2020]]}},\&quot;isTemporary\&quot;:false}],\&quot;properties\&quot;:{\&quot;noteIndex\&quot;:0},\&quot;isEdited\&quot;:false,\&quot;manualOverride\&quot;:{\&quot;isManuallyOverriden\&quot;:false,\&quot;citeprocText\&quot;:\&quot;(&lt;i&gt;International Atomic Energy Agency&lt;/i&gt;, 2020)\&quot;,\&quot;manualOverrideText\&quot;:\&quot;\&quot;}}&quot;},{&quot;citationID&quot;:&quot;MENDELEY_CITATION_71523da8-eed7-4e83-89c0-9ecde3bb8066&quot;,&quot;citationItems&quot;:[{&quot;id&quot;:&quot;0d236db9-db11-3fc5-b431-6b81deceba38&quot;,&quot;itemData&quot;:{&quot;type&quot;:&quot;article-journal&quot;,&quot;id&quot;:&quot;0d236db9-db11-3fc5-b431-6b81deceba38&quot;,&quot;title&quot;:&quot;Computed tomography and patient risk: Facts, perceptions and uncertainties&quot;,&quot;author&quot;:[{&quot;family&quot;:&quot;Power&quot;,&quot;given&quot;:&quot;Stephen P&quot;,&quot;parse-names&quot;:false,&quot;dropping-particle&quot;:&quot;&quot;,&quot;non-dropping-particle&quot;:&quot;&quot;},{&quot;family&quot;:&quot;Moloney&quot;,&quot;given&quot;:&quot;Fiachra&quot;,&quot;parse-names&quot;:false,&quot;dropping-particle&quot;:&quot;&quot;,&quot;non-dropping-particle&quot;:&quot;&quot;},{&quot;family&quot;:&quot;Twomey&quot;,&quot;given&quot;:&quot;Maria&quot;,&quot;parse-names&quot;:false,&quot;dropping-particle&quot;:&quot;&quot;,&quot;non-dropping-particle&quot;:&quot;&quot;},{&quot;family&quot;:&quot;James&quot;,&quot;given&quot;:&quot;Karl&quot;,&quot;parse-names&quot;:false,&quot;dropping-particle&quot;:&quot;&quot;,&quot;non-dropping-particle&quot;:&quot;&quot;},{&quot;family&quot;:&quot;O’Connor&quot;,&quot;given&quot;:&quot;Owen J&quot;,&quot;parse-names&quot;:false,&quot;dropping-particle&quot;:&quot;&quot;,&quot;non-dropping-particle&quot;:&quot;&quot;},{&quot;family&quot;:&quot;Maher&quot;,&quot;given&quot;:&quot;Michael M&quot;,&quot;parse-names&quot;:false,&quot;dropping-particle&quot;:&quot;&quot;,&quot;non-dropping-particle&quot;:&quot;&quot;}],&quot;container-title&quot;:&quot;World Journal of Radiology&quot;,&quot;DOI&quot;:&quot;10.4329/wjr.v8.i12.902&quot;,&quot;ISSN&quot;:&quot;1949-8470&quot;,&quot;issued&quot;:{&quot;date-parts&quot;:[[2016]]},&quot;page&quot;:&quot;902&quot;,&quot;abstract&quot;:&quot;Since its introduction in the 1970s, computed tomography (CT) has revolutionized diagnostic decision-making. One of the major concerns associated with the widespread use of CT is the associated increased radiation exposure incurred by patients. The link between ionizing radiation and the subsequent development of neoplasia has been largely based on extrapolating data from studies of survivors of the atomic bombs dropped in Japan in 1945 and on assessments of the increased relative risk of neoplasia in those occupationally exposed to radiation within the nuclear industry. However, the association between exposure to low-dose radiation from diagnostic imaging examinations and oncogenesis remains unclear. With improved technology, significant advances have already been achieved with regards to radiation dose reduction. There are several dose optimization strategies available that may be readily employed including omitting unnecessary images at the ends of acquired series, minimizing the number of phases acquired, and the use of automated exposure control as opposed to fixed tube current techniques. In addition, new image reconstruction techniques that reduce radiation dose have been developed in recent years with promising results. These techniques use iterative reconstruction algorithms to attain diagnostic quality images with reduced image noise at lower radiation doses.&quot;,&quot;issue&quot;:&quot;12&quot;,&quot;volume&quot;:&quot;8&quot;},&quot;isTemporary&quot;:false}],&quot;properties&quot;:{&quot;noteIndex&quot;:0},&quot;isEdited&quot;:false,&quot;manualOverride&quot;:{&quot;isManuallyOverriden&quot;:false,&quot;citeprocText&quot;:&quot;(Power et al., 2016)&quot;,&quot;manualOverrideText&quot;:&quot;&quot;},&quot;citationTag&quot;:&quot;MENDELEY_CITATION_{\&quot;citationID\&quot;:\&quot;MENDELEY_CITATION_71523da8-eed7-4e83-89c0-9ecde3bb8066\&quot;,\&quot;citationItems\&quot;:[{\&quot;id\&quot;:\&quot;0d236db9-db11-3fc5-b431-6b81deceba38\&quot;,\&quot;itemData\&quot;:{\&quot;type\&quot;:\&quot;article-journal\&quot;,\&quot;id\&quot;:\&quot;0d236db9-db11-3fc5-b431-6b81deceba38\&quot;,\&quot;title\&quot;:\&quot;Computed tomography and patient risk: Facts, perceptions and uncertainties\&quot;,\&quot;author\&quot;:[{\&quot;family\&quot;:\&quot;Power\&quot;,\&quot;given\&quot;:\&quot;Stephen P\&quot;,\&quot;parse-names\&quot;:false,\&quot;dropping-particle\&quot;:\&quot;\&quot;,\&quot;non-dropping-particle\&quot;:\&quot;\&quot;},{\&quot;family\&quot;:\&quot;Moloney\&quot;,\&quot;given\&quot;:\&quot;Fiachra\&quot;,\&quot;parse-names\&quot;:false,\&quot;dropping-particle\&quot;:\&quot;\&quot;,\&quot;non-dropping-particle\&quot;:\&quot;\&quot;},{\&quot;family\&quot;:\&quot;Twomey\&quot;,\&quot;given\&quot;:\&quot;Maria\&quot;,\&quot;parse-names\&quot;:false,\&quot;dropping-particle\&quot;:\&quot;\&quot;,\&quot;non-dropping-particle\&quot;:\&quot;\&quot;},{\&quot;family\&quot;:\&quot;James\&quot;,\&quot;given\&quot;:\&quot;Karl\&quot;,\&quot;parse-names\&quot;:false,\&quot;dropping-particle\&quot;:\&quot;\&quot;,\&quot;non-dropping-particle\&quot;:\&quot;\&quot;},{\&quot;family\&quot;:\&quot;O’Connor\&quot;,\&quot;given\&quot;:\&quot;Owen J\&quot;,\&quot;parse-names\&quot;:false,\&quot;dropping-particle\&quot;:\&quot;\&quot;,\&quot;non-dropping-particle\&quot;:\&quot;\&quot;},{\&quot;family\&quot;:\&quot;Maher\&quot;,\&quot;given\&quot;:\&quot;Michael M\&quot;,\&quot;parse-names\&quot;:false,\&quot;dropping-particle\&quot;:\&quot;\&quot;,\&quot;non-dropping-particle\&quot;:\&quot;\&quot;}],\&quot;container-title\&quot;:\&quot;World Journal of Radiology\&quot;,\&quot;DOI\&quot;:\&quot;10.4329/wjr.v8.i12.902\&quot;,\&quot;ISSN\&quot;:\&quot;1949-8470\&quot;,\&quot;issued\&quot;:{\&quot;date-parts\&quot;:[[2016]]},\&quot;page\&quot;:\&quot;902\&quot;,\&quot;abstract\&quot;:\&quot;Since its introduction in the 1970s, computed tomography (CT) has revolutionized diagnostic decision-making. One of the major concerns associated with the widespread use of CT is the associated increased radiation exposure incurred by patients. The link between ionizing radiation and the subsequent development of neoplasia has been largely based on extrapolating data from studies of survivors of the atomic bombs dropped in Japan in 1945 and on assessments of the increased relative risk of neoplasia in those occupationally exposed to radiation within the nuclear industry. However, the association between exposure to low-dose radiation from diagnostic imaging examinations and oncogenesis remains unclear. With improved technology, significant advances have already been achieved with regards to radiation dose reduction. There are several dose optimization strategies available that may be readily employed including omitting unnecessary images at the ends of acquired series, minimizing the number of phases acquired, and the use of automated exposure control as opposed to fixed tube current techniques. In addition, new image reconstruction techniques that reduce radiation dose have been developed in recent years with promising results. These techniques use iterative reconstruction algorithms to attain diagnostic quality images with reduced image noise at lower radiation doses.\&quot;,\&quot;issue\&quot;:\&quot;12\&quot;,\&quot;volume\&quot;:\&quot;8\&quot;},\&quot;isTemporary\&quot;:false}],\&quot;properties\&quot;:{\&quot;noteIndex\&quot;:0},\&quot;isEdited\&quot;:false,\&quot;manualOverride\&quot;:{\&quot;isManuallyOverriden\&quot;:false,\&quot;citeprocText\&quot;:\&quot;(Power et al., 2016)\&quot;,\&quot;manualOverrideText\&quot;:\&quot;\&quot;}}&quot;},{&quot;citationID&quot;:&quot;MENDELEY_CITATION_6434a972-ac96-44ac-be24-182cabb41674&quot;,&quot;citationItems&quot;:[{&quot;id&quot;:&quot;f09e8983-aa2a-35ce-95de-b44103a0f222&quot;,&quot;itemData&quot;:{&quot;type&quot;:&quot;article-journal&quot;,&quot;id&quot;:&quot;f09e8983-aa2a-35ce-95de-b44103a0f222&quot;,&quot;title&quot;:&quot;Diagnostic Reference Level of Radiation Dose and Image Quality among Paediatric CT Examinations in A Tertiary Hospital in Malaysia&quot;,&quot;author&quot;:[{&quot;family&quot;:&quot;Muhammad&quot;,&quot;given&quot;:&quot;Nor Azura&quot;,&quot;parse-names&quot;:false,&quot;dropping-particle&quot;:&quot;&quot;,&quot;non-dropping-particle&quot;:&quot;&quot;},{&quot;family&quot;:&quot;Khalis Abdul Karim&quot;,&quot;given&quot;:&quot;Muhammad&quot;,&quot;parse-names&quot;:false,&quot;dropping-particle&quot;:&quot;&quot;,&quot;non-dropping-particle&quot;:&quot;&quot;},{&quot;family&quot;:&quot;Hassan&quot;,&quot;given&quot;:&quot;Hasyma Abu&quot;,&quot;parse-names&quot;:false,&quot;dropping-particle&quot;:&quot;&quot;,&quot;non-dropping-particle&quot;:&quot;&quot;},{&quot;family&quot;:&quot;Kamarudin&quot;,&quot;given&quot;:&quot;Mazliana Ahmad&quot;,&quot;parse-names&quot;:false,&quot;dropping-particle&quot;:&quot;&quot;,&quot;non-dropping-particle&quot;:&quot;&quot;},{&quot;family&quot;:&quot;Ding Wong&quot;,&quot;given&quot;:&quot;Jeannie Hsiu&quot;,&quot;parse-names&quot;:false,&quot;dropping-particle&quot;:&quot;&quot;,&quot;non-dropping-particle&quot;:&quot;&quot;},{&quot;family&quot;:&quot;Hoong Ng&quot;,&quot;given&quot;:&quot;Kwan&quot;,&quot;parse-names&quot;:false,&quot;dropping-particle&quot;:&quot;&quot;,&quot;non-dropping-particle&quot;:&quot;&quot;}],&quot;container-title&quot;:&quot;Diagnostics&quot;,&quot;DOI&quot;:&quot;10.3390/diagnostics10080591&quot;,&quot;ISBN&quot;:&quot;2018920669&quot;,&quot;ISSN&quot;:&quot;20754418&quot;,&quot;issued&quot;:{&quot;date-parts&quot;:[[2020]]},&quot;page&quot;:&quot;1-14&quot;,&quot;abstract&quot;:&quot;Pediatrics are more vulnerable to radiation and are prone to dose compared to adults, requiring more attention to computed tomography (CT) optimization. Hence, diagnostic reference levels (DRLs) have been implemented as part of optimization process in order to monitor CT dose and diagnostic quality. The noise index has recently been endorsed to be included as a part of CT optimization in the DRLs report. In this study, we have therefore set local DRLs for pediatric CT examination with a noise index as an indicator of image quality. One thousand one hundred and ninety-two (1192) paediatric patients undergoing CT brain, CT thorax and CT chest-abdomen-pelvis (CAP) examinations were analyzed retrospectively and categorized into four age groups; group 1 (0–1 year), group 2 (1–5 years), group 3 (5–10 years) and group 4 (10–15 years). For each group, data such as the volume-weighted CT dose index (CTDIvol), dose-length product (DLP) and the effective dose (E) were calculated and DRLs for each age group set at 50th percentile were determined. Both CT dose and image noise values between age groups have differed significantly with p-value &lt; 0.05. The highest CTDIvol and DLP values in all age groups with the lowest noise index value reported in the 10–15 age group were found in CT brain examination. In conclusion, there was a significant variation in doses and noise intensity among children of different ages, and the need to change specific parameters to fit the clinical requirement.&quot;,&quot;issue&quot;:&quot;8&quot;,&quot;volume&quot;:&quot;10&quot;},&quot;isTemporary&quot;:false}],&quot;properties&quot;:{&quot;noteIndex&quot;:0},&quot;isEdited&quot;:false,&quot;manualOverride&quot;:{&quot;isManuallyOverriden&quot;:false,&quot;citeprocText&quot;:&quot;(Muhammad et al., 2020)&quot;,&quot;manualOverrideText&quot;:&quot;&quot;},&quot;citationTag&quot;:&quot;MENDELEY_CITATION_{\&quot;citationID\&quot;:\&quot;MENDELEY_CITATION_6434a972-ac96-44ac-be24-182cabb41674\&quot;,\&quot;citationItems\&quot;:[{\&quot;id\&quot;:\&quot;f09e8983-aa2a-35ce-95de-b44103a0f222\&quot;,\&quot;itemData\&quot;:{\&quot;type\&quot;:\&quot;article-journal\&quot;,\&quot;id\&quot;:\&quot;f09e8983-aa2a-35ce-95de-b44103a0f222\&quot;,\&quot;title\&quot;:\&quot;Diagnostic Reference Level of Radiation Dose and Image Quality among Paediatric CT Examinations in A Tertiary Hospital in Malaysia\&quot;,\&quot;author\&quot;:[{\&quot;family\&quot;:\&quot;Muhammad\&quot;,\&quot;given\&quot;:\&quot;Nor Azura\&quot;,\&quot;parse-names\&quot;:false,\&quot;dropping-particle\&quot;:\&quot;\&quot;,\&quot;non-dropping-particle\&quot;:\&quot;\&quot;},{\&quot;family\&quot;:\&quot;Khalis Abdul Karim\&quot;,\&quot;given\&quot;:\&quot;Muhammad\&quot;,\&quot;parse-names\&quot;:false,\&quot;dropping-particle\&quot;:\&quot;\&quot;,\&quot;non-dropping-particle\&quot;:\&quot;\&quot;},{\&quot;family\&quot;:\&quot;Hassan\&quot;,\&quot;given\&quot;:\&quot;Hasyma Abu\&quot;,\&quot;parse-names\&quot;:false,\&quot;dropping-particle\&quot;:\&quot;\&quot;,\&quot;non-dropping-particle\&quot;:\&quot;\&quot;},{\&quot;family\&quot;:\&quot;Kamarudin\&quot;,\&quot;given\&quot;:\&quot;Mazliana Ahmad\&quot;,\&quot;parse-names\&quot;:false,\&quot;dropping-particle\&quot;:\&quot;\&quot;,\&quot;non-dropping-particle\&quot;:\&quot;\&quot;},{\&quot;family\&quot;:\&quot;Ding Wong\&quot;,\&quot;given\&quot;:\&quot;Jeannie Hsiu\&quot;,\&quot;parse-names\&quot;:false,\&quot;dropping-particle\&quot;:\&quot;\&quot;,\&quot;non-dropping-particle\&quot;:\&quot;\&quot;},{\&quot;family\&quot;:\&quot;Hoong Ng\&quot;,\&quot;given\&quot;:\&quot;Kwan\&quot;,\&quot;parse-names\&quot;:false,\&quot;dropping-particle\&quot;:\&quot;\&quot;,\&quot;non-dropping-particle\&quot;:\&quot;\&quot;}],\&quot;container-title\&quot;:\&quot;Diagnostics\&quot;,\&quot;DOI\&quot;:\&quot;10.3390/diagnostics10080591\&quot;,\&quot;ISBN\&quot;:\&quot;2018920669\&quot;,\&quot;ISSN\&quot;:\&quot;20754418\&quot;,\&quot;issued\&quot;:{\&quot;date-parts\&quot;:[[2020]]},\&quot;page\&quot;:\&quot;1-14\&quot;,\&quot;abstract\&quot;:\&quot;Pediatrics are more vulnerable to radiation and are prone to dose compared to adults, requiring more attention to computed tomography (CT) optimization. Hence, diagnostic reference levels (DRLs) have been implemented as part of optimization process in order to monitor CT dose and diagnostic quality. The noise index has recently been endorsed to be included as a part of CT optimization in the DRLs report. In this study, we have therefore set local DRLs for pediatric CT examination with a noise index as an indicator of image quality. One thousand one hundred and ninety-two (1192) paediatric patients undergoing CT brain, CT thorax and CT chest-abdomen-pelvis (CAP) examinations were analyzed retrospectively and categorized into four age groups; group 1 (0–1 year), group 2 (1–5 years), group 3 (5–10 years) and group 4 (10–15 years). For each group, data such as the volume-weighted CT dose index (CTDIvol), dose-length product (DLP) and the effective dose (E) were calculated and DRLs for each age group set at 50th percentile were determined. Both CT dose and image noise values between age groups have differed significantly with p-value &lt; 0.05. The highest CTDIvol and DLP values in all age groups with the lowest noise index value reported in the 10–15 age group were found in CT brain examination. In conclusion, there was a significant variation in doses and noise intensity among children of different ages, and the need to change specific parameters to fit the clinical requirement.\&quot;,\&quot;issue\&quot;:\&quot;8\&quot;,\&quot;volume\&quot;:\&quot;10\&quot;},\&quot;isTemporary\&quot;:false}],\&quot;properties\&quot;:{\&quot;noteIndex\&quot;:0},\&quot;isEdited\&quot;:false,\&quot;manualOverride\&quot;:{\&quot;isManuallyOverriden\&quot;:false,\&quot;citeprocText\&quot;:\&quot;(Muhammad et al., 2020)\&quot;,\&quot;manualOverrideText\&quot;:\&quot;\&quot;}}&quot;},{&quot;citationID&quot;:&quot;MENDELEY_CITATION_4cf0929d-1679-4db7-869e-5812d09350fc&quot;,&quot;citationItems&quot;:[{&quot;id&quot;:&quot;0d236db9-db11-3fc5-b431-6b81deceba38&quot;,&quot;itemData&quot;:{&quot;type&quot;:&quot;article-journal&quot;,&quot;id&quot;:&quot;0d236db9-db11-3fc5-b431-6b81deceba38&quot;,&quot;title&quot;:&quot;Computed tomography and patient risk: Facts, perceptions and uncertainties&quot;,&quot;author&quot;:[{&quot;family&quot;:&quot;Power&quot;,&quot;given&quot;:&quot;Stephen P&quot;,&quot;parse-names&quot;:false,&quot;dropping-particle&quot;:&quot;&quot;,&quot;non-dropping-particle&quot;:&quot;&quot;},{&quot;family&quot;:&quot;Moloney&quot;,&quot;given&quot;:&quot;Fiachra&quot;,&quot;parse-names&quot;:false,&quot;dropping-particle&quot;:&quot;&quot;,&quot;non-dropping-particle&quot;:&quot;&quot;},{&quot;family&quot;:&quot;Twomey&quot;,&quot;given&quot;:&quot;Maria&quot;,&quot;parse-names&quot;:false,&quot;dropping-particle&quot;:&quot;&quot;,&quot;non-dropping-particle&quot;:&quot;&quot;},{&quot;family&quot;:&quot;James&quot;,&quot;given&quot;:&quot;Karl&quot;,&quot;parse-names&quot;:false,&quot;dropping-particle&quot;:&quot;&quot;,&quot;non-dropping-particle&quot;:&quot;&quot;},{&quot;family&quot;:&quot;O’Connor&quot;,&quot;given&quot;:&quot;Owen J&quot;,&quot;parse-names&quot;:false,&quot;dropping-particle&quot;:&quot;&quot;,&quot;non-dropping-particle&quot;:&quot;&quot;},{&quot;family&quot;:&quot;Maher&quot;,&quot;given&quot;:&quot;Michael M&quot;,&quot;parse-names&quot;:false,&quot;dropping-particle&quot;:&quot;&quot;,&quot;non-dropping-particle&quot;:&quot;&quot;}],&quot;container-title&quot;:&quot;World Journal of Radiology&quot;,&quot;DOI&quot;:&quot;10.4329/wjr.v8.i12.902&quot;,&quot;ISSN&quot;:&quot;1949-8470&quot;,&quot;issued&quot;:{&quot;date-parts&quot;:[[2016]]},&quot;page&quot;:&quot;902&quot;,&quot;abstract&quot;:&quot;Since its introduction in the 1970s, computed tomography (CT) has revolutionized diagnostic decision-making. One of the major concerns associated with the widespread use of CT is the associated increased radiation exposure incurred by patients. The link between ionizing radiation and the subsequent development of neoplasia has been largely based on extrapolating data from studies of survivors of the atomic bombs dropped in Japan in 1945 and on assessments of the increased relative risk of neoplasia in those occupationally exposed to radiation within the nuclear industry. However, the association between exposure to low-dose radiation from diagnostic imaging examinations and oncogenesis remains unclear. With improved technology, significant advances have already been achieved with regards to radiation dose reduction. There are several dose optimization strategies available that may be readily employed including omitting unnecessary images at the ends of acquired series, minimizing the number of phases acquired, and the use of automated exposure control as opposed to fixed tube current techniques. In addition, new image reconstruction techniques that reduce radiation dose have been developed in recent years with promising results. These techniques use iterative reconstruction algorithms to attain diagnostic quality images with reduced image noise at lower radiation doses.&quot;,&quot;issue&quot;:&quot;12&quot;,&quot;volume&quot;:&quot;8&quot;},&quot;isTemporary&quot;:false}],&quot;properties&quot;:{&quot;noteIndex&quot;:0},&quot;isEdited&quot;:false,&quot;manualOverride&quot;:{&quot;isManuallyOverriden&quot;:false,&quot;citeprocText&quot;:&quot;(Power et al., 2016)&quot;,&quot;manualOverrideText&quot;:&quot;&quot;},&quot;citationTag&quot;:&quot;MENDELEY_CITATION_{\&quot;citationID\&quot;:\&quot;MENDELEY_CITATION_4cf0929d-1679-4db7-869e-5812d09350fc\&quot;,\&quot;citationItems\&quot;:[{\&quot;id\&quot;:\&quot;0d236db9-db11-3fc5-b431-6b81deceba38\&quot;,\&quot;itemData\&quot;:{\&quot;type\&quot;:\&quot;article-journal\&quot;,\&quot;id\&quot;:\&quot;0d236db9-db11-3fc5-b431-6b81deceba38\&quot;,\&quot;title\&quot;:\&quot;Computed tomography and patient risk: Facts, perceptions and uncertainties\&quot;,\&quot;author\&quot;:[{\&quot;family\&quot;:\&quot;Power\&quot;,\&quot;given\&quot;:\&quot;Stephen P\&quot;,\&quot;parse-names\&quot;:false,\&quot;dropping-particle\&quot;:\&quot;\&quot;,\&quot;non-dropping-particle\&quot;:\&quot;\&quot;},{\&quot;family\&quot;:\&quot;Moloney\&quot;,\&quot;given\&quot;:\&quot;Fiachra\&quot;,\&quot;parse-names\&quot;:false,\&quot;dropping-particle\&quot;:\&quot;\&quot;,\&quot;non-dropping-particle\&quot;:\&quot;\&quot;},{\&quot;family\&quot;:\&quot;Twomey\&quot;,\&quot;given\&quot;:\&quot;Maria\&quot;,\&quot;parse-names\&quot;:false,\&quot;dropping-particle\&quot;:\&quot;\&quot;,\&quot;non-dropping-particle\&quot;:\&quot;\&quot;},{\&quot;family\&quot;:\&quot;James\&quot;,\&quot;given\&quot;:\&quot;Karl\&quot;,\&quot;parse-names\&quot;:false,\&quot;dropping-particle\&quot;:\&quot;\&quot;,\&quot;non-dropping-particle\&quot;:\&quot;\&quot;},{\&quot;family\&quot;:\&quot;O’Connor\&quot;,\&quot;given\&quot;:\&quot;Owen J\&quot;,\&quot;parse-names\&quot;:false,\&quot;dropping-particle\&quot;:\&quot;\&quot;,\&quot;non-dropping-particle\&quot;:\&quot;\&quot;},{\&quot;family\&quot;:\&quot;Maher\&quot;,\&quot;given\&quot;:\&quot;Michael M\&quot;,\&quot;parse-names\&quot;:false,\&quot;dropping-particle\&quot;:\&quot;\&quot;,\&quot;non-dropping-particle\&quot;:\&quot;\&quot;}],\&quot;container-title\&quot;:\&quot;World Journal of Radiology\&quot;,\&quot;DOI\&quot;:\&quot;10.4329/wjr.v8.i12.902\&quot;,\&quot;ISSN\&quot;:\&quot;1949-8470\&quot;,\&quot;issued\&quot;:{\&quot;date-parts\&quot;:[[2016]]},\&quot;page\&quot;:\&quot;902\&quot;,\&quot;abstract\&quot;:\&quot;Since its introduction in the 1970s, computed tomography (CT) has revolutionized diagnostic decision-making. One of the major concerns associated with the widespread use of CT is the associated increased radiation exposure incurred by patients. The link between ionizing radiation and the subsequent development of neoplasia has been largely based on extrapolating data from studies of survivors of the atomic bombs dropped in Japan in 1945 and on assessments of the increased relative risk of neoplasia in those occupationally exposed to radiation within the nuclear industry. However, the association between exposure to low-dose radiation from diagnostic imaging examinations and oncogenesis remains unclear. With improved technology, significant advances have already been achieved with regards to radiation dose reduction. There are several dose optimization strategies available that may be readily employed including omitting unnecessary images at the ends of acquired series, minimizing the number of phases acquired, and the use of automated exposure control as opposed to fixed tube current techniques. In addition, new image reconstruction techniques that reduce radiation dose have been developed in recent years with promising results. These techniques use iterative reconstruction algorithms to attain diagnostic quality images with reduced image noise at lower radiation doses.\&quot;,\&quot;issue\&quot;:\&quot;12\&quot;,\&quot;volume\&quot;:\&quot;8\&quot;},\&quot;isTemporary\&quot;:false}],\&quot;properties\&quot;:{\&quot;noteIndex\&quot;:0},\&quot;isEdited\&quot;:false,\&quot;manualOverride\&quot;:{\&quot;isManuallyOverriden\&quot;:false,\&quot;citeprocText\&quot;:\&quot;(Power et al., 2016)\&quot;,\&quot;manualOverrideText\&quot;:\&quot;\&quot;}}&quot;},{&quot;citationID&quot;:&quot;MENDELEY_CITATION_1d311aa0-bf38-4348-82cc-86e2122a2a95&quot;,&quot;citationItems&quot;:[{&quot;id&quot;:&quot;3b42c0cf-54ec-3072-9667-0826123de1da&quot;,&quot;itemData&quot;:{&quot;type&quot;:&quot;article-journal&quot;,&quot;id&quot;:&quot;3b42c0cf-54ec-3072-9667-0826123de1da&quot;,&quot;title&quot;:&quot;Determination of radiosensitive organs in head CT for the head area&quot;,&quot;author&quot;:[{&quot;family&quot;:&quot;Mahdavi&quot;,&quot;given&quot;:&quot;M&quot;,&quot;parse-names&quot;:false,&quot;dropping-particle&quot;:&quot;&quot;,&quot;non-dropping-particle&quot;:&quot;&quot;},{&quot;family&quot;:&quot;Hosseinnezhad&quot;,&quot;given&quot;:&quot;M&quot;,&quot;parse-names&quot;:false,&quot;dropping-particle&quot;:&quot;&quot;,&quot;non-dropping-particle&quot;:&quot;&quot;},{&quot;family&quot;:&quot;Moghaddam&quot;,&quot;given&quot;:&quot;M Vahabi&quot;,&quot;parse-names&quot;:false,&quot;dropping-particle&quot;:&quot;&quot;,&quot;non-dropping-particle&quot;:&quot;&quot;}],&quot;container-title&quot;:&quot;Iranian Journal of Science &amp; Technology&quot;,&quot;ISBN&quot;:&quot;3540288880&quot;,&quot;URL&quot;:&quot;http://ijsts.shirazu.ac.ir&quot;,&quot;issued&quot;:{&quot;date-parts&quot;:[[2015]]},&quot;page&quot;:&quot;441-444&quot;,&quot;abstract&quot;:&quot;Computed Tomography represents about 10% of all diagnostic radiology procedures, but it is responsible for almost 50%-60% of exposure from diagnostic procedures. In head CT, other critical organs such as eye lenses and thyroids are in the radiation field. Therefore, dose assessment in these organs is very important. The aim of this study is to estimate the absorbed dose in critical organs of patients undergoing common head CT scans. In this study, the Radiosensitive organs in CT were determined in Razi hospital in Rasht, the capital of Gilan province in Iran. The standard head phantom that was built from ertalon and cheap termolominecene dosimeter LiF; Mg: Cu; P was used for dosimetry in organs. Height and diameter of the phantom which contained holes for placing the TLD were 32 cm and 16 cm, respectively. Readouts were obtained on a Harshaw reader. The results show that during head CT scan, the maximum absorbed dose belongs to occipital bone skin, that is 15.2mGy, and the minimum absorbed dose belongs to the neck, which is 0.13 mGy. For reduction of damage due to exposure in CT, it is necessary that the absorbed dose of organs be decreased.&quot;,&quot;volume&quot;:&quot;3&quot;},&quot;isTemporary&quot;:false}],&quot;properties&quot;:{&quot;noteIndex&quot;:0},&quot;isEdited&quot;:false,&quot;manualOverride&quot;:{&quot;isManuallyOverriden&quot;:false,&quot;citeprocText&quot;:&quot;(Mahdavi et al., 2015)&quot;,&quot;manualOverrideText&quot;:&quot;&quot;},&quot;citationTag&quot;:&quot;MENDELEY_CITATION_{\&quot;citationID\&quot;:\&quot;MENDELEY_CITATION_1d311aa0-bf38-4348-82cc-86e2122a2a95\&quot;,\&quot;citationItems\&quot;:[{\&quot;id\&quot;:\&quot;3b42c0cf-54ec-3072-9667-0826123de1da\&quot;,\&quot;itemData\&quot;:{\&quot;type\&quot;:\&quot;article-journal\&quot;,\&quot;id\&quot;:\&quot;3b42c0cf-54ec-3072-9667-0826123de1da\&quot;,\&quot;title\&quot;:\&quot;Determination of radiosensitive organs in head CT for the head area\&quot;,\&quot;author\&quot;:[{\&quot;family\&quot;:\&quot;Mahdavi\&quot;,\&quot;given\&quot;:\&quot;M\&quot;,\&quot;parse-names\&quot;:false,\&quot;dropping-particle\&quot;:\&quot;\&quot;,\&quot;non-dropping-particle\&quot;:\&quot;\&quot;},{\&quot;family\&quot;:\&quot;Hosseinnezhad\&quot;,\&quot;given\&quot;:\&quot;M\&quot;,\&quot;parse-names\&quot;:false,\&quot;dropping-particle\&quot;:\&quot;\&quot;,\&quot;non-dropping-particle\&quot;:\&quot;\&quot;},{\&quot;family\&quot;:\&quot;Moghaddam\&quot;,\&quot;given\&quot;:\&quot;M Vahabi\&quot;,\&quot;parse-names\&quot;:false,\&quot;dropping-particle\&quot;:\&quot;\&quot;,\&quot;non-dropping-particle\&quot;:\&quot;\&quot;}],\&quot;container-title\&quot;:\&quot;Iranian Journal of Science &amp; Technology\&quot;,\&quot;ISBN\&quot;:\&quot;3540288880\&quot;,\&quot;URL\&quot;:\&quot;http://ijsts.shirazu.ac.ir\&quot;,\&quot;issued\&quot;:{\&quot;date-parts\&quot;:[[2015]]},\&quot;page\&quot;:\&quot;441-444\&quot;,\&quot;abstract\&quot;:\&quot;Computed Tomography represents about 10% of all diagnostic radiology procedures, but it is responsible for almost 50%-60% of exposure from diagnostic procedures. In head CT, other critical organs such as eye lenses and thyroids are in the radiation field. Therefore, dose assessment in these organs is very important. The aim of this study is to estimate the absorbed dose in critical organs of patients undergoing common head CT scans. In this study, the Radiosensitive organs in CT were determined in Razi hospital in Rasht, the capital of Gilan province in Iran. The standard head phantom that was built from ertalon and cheap termolominecene dosimeter LiF; Mg: Cu; P was used for dosimetry in organs. Height and diameter of the phantom which contained holes for placing the TLD were 32 cm and 16 cm, respectively. Readouts were obtained on a Harshaw reader. The results show that during head CT scan, the maximum absorbed dose belongs to occipital bone skin, that is 15.2mGy, and the minimum absorbed dose belongs to the neck, which is 0.13 mGy. For reduction of damage due to exposure in CT, it is necessary that the absorbed dose of organs be decreased.\&quot;,\&quot;volume\&quot;:\&quot;3\&quot;},\&quot;isTemporary\&quot;:false}],\&quot;properties\&quot;:{\&quot;noteIndex\&quot;:0},\&quot;isEdited\&quot;:false,\&quot;manualOverride\&quot;:{\&quot;isManuallyOverriden\&quot;:false,\&quot;citeprocText\&quot;:\&quot;(Mahdavi et al., 2015)\&quot;,\&quot;manualOverrideText\&quot;:\&quot;\&quot;}}&quot;},{&quot;citationID&quot;:&quot;MENDELEY_CITATION_e25682d4-1a18-4bf8-ba7a-59135e84ad6b&quot;,&quot;citationItems&quot;:[{&quot;id&quot;:&quot;31552e24-549e-386b-9155-bf6a6cf0686b&quot;,&quot;itemData&quot;:{&quot;type&quot;:&quot;article-journal&quot;,&quot;id&quot;:&quot;31552e24-549e-386b-9155-bf6a6cf0686b&quot;,&quot;title&quot;:&quot;International variation in radiation dose for computed tomography examinations: Prospective cohort study&quot;,&quot;author&quot;:[{&quot;family&quot;:&quot;Smith-Bindman&quot;,&quot;given&quot;:&quot;Rebecca&quot;,&quot;parse-names&quot;:false,&quot;dropping-particle&quot;:&quot;&quot;,&quot;non-dropping-particle&quot;:&quot;&quot;},{&quot;family&quot;:&quot;Wang&quot;,&quot;given&quot;:&quot;Yifei&quot;,&quot;parse-names&quot;:false,&quot;dropping-particle&quot;:&quot;&quot;,&quot;non-dropping-particle&quot;:&quot;&quot;},{&quot;family&quot;:&quot;Chu&quot;,&quot;given&quot;:&quot;Philip&quot;,&quot;parse-names&quot;:false,&quot;dropping-particle&quot;:&quot;&quot;,&quot;non-dropping-particle&quot;:&quot;&quot;},{&quot;family&quot;:&quot;Chung&quot;,&quot;given&quot;:&quot;Robert&quot;,&quot;parse-names&quot;:false,&quot;dropping-particle&quot;:&quot;&quot;,&quot;non-dropping-particle&quot;:&quot;&quot;},{&quot;family&quot;:&quot;Einstein&quot;,&quot;given&quot;:&quot;Andrew J.&quot;,&quot;parse-names&quot;:false,&quot;dropping-particle&quot;:&quot;&quot;,&quot;non-dropping-particle&quot;:&quot;&quot;},{&quot;family&quot;:&quot;Balcombe&quot;,&quot;given&quot;:&quot;Jonathan&quot;,&quot;parse-names&quot;:false,&quot;dropping-particle&quot;:&quot;&quot;,&quot;non-dropping-particle&quot;:&quot;&quot;},{&quot;family&quot;:&quot;Cocker&quot;,&quot;given&quot;:&quot;Mary&quot;,&quot;parse-names&quot;:false,&quot;dropping-particle&quot;:&quot;&quot;,&quot;non-dropping-particle&quot;:&quot;&quot;},{&quot;family&quot;:&quot;Das&quot;,&quot;given&quot;:&quot;Marcos&quot;,&quot;parse-names&quot;:false,&quot;dropping-particle&quot;:&quot;&quot;,&quot;non-dropping-particle&quot;:&quot;&quot;},{&quot;family&quot;:&quot;Delman&quot;,&quot;given&quot;:&quot;Bradley N.&quot;,&quot;parse-names&quot;:false,&quot;dropping-particle&quot;:&quot;&quot;,&quot;non-dropping-particle&quot;:&quot;&quot;},{&quot;family&quot;:&quot;Flynn&quot;,&quot;given&quot;:&quot;Michael&quot;,&quot;parse-names&quot;:false,&quot;dropping-particle&quot;:&quot;&quot;,&quot;non-dropping-particle&quot;:&quot;&quot;},{&quot;family&quot;:&quot;Gould&quot;,&quot;given&quot;:&quot;Robert&quot;,&quot;parse-names&quot;:false,&quot;dropping-particle&quot;:&quot;&quot;,&quot;non-dropping-particle&quot;:&quot;&quot;},{&quot;family&quot;:&quot;Lee&quot;,&quot;given&quot;:&quot;Ryan K.&quot;,&quot;parse-names&quot;:false,&quot;dropping-particle&quot;:&quot;&quot;,&quot;non-dropping-particle&quot;:&quot;&quot;},{&quot;family&quot;:&quot;Yellen-Nelson&quot;,&quot;given&quot;:&quot;Thomas&quot;,&quot;parse-names&quot;:false,&quot;dropping-particle&quot;:&quot;&quot;,&quot;non-dropping-particle&quot;:&quot;&quot;},{&quot;family&quot;:&quot;Schindera&quot;,&quot;given&quot;:&quot;Sebastian&quot;,&quot;parse-names&quot;:false,&quot;dropping-particle&quot;:&quot;&quot;,&quot;non-dropping-particle&quot;:&quot;&quot;},{&quot;family&quot;:&quot;Seibert&quot;,&quot;given&quot;:&quot;Anthony&quot;,&quot;parse-names&quot;:false,&quot;dropping-particle&quot;:&quot;&quot;,&quot;non-dropping-particle&quot;:&quot;&quot;},{&quot;family&quot;:&quot;Starkey&quot;,&quot;given&quot;:&quot;Jay&quot;,&quot;parse-names&quot;:false,&quot;dropping-particle&quot;:&quot;&quot;,&quot;non-dropping-particle&quot;:&quot;&quot;},{&quot;family&quot;:&quot;Suntharalingam&quot;,&quot;given&quot;:&quot;Saravanabavaan&quot;,&quot;parse-names&quot;:false,&quot;dropping-particle&quot;:&quot;&quot;,&quot;non-dropping-particle&quot;:&quot;&quot;},{&quot;family&quot;:&quot;Wetter&quot;,&quot;given&quot;:&quot;Axel&quot;,&quot;parse-names&quot;:false,&quot;dropping-particle&quot;:&quot;&quot;,&quot;non-dropping-particle&quot;:&quot;&quot;},{&quot;family&quot;:&quot;Wildberger&quot;,&quot;given&quot;:&quot;Joachim E.&quot;,&quot;parse-names&quot;:false,&quot;dropping-particle&quot;:&quot;&quot;,&quot;non-dropping-particle&quot;:&quot;&quot;},{&quot;family&quot;:&quot;Miglioretti&quot;,&quot;given&quot;:&quot;Diana L.&quot;,&quot;parse-names&quot;:false,&quot;dropping-particle&quot;:&quot;&quot;,&quot;non-dropping-particle&quot;:&quot;&quot;}],&quot;container-title&quot;:&quot;BMJ (Online)&quot;,&quot;DOI&quot;:&quot;10.1136/bmj.k4931&quot;,&quot;ISSN&quot;:&quot;17561833&quot;,&quot;PMID&quot;:&quot;30602590&quot;,&quot;issued&quot;:{&quot;date-parts&quot;:[[2019]]},&quot;page&quot;:&quot;1-12&quot;,&quot;abstract&quot;:&quot;OBJECTIVE To determine patient, institution, and machine characteristics that contribute to variation in radiation doses used for computed tomography (CT). DESIGN Prospective cohort study. SETTING Data were assembled and analyzed from the University of California San Francisco CT International Dose Registry. PARTICIPANTS Standardized data from over 2.0 million CT examinations of adults who underwent CT between November 2015 and August 2017 from 151 institutions, across seven countries. MAIN OUTCOME MEASURES Mean effective doses and proportions of high dose examinations for abdomen, chest, combined chest and abdomen, and head CT were determined by patient characteristics (sex, age, and size), type of institution (trauma center, care provision 24 hours per day and seven days per week, academic, private), institutional practice volume, machine factors (manufacturer, model), country, and how scanners were used, before and after adjustment for patient characteristics, using hierarchical linear and logistic regression. High dose examinations were defined as CT scans with doses above the 75th percentile defined during a baseline period. RESULTS The mean effective dose and proportion of high dose examinations varied substantially across institutions. The doses varied modestly (10-30%) by type of institution and machine characteristics after adjusting for patient characteristics. By contrast, even after adjusting for patient characteristics, wide variations in radiation doses across countries persisted, with a fourfold range in mean effective dose for abdomen CT examinations (7.0-25.7 mSv) and a 17-fold range in proportion of high dose examinations (4-69%). Similar variation across countries was observed for chest (mean effective dose 1.7-6.4 mSv, proportion of high dose examinations 1-26%) and combined chest and abdomen CT (10.0-37.9 mSv, 2-78%). Doses for head CT varied less (1.4-1.9 mSv, 8-27%). In multivariable models, the dose variation across countries was primarily attributable to institutional decisions regarding technical parameters (that is, how the scanners were used). CONCLUSIONS CT protocols and radiation doses vary greatly across countries and are primarily attributable to local choices regarding technical parameters, rather than patient, institution, or machine characteristics. These findings suggest that the optimization of doses to a consistent standard should be possible.&quot;,&quot;volume&quot;:&quot;364&quot;},&quot;isTemporary&quot;:false}],&quot;properties&quot;:{&quot;noteIndex&quot;:0},&quot;isEdited&quot;:false,&quot;manualOverride&quot;:{&quot;isManuallyOverriden&quot;:false,&quot;citeprocText&quot;:&quot;(Smith-Bindman et al., 2019)&quot;,&quot;manualOverrideText&quot;:&quot;&quot;},&quot;citationTag&quot;:&quot;MENDELEY_CITATION_{\&quot;citationID\&quot;:\&quot;MENDELEY_CITATION_e25682d4-1a18-4bf8-ba7a-59135e84ad6b\&quot;,\&quot;citationItems\&quot;:[{\&quot;id\&quot;:\&quot;31552e24-549e-386b-9155-bf6a6cf0686b\&quot;,\&quot;itemData\&quot;:{\&quot;type\&quot;:\&quot;article-journal\&quot;,\&quot;id\&quot;:\&quot;31552e24-549e-386b-9155-bf6a6cf0686b\&quot;,\&quot;title\&quot;:\&quot;International variation in radiation dose for computed tomography examinations: Prospective cohort study\&quot;,\&quot;author\&quot;:[{\&quot;family\&quot;:\&quot;Smith-Bindman\&quot;,\&quot;given\&quot;:\&quot;Rebecca\&quot;,\&quot;parse-names\&quot;:false,\&quot;dropping-particle\&quot;:\&quot;\&quot;,\&quot;non-dropping-particle\&quot;:\&quot;\&quot;},{\&quot;family\&quot;:\&quot;Wang\&quot;,\&quot;given\&quot;:\&quot;Yifei\&quot;,\&quot;parse-names\&quot;:false,\&quot;dropping-particle\&quot;:\&quot;\&quot;,\&quot;non-dropping-particle\&quot;:\&quot;\&quot;},{\&quot;family\&quot;:\&quot;Chu\&quot;,\&quot;given\&quot;:\&quot;Philip\&quot;,\&quot;parse-names\&quot;:false,\&quot;dropping-particle\&quot;:\&quot;\&quot;,\&quot;non-dropping-particle\&quot;:\&quot;\&quot;},{\&quot;family\&quot;:\&quot;Chung\&quot;,\&quot;given\&quot;:\&quot;Robert\&quot;,\&quot;parse-names\&quot;:false,\&quot;dropping-particle\&quot;:\&quot;\&quot;,\&quot;non-dropping-particle\&quot;:\&quot;\&quot;},{\&quot;family\&quot;:\&quot;Einstein\&quot;,\&quot;given\&quot;:\&quot;Andrew J.\&quot;,\&quot;parse-names\&quot;:false,\&quot;dropping-particle\&quot;:\&quot;\&quot;,\&quot;non-dropping-particle\&quot;:\&quot;\&quot;},{\&quot;family\&quot;:\&quot;Balcombe\&quot;,\&quot;given\&quot;:\&quot;Jonathan\&quot;,\&quot;parse-names\&quot;:false,\&quot;dropping-particle\&quot;:\&quot;\&quot;,\&quot;non-dropping-particle\&quot;:\&quot;\&quot;},{\&quot;family\&quot;:\&quot;Cocker\&quot;,\&quot;given\&quot;:\&quot;Mary\&quot;,\&quot;parse-names\&quot;:false,\&quot;dropping-particle\&quot;:\&quot;\&quot;,\&quot;non-dropping-particle\&quot;:\&quot;\&quot;},{\&quot;family\&quot;:\&quot;Das\&quot;,\&quot;given\&quot;:\&quot;Marcos\&quot;,\&quot;parse-names\&quot;:false,\&quot;dropping-particle\&quot;:\&quot;\&quot;,\&quot;non-dropping-particle\&quot;:\&quot;\&quot;},{\&quot;family\&quot;:\&quot;Delman\&quot;,\&quot;given\&quot;:\&quot;Bradley N.\&quot;,\&quot;parse-names\&quot;:false,\&quot;dropping-particle\&quot;:\&quot;\&quot;,\&quot;non-dropping-particle\&quot;:\&quot;\&quot;},{\&quot;family\&quot;:\&quot;Flynn\&quot;,\&quot;given\&quot;:\&quot;Michael\&quot;,\&quot;parse-names\&quot;:false,\&quot;dropping-particle\&quot;:\&quot;\&quot;,\&quot;non-dropping-particle\&quot;:\&quot;\&quot;},{\&quot;family\&quot;:\&quot;Gould\&quot;,\&quot;given\&quot;:\&quot;Robert\&quot;,\&quot;parse-names\&quot;:false,\&quot;dropping-particle\&quot;:\&quot;\&quot;,\&quot;non-dropping-particle\&quot;:\&quot;\&quot;},{\&quot;family\&quot;:\&quot;Lee\&quot;,\&quot;given\&quot;:\&quot;Ryan K.\&quot;,\&quot;parse-names\&quot;:false,\&quot;dropping-particle\&quot;:\&quot;\&quot;,\&quot;non-dropping-particle\&quot;:\&quot;\&quot;},{\&quot;family\&quot;:\&quot;Yellen-Nelson\&quot;,\&quot;given\&quot;:\&quot;Thomas\&quot;,\&quot;parse-names\&quot;:false,\&quot;dropping-particle\&quot;:\&quot;\&quot;,\&quot;non-dropping-particle\&quot;:\&quot;\&quot;},{\&quot;family\&quot;:\&quot;Schindera\&quot;,\&quot;given\&quot;:\&quot;Sebastian\&quot;,\&quot;parse-names\&quot;:false,\&quot;dropping-particle\&quot;:\&quot;\&quot;,\&quot;non-dropping-particle\&quot;:\&quot;\&quot;},{\&quot;family\&quot;:\&quot;Seibert\&quot;,\&quot;given\&quot;:\&quot;Anthony\&quot;,\&quot;parse-names\&quot;:false,\&quot;dropping-particle\&quot;:\&quot;\&quot;,\&quot;non-dropping-particle\&quot;:\&quot;\&quot;},{\&quot;family\&quot;:\&quot;Starkey\&quot;,\&quot;given\&quot;:\&quot;Jay\&quot;,\&quot;parse-names\&quot;:false,\&quot;dropping-particle\&quot;:\&quot;\&quot;,\&quot;non-dropping-particle\&quot;:\&quot;\&quot;},{\&quot;family\&quot;:\&quot;Suntharalingam\&quot;,\&quot;given\&quot;:\&quot;Saravanabavaan\&quot;,\&quot;parse-names\&quot;:false,\&quot;dropping-particle\&quot;:\&quot;\&quot;,\&quot;non-dropping-particle\&quot;:\&quot;\&quot;},{\&quot;family\&quot;:\&quot;Wetter\&quot;,\&quot;given\&quot;:\&quot;Axel\&quot;,\&quot;parse-names\&quot;:false,\&quot;dropping-particle\&quot;:\&quot;\&quot;,\&quot;non-dropping-particle\&quot;:\&quot;\&quot;},{\&quot;family\&quot;:\&quot;Wildberger\&quot;,\&quot;given\&quot;:\&quot;Joachim E.\&quot;,\&quot;parse-names\&quot;:false,\&quot;dropping-particle\&quot;:\&quot;\&quot;,\&quot;non-dropping-particle\&quot;:\&quot;\&quot;},{\&quot;family\&quot;:\&quot;Miglioretti\&quot;,\&quot;given\&quot;:\&quot;Diana L.\&quot;,\&quot;parse-names\&quot;:false,\&quot;dropping-particle\&quot;:\&quot;\&quot;,\&quot;non-dropping-particle\&quot;:\&quot;\&quot;}],\&quot;container-title\&quot;:\&quot;BMJ (Online)\&quot;,\&quot;DOI\&quot;:\&quot;10.1136/bmj.k4931\&quot;,\&quot;ISSN\&quot;:\&quot;17561833\&quot;,\&quot;PMID\&quot;:\&quot;30602590\&quot;,\&quot;issued\&quot;:{\&quot;date-parts\&quot;:[[2019]]},\&quot;page\&quot;:\&quot;1-12\&quot;,\&quot;abstract\&quot;:\&quot;OBJECTIVE To determine patient, institution, and machine characteristics that contribute to variation in radiation doses used for computed tomography (CT). DESIGN Prospective cohort study. SETTING Data were assembled and analyzed from the University of California San Francisco CT International Dose Registry. PARTICIPANTS Standardized data from over 2.0 million CT examinations of adults who underwent CT between November 2015 and August 2017 from 151 institutions, across seven countries. MAIN OUTCOME MEASURES Mean effective doses and proportions of high dose examinations for abdomen, chest, combined chest and abdomen, and head CT were determined by patient characteristics (sex, age, and size), type of institution (trauma center, care provision 24 hours per day and seven days per week, academic, private), institutional practice volume, machine factors (manufacturer, model), country, and how scanners were used, before and after adjustment for patient characteristics, using hierarchical linear and logistic regression. High dose examinations were defined as CT scans with doses above the 75th percentile defined during a baseline period. RESULTS The mean effective dose and proportion of high dose examinations varied substantially across institutions. The doses varied modestly (10-30%) by type of institution and machine characteristics after adjusting for patient characteristics. By contrast, even after adjusting for patient characteristics, wide variations in radiation doses across countries persisted, with a fourfold range in mean effective dose for abdomen CT examinations (7.0-25.7 mSv) and a 17-fold range in proportion of high dose examinations (4-69%). Similar variation across countries was observed for chest (mean effective dose 1.7-6.4 mSv, proportion of high dose examinations 1-26%) and combined chest and abdomen CT (10.0-37.9 mSv, 2-78%). Doses for head CT varied less (1.4-1.9 mSv, 8-27%). In multivariable models, the dose variation across countries was primarily attributable to institutional decisions regarding technical parameters (that is, how the scanners were used). CONCLUSIONS CT protocols and radiation doses vary greatly across countries and are primarily attributable to local choices regarding technical parameters, rather than patient, institution, or machine characteristics. These findings suggest that the optimization of doses to a consistent standard should be possible.\&quot;,\&quot;volume\&quot;:\&quot;364\&quot;},\&quot;isTemporary\&quot;:false}],\&quot;properties\&quot;:{\&quot;noteIndex\&quot;:0},\&quot;isEdited\&quot;:false,\&quot;manualOverride\&quot;:{\&quot;isManuallyOverriden\&quot;:false,\&quot;citeprocText\&quot;:\&quot;(Smith-Bindman et al., 2019)\&quot;,\&quot;manualOverrideText\&quot;:\&quot;\&quot;}}&quot;},{&quot;citationID&quot;:&quot;MENDELEY_CITATION_f0de001c-8046-4daf-b7f8-55753166d97a&quot;,&quot;citationItems&quot;:[{&quot;id&quot;:&quot;31552e24-549e-386b-9155-bf6a6cf0686b&quot;,&quot;itemData&quot;:{&quot;type&quot;:&quot;article-journal&quot;,&quot;id&quot;:&quot;31552e24-549e-386b-9155-bf6a6cf0686b&quot;,&quot;title&quot;:&quot;International variation in radiation dose for computed tomography examinations: Prospective cohort study&quot;,&quot;author&quot;:[{&quot;family&quot;:&quot;Smith-Bindman&quot;,&quot;given&quot;:&quot;Rebecca&quot;,&quot;parse-names&quot;:false,&quot;dropping-particle&quot;:&quot;&quot;,&quot;non-dropping-particle&quot;:&quot;&quot;},{&quot;family&quot;:&quot;Wang&quot;,&quot;given&quot;:&quot;Yifei&quot;,&quot;parse-names&quot;:false,&quot;dropping-particle&quot;:&quot;&quot;,&quot;non-dropping-particle&quot;:&quot;&quot;},{&quot;family&quot;:&quot;Chu&quot;,&quot;given&quot;:&quot;Philip&quot;,&quot;parse-names&quot;:false,&quot;dropping-particle&quot;:&quot;&quot;,&quot;non-dropping-particle&quot;:&quot;&quot;},{&quot;family&quot;:&quot;Chung&quot;,&quot;given&quot;:&quot;Robert&quot;,&quot;parse-names&quot;:false,&quot;dropping-particle&quot;:&quot;&quot;,&quot;non-dropping-particle&quot;:&quot;&quot;},{&quot;family&quot;:&quot;Einstein&quot;,&quot;given&quot;:&quot;Andrew J.&quot;,&quot;parse-names&quot;:false,&quot;dropping-particle&quot;:&quot;&quot;,&quot;non-dropping-particle&quot;:&quot;&quot;},{&quot;family&quot;:&quot;Balcombe&quot;,&quot;given&quot;:&quot;Jonathan&quot;,&quot;parse-names&quot;:false,&quot;dropping-particle&quot;:&quot;&quot;,&quot;non-dropping-particle&quot;:&quot;&quot;},{&quot;family&quot;:&quot;Cocker&quot;,&quot;given&quot;:&quot;Mary&quot;,&quot;parse-names&quot;:false,&quot;dropping-particle&quot;:&quot;&quot;,&quot;non-dropping-particle&quot;:&quot;&quot;},{&quot;family&quot;:&quot;Das&quot;,&quot;given&quot;:&quot;Marcos&quot;,&quot;parse-names&quot;:false,&quot;dropping-particle&quot;:&quot;&quot;,&quot;non-dropping-particle&quot;:&quot;&quot;},{&quot;family&quot;:&quot;Delman&quot;,&quot;given&quot;:&quot;Bradley N.&quot;,&quot;parse-names&quot;:false,&quot;dropping-particle&quot;:&quot;&quot;,&quot;non-dropping-particle&quot;:&quot;&quot;},{&quot;family&quot;:&quot;Flynn&quot;,&quot;given&quot;:&quot;Michael&quot;,&quot;parse-names&quot;:false,&quot;dropping-particle&quot;:&quot;&quot;,&quot;non-dropping-particle&quot;:&quot;&quot;},{&quot;family&quot;:&quot;Gould&quot;,&quot;given&quot;:&quot;Robert&quot;,&quot;parse-names&quot;:false,&quot;dropping-particle&quot;:&quot;&quot;,&quot;non-dropping-particle&quot;:&quot;&quot;},{&quot;family&quot;:&quot;Lee&quot;,&quot;given&quot;:&quot;Ryan K.&quot;,&quot;parse-names&quot;:false,&quot;dropping-particle&quot;:&quot;&quot;,&quot;non-dropping-particle&quot;:&quot;&quot;},{&quot;family&quot;:&quot;Yellen-Nelson&quot;,&quot;given&quot;:&quot;Thomas&quot;,&quot;parse-names&quot;:false,&quot;dropping-particle&quot;:&quot;&quot;,&quot;non-dropping-particle&quot;:&quot;&quot;},{&quot;family&quot;:&quot;Schindera&quot;,&quot;given&quot;:&quot;Sebastian&quot;,&quot;parse-names&quot;:false,&quot;dropping-particle&quot;:&quot;&quot;,&quot;non-dropping-particle&quot;:&quot;&quot;},{&quot;family&quot;:&quot;Seibert&quot;,&quot;given&quot;:&quot;Anthony&quot;,&quot;parse-names&quot;:false,&quot;dropping-particle&quot;:&quot;&quot;,&quot;non-dropping-particle&quot;:&quot;&quot;},{&quot;family&quot;:&quot;Starkey&quot;,&quot;given&quot;:&quot;Jay&quot;,&quot;parse-names&quot;:false,&quot;dropping-particle&quot;:&quot;&quot;,&quot;non-dropping-particle&quot;:&quot;&quot;},{&quot;family&quot;:&quot;Suntharalingam&quot;,&quot;given&quot;:&quot;Saravanabavaan&quot;,&quot;parse-names&quot;:false,&quot;dropping-particle&quot;:&quot;&quot;,&quot;non-dropping-particle&quot;:&quot;&quot;},{&quot;family&quot;:&quot;Wetter&quot;,&quot;given&quot;:&quot;Axel&quot;,&quot;parse-names&quot;:false,&quot;dropping-particle&quot;:&quot;&quot;,&quot;non-dropping-particle&quot;:&quot;&quot;},{&quot;family&quot;:&quot;Wildberger&quot;,&quot;given&quot;:&quot;Joachim E.&quot;,&quot;parse-names&quot;:false,&quot;dropping-particle&quot;:&quot;&quot;,&quot;non-dropping-particle&quot;:&quot;&quot;},{&quot;family&quot;:&quot;Miglioretti&quot;,&quot;given&quot;:&quot;Diana L.&quot;,&quot;parse-names&quot;:false,&quot;dropping-particle&quot;:&quot;&quot;,&quot;non-dropping-particle&quot;:&quot;&quot;}],&quot;container-title&quot;:&quot;BMJ (Online)&quot;,&quot;DOI&quot;:&quot;10.1136/bmj.k4931&quot;,&quot;ISSN&quot;:&quot;17561833&quot;,&quot;PMID&quot;:&quot;30602590&quot;,&quot;issued&quot;:{&quot;date-parts&quot;:[[2019]]},&quot;page&quot;:&quot;1-12&quot;,&quot;abstract&quot;:&quot;OBJECTIVE To determine patient, institution, and machine characteristics that contribute to variation in radiation doses used for computed tomography (CT). DESIGN Prospective cohort study. SETTING Data were assembled and analyzed from the University of California San Francisco CT International Dose Registry. PARTICIPANTS Standardized data from over 2.0 million CT examinations of adults who underwent CT between November 2015 and August 2017 from 151 institutions, across seven countries. MAIN OUTCOME MEASURES Mean effective doses and proportions of high dose examinations for abdomen, chest, combined chest and abdomen, and head CT were determined by patient characteristics (sex, age, and size), type of institution (trauma center, care provision 24 hours per day and seven days per week, academic, private), institutional practice volume, machine factors (manufacturer, model), country, and how scanners were used, before and after adjustment for patient characteristics, using hierarchical linear and logistic regression. High dose examinations were defined as CT scans with doses above the 75th percentile defined during a baseline period. RESULTS The mean effective dose and proportion of high dose examinations varied substantially across institutions. The doses varied modestly (10-30%) by type of institution and machine characteristics after adjusting for patient characteristics. By contrast, even after adjusting for patient characteristics, wide variations in radiation doses across countries persisted, with a fourfold range in mean effective dose for abdomen CT examinations (7.0-25.7 mSv) and a 17-fold range in proportion of high dose examinations (4-69%). Similar variation across countries was observed for chest (mean effective dose 1.7-6.4 mSv, proportion of high dose examinations 1-26%) and combined chest and abdomen CT (10.0-37.9 mSv, 2-78%). Doses for head CT varied less (1.4-1.9 mSv, 8-27%). In multivariable models, the dose variation across countries was primarily attributable to institutional decisions regarding technical parameters (that is, how the scanners were used). CONCLUSIONS CT protocols and radiation doses vary greatly across countries and are primarily attributable to local choices regarding technical parameters, rather than patient, institution, or machine characteristics. These findings suggest that the optimization of doses to a consistent standard should be possible.&quot;,&quot;volume&quot;:&quot;364&quot;},&quot;isTemporary&quot;:false}],&quot;properties&quot;:{&quot;noteIndex&quot;:0},&quot;isEdited&quot;:false,&quot;manualOverride&quot;:{&quot;isManuallyOverriden&quot;:false,&quot;citeprocText&quot;:&quot;(Smith-Bindman et al., 2019)&quot;,&quot;manualOverrideText&quot;:&quot;&quot;},&quot;citationTag&quot;:&quot;MENDELEY_CITATION_{\&quot;citationID\&quot;:\&quot;MENDELEY_CITATION_f0de001c-8046-4daf-b7f8-55753166d97a\&quot;,\&quot;citationItems\&quot;:[{\&quot;id\&quot;:\&quot;31552e24-549e-386b-9155-bf6a6cf0686b\&quot;,\&quot;itemData\&quot;:{\&quot;type\&quot;:\&quot;article-journal\&quot;,\&quot;id\&quot;:\&quot;31552e24-549e-386b-9155-bf6a6cf0686b\&quot;,\&quot;title\&quot;:\&quot;International variation in radiation dose for computed tomography examinations: Prospective cohort study\&quot;,\&quot;author\&quot;:[{\&quot;family\&quot;:\&quot;Smith-Bindman\&quot;,\&quot;given\&quot;:\&quot;Rebecca\&quot;,\&quot;parse-names\&quot;:false,\&quot;dropping-particle\&quot;:\&quot;\&quot;,\&quot;non-dropping-particle\&quot;:\&quot;\&quot;},{\&quot;family\&quot;:\&quot;Wang\&quot;,\&quot;given\&quot;:\&quot;Yifei\&quot;,\&quot;parse-names\&quot;:false,\&quot;dropping-particle\&quot;:\&quot;\&quot;,\&quot;non-dropping-particle\&quot;:\&quot;\&quot;},{\&quot;family\&quot;:\&quot;Chu\&quot;,\&quot;given\&quot;:\&quot;Philip\&quot;,\&quot;parse-names\&quot;:false,\&quot;dropping-particle\&quot;:\&quot;\&quot;,\&quot;non-dropping-particle\&quot;:\&quot;\&quot;},{\&quot;family\&quot;:\&quot;Chung\&quot;,\&quot;given\&quot;:\&quot;Robert\&quot;,\&quot;parse-names\&quot;:false,\&quot;dropping-particle\&quot;:\&quot;\&quot;,\&quot;non-dropping-particle\&quot;:\&quot;\&quot;},{\&quot;family\&quot;:\&quot;Einstein\&quot;,\&quot;given\&quot;:\&quot;Andrew J.\&quot;,\&quot;parse-names\&quot;:false,\&quot;dropping-particle\&quot;:\&quot;\&quot;,\&quot;non-dropping-particle\&quot;:\&quot;\&quot;},{\&quot;family\&quot;:\&quot;Balcombe\&quot;,\&quot;given\&quot;:\&quot;Jonathan\&quot;,\&quot;parse-names\&quot;:false,\&quot;dropping-particle\&quot;:\&quot;\&quot;,\&quot;non-dropping-particle\&quot;:\&quot;\&quot;},{\&quot;family\&quot;:\&quot;Cocker\&quot;,\&quot;given\&quot;:\&quot;Mary\&quot;,\&quot;parse-names\&quot;:false,\&quot;dropping-particle\&quot;:\&quot;\&quot;,\&quot;non-dropping-particle\&quot;:\&quot;\&quot;},{\&quot;family\&quot;:\&quot;Das\&quot;,\&quot;given\&quot;:\&quot;Marcos\&quot;,\&quot;parse-names\&quot;:false,\&quot;dropping-particle\&quot;:\&quot;\&quot;,\&quot;non-dropping-particle\&quot;:\&quot;\&quot;},{\&quot;family\&quot;:\&quot;Delman\&quot;,\&quot;given\&quot;:\&quot;Bradley N.\&quot;,\&quot;parse-names\&quot;:false,\&quot;dropping-particle\&quot;:\&quot;\&quot;,\&quot;non-dropping-particle\&quot;:\&quot;\&quot;},{\&quot;family\&quot;:\&quot;Flynn\&quot;,\&quot;given\&quot;:\&quot;Michael\&quot;,\&quot;parse-names\&quot;:false,\&quot;dropping-particle\&quot;:\&quot;\&quot;,\&quot;non-dropping-particle\&quot;:\&quot;\&quot;},{\&quot;family\&quot;:\&quot;Gould\&quot;,\&quot;given\&quot;:\&quot;Robert\&quot;,\&quot;parse-names\&quot;:false,\&quot;dropping-particle\&quot;:\&quot;\&quot;,\&quot;non-dropping-particle\&quot;:\&quot;\&quot;},{\&quot;family\&quot;:\&quot;Lee\&quot;,\&quot;given\&quot;:\&quot;Ryan K.\&quot;,\&quot;parse-names\&quot;:false,\&quot;dropping-particle\&quot;:\&quot;\&quot;,\&quot;non-dropping-particle\&quot;:\&quot;\&quot;},{\&quot;family\&quot;:\&quot;Yellen-Nelson\&quot;,\&quot;given\&quot;:\&quot;Thomas\&quot;,\&quot;parse-names\&quot;:false,\&quot;dropping-particle\&quot;:\&quot;\&quot;,\&quot;non-dropping-particle\&quot;:\&quot;\&quot;},{\&quot;family\&quot;:\&quot;Schindera\&quot;,\&quot;given\&quot;:\&quot;Sebastian\&quot;,\&quot;parse-names\&quot;:false,\&quot;dropping-particle\&quot;:\&quot;\&quot;,\&quot;non-dropping-particle\&quot;:\&quot;\&quot;},{\&quot;family\&quot;:\&quot;Seibert\&quot;,\&quot;given\&quot;:\&quot;Anthony\&quot;,\&quot;parse-names\&quot;:false,\&quot;dropping-particle\&quot;:\&quot;\&quot;,\&quot;non-dropping-particle\&quot;:\&quot;\&quot;},{\&quot;family\&quot;:\&quot;Starkey\&quot;,\&quot;given\&quot;:\&quot;Jay\&quot;,\&quot;parse-names\&quot;:false,\&quot;dropping-particle\&quot;:\&quot;\&quot;,\&quot;non-dropping-particle\&quot;:\&quot;\&quot;},{\&quot;family\&quot;:\&quot;Suntharalingam\&quot;,\&quot;given\&quot;:\&quot;Saravanabavaan\&quot;,\&quot;parse-names\&quot;:false,\&quot;dropping-particle\&quot;:\&quot;\&quot;,\&quot;non-dropping-particle\&quot;:\&quot;\&quot;},{\&quot;family\&quot;:\&quot;Wetter\&quot;,\&quot;given\&quot;:\&quot;Axel\&quot;,\&quot;parse-names\&quot;:false,\&quot;dropping-particle\&quot;:\&quot;\&quot;,\&quot;non-dropping-particle\&quot;:\&quot;\&quot;},{\&quot;family\&quot;:\&quot;Wildberger\&quot;,\&quot;given\&quot;:\&quot;Joachim E.\&quot;,\&quot;parse-names\&quot;:false,\&quot;dropping-particle\&quot;:\&quot;\&quot;,\&quot;non-dropping-particle\&quot;:\&quot;\&quot;},{\&quot;family\&quot;:\&quot;Miglioretti\&quot;,\&quot;given\&quot;:\&quot;Diana L.\&quot;,\&quot;parse-names\&quot;:false,\&quot;dropping-particle\&quot;:\&quot;\&quot;,\&quot;non-dropping-particle\&quot;:\&quot;\&quot;}],\&quot;container-title\&quot;:\&quot;BMJ (Online)\&quot;,\&quot;DOI\&quot;:\&quot;10.1136/bmj.k4931\&quot;,\&quot;ISSN\&quot;:\&quot;17561833\&quot;,\&quot;PMID\&quot;:\&quot;30602590\&quot;,\&quot;issued\&quot;:{\&quot;date-parts\&quot;:[[2019]]},\&quot;page\&quot;:\&quot;1-12\&quot;,\&quot;abstract\&quot;:\&quot;OBJECTIVE To determine patient, institution, and machine characteristics that contribute to variation in radiation doses used for computed tomography (CT). DESIGN Prospective cohort study. SETTING Data were assembled and analyzed from the University of California San Francisco CT International Dose Registry. PARTICIPANTS Standardized data from over 2.0 million CT examinations of adults who underwent CT between November 2015 and August 2017 from 151 institutions, across seven countries. MAIN OUTCOME MEASURES Mean effective doses and proportions of high dose examinations for abdomen, chest, combined chest and abdomen, and head CT were determined by patient characteristics (sex, age, and size), type of institution (trauma center, care provision 24 hours per day and seven days per week, academic, private), institutional practice volume, machine factors (manufacturer, model), country, and how scanners were used, before and after adjustment for patient characteristics, using hierarchical linear and logistic regression. High dose examinations were defined as CT scans with doses above the 75th percentile defined during a baseline period. RESULTS The mean effective dose and proportion of high dose examinations varied substantially across institutions. The doses varied modestly (10-30%) by type of institution and machine characteristics after adjusting for patient characteristics. By contrast, even after adjusting for patient characteristics, wide variations in radiation doses across countries persisted, with a fourfold range in mean effective dose for abdomen CT examinations (7.0-25.7 mSv) and a 17-fold range in proportion of high dose examinations (4-69%). Similar variation across countries was observed for chest (mean effective dose 1.7-6.4 mSv, proportion of high dose examinations 1-26%) and combined chest and abdomen CT (10.0-37.9 mSv, 2-78%). Doses for head CT varied less (1.4-1.9 mSv, 8-27%). In multivariable models, the dose variation across countries was primarily attributable to institutional decisions regarding technical parameters (that is, how the scanners were used). CONCLUSIONS CT protocols and radiation doses vary greatly across countries and are primarily attributable to local choices regarding technical parameters, rather than patient, institution, or machine characteristics. These findings suggest that the optimization of doses to a consistent standard should be possible.\&quot;,\&quot;volume\&quot;:\&quot;364\&quot;},\&quot;isTemporary\&quot;:false}],\&quot;properties\&quot;:{\&quot;noteIndex\&quot;:0},\&quot;isEdited\&quot;:false,\&quot;manualOverride\&quot;:{\&quot;isManuallyOverriden\&quot;:false,\&quot;citeprocText\&quot;:\&quot;(Smith-Bindman et al., 2019)\&quot;,\&quot;manualOverrideText\&quot;:\&quot;\&quot;}}&quot;}]"/>
    <we:property name="MENDELEY_CITATIONS_STYLE" value="&quot;https://www.zotero.org/styles/apa&quot;"/>
    <we:property name="MENDELEY_PROFILE_ID" value="&quot;e3f7f6c802fb90fd8428630047a28027ff8f246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46C2E-C294-41B9-9CF9-6F0D25C4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18177</Words>
  <Characters>103611</Characters>
  <Application>Microsoft Office Word</Application>
  <DocSecurity>0</DocSecurity>
  <Lines>863</Lines>
  <Paragraphs>243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Table 1: Patient characteristics, exposure factors, and scanning parameters </vt:lpstr>
      <vt:lpstr>    </vt:lpstr>
      <vt:lpstr>    3.3.	Dose optimization of routine protocol for head scans</vt:lpstr>
      <vt:lpstr>    A comparison of DLP and SNR as well as the Deff  and SNR of thevarious studied p</vt:lpstr>
      <vt:lpstr>    4.1	Patient Characteristics  </vt:lpstr>
      <vt:lpstr>    </vt:lpstr>
      <vt:lpstr>    4.2	Dosimetry</vt:lpstr>
      <vt:lpstr>    </vt:lpstr>
      <vt:lpstr>    4.3	Dose optimization for adult head ct examination</vt:lpstr>
    </vt:vector>
  </TitlesOfParts>
  <Company>Hewlett-Packard Company</Company>
  <LinksUpToDate>false</LinksUpToDate>
  <CharactersWithSpaces>121545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Adom</dc:creator>
  <cp:lastModifiedBy>sirbenard13@yahoo.com</cp:lastModifiedBy>
  <cp:revision>11</cp:revision>
  <dcterms:created xsi:type="dcterms:W3CDTF">2022-11-24T09:25:00Z</dcterms:created>
  <dcterms:modified xsi:type="dcterms:W3CDTF">2023-01-02T20:43:00Z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05a08f3a-d33d-3de3-944f-6fb4ff491cf9</vt:lpwstr>
  </property>
  <property fmtid="{D5CDD505-2E9C-101B-9397-08002B2CF9AE}" pid="25" name="GrammarlyDocumentId">
    <vt:lpwstr>c111f5c7ce42abf15143c8d2e5df2dae3c8706032bf59387df7365eff0956197</vt:lpwstr>
  </property>
</Properties>
</file>