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C9B" w:rsidRPr="00CD3C9B" w:rsidRDefault="00CD3C9B" w:rsidP="00CD3C9B">
      <w:pPr>
        <w:spacing w:line="360" w:lineRule="auto"/>
        <w:rPr>
          <w:rFonts w:ascii="Times New Roman" w:hAnsi="Times New Roman" w:cs="Times New Roman"/>
          <w:b/>
        </w:rPr>
      </w:pPr>
    </w:p>
    <w:p w:rsidR="00CD3C9B" w:rsidRPr="009F0195" w:rsidRDefault="00CD3C9B" w:rsidP="009F0195">
      <w:pPr>
        <w:pStyle w:val="Heading1"/>
        <w:spacing w:line="360" w:lineRule="auto"/>
        <w:jc w:val="center"/>
        <w:rPr>
          <w:rFonts w:ascii="Times New Roman" w:hAnsi="Times New Roman" w:cs="Times New Roman"/>
          <w:color w:val="auto"/>
          <w:sz w:val="28"/>
          <w:szCs w:val="28"/>
        </w:rPr>
      </w:pPr>
      <w:r w:rsidRPr="009F0195">
        <w:rPr>
          <w:rFonts w:ascii="Times New Roman" w:hAnsi="Times New Roman" w:cs="Times New Roman"/>
          <w:color w:val="auto"/>
          <w:sz w:val="28"/>
          <w:szCs w:val="28"/>
        </w:rPr>
        <w:t>Enhancing Depositor Protecti</w:t>
      </w:r>
      <w:r w:rsidR="00C36737" w:rsidRPr="009F0195">
        <w:rPr>
          <w:rFonts w:ascii="Times New Roman" w:hAnsi="Times New Roman" w:cs="Times New Roman"/>
          <w:color w:val="auto"/>
          <w:sz w:val="28"/>
          <w:szCs w:val="28"/>
        </w:rPr>
        <w:t>on in the Mobile Money Banking S</w:t>
      </w:r>
      <w:r w:rsidRPr="009F0195">
        <w:rPr>
          <w:rFonts w:ascii="Times New Roman" w:hAnsi="Times New Roman" w:cs="Times New Roman"/>
          <w:color w:val="auto"/>
          <w:sz w:val="28"/>
          <w:szCs w:val="28"/>
        </w:rPr>
        <w:t xml:space="preserve">ector in </w:t>
      </w:r>
      <w:r w:rsidR="00F60777" w:rsidRPr="009F0195">
        <w:rPr>
          <w:rFonts w:ascii="Times New Roman" w:hAnsi="Times New Roman" w:cs="Times New Roman"/>
          <w:color w:val="auto"/>
          <w:sz w:val="28"/>
          <w:szCs w:val="28"/>
        </w:rPr>
        <w:t xml:space="preserve">Sub-Saharan </w:t>
      </w:r>
      <w:r w:rsidRPr="009F0195">
        <w:rPr>
          <w:rFonts w:ascii="Times New Roman" w:hAnsi="Times New Roman" w:cs="Times New Roman"/>
          <w:color w:val="auto"/>
          <w:sz w:val="28"/>
          <w:szCs w:val="28"/>
        </w:rPr>
        <w:t>Afri</w:t>
      </w:r>
      <w:r w:rsidR="00F60777" w:rsidRPr="009F0195">
        <w:rPr>
          <w:rFonts w:ascii="Times New Roman" w:hAnsi="Times New Roman" w:cs="Times New Roman"/>
          <w:color w:val="auto"/>
          <w:sz w:val="28"/>
          <w:szCs w:val="28"/>
        </w:rPr>
        <w:t>can Developing Economies</w:t>
      </w:r>
      <w:r w:rsidR="00EF0B9E">
        <w:rPr>
          <w:rFonts w:ascii="Times New Roman" w:hAnsi="Times New Roman" w:cs="Times New Roman"/>
          <w:color w:val="FF0000"/>
          <w:sz w:val="28"/>
          <w:szCs w:val="28"/>
        </w:rPr>
        <w:t xml:space="preserve"> </w:t>
      </w:r>
      <w:r w:rsidRPr="009F0195">
        <w:rPr>
          <w:rFonts w:ascii="Times New Roman" w:hAnsi="Times New Roman" w:cs="Times New Roman"/>
          <w:color w:val="auto"/>
          <w:sz w:val="28"/>
          <w:szCs w:val="28"/>
        </w:rPr>
        <w:t>– a case for Ring-fencing?</w:t>
      </w:r>
    </w:p>
    <w:p w:rsidR="009F0195" w:rsidRDefault="009F0195" w:rsidP="00CD3C9B">
      <w:pPr>
        <w:spacing w:line="360" w:lineRule="auto"/>
        <w:jc w:val="center"/>
        <w:rPr>
          <w:rFonts w:ascii="Times New Roman" w:hAnsi="Times New Roman" w:cs="Times New Roman"/>
          <w:b/>
          <w:sz w:val="24"/>
          <w:szCs w:val="24"/>
        </w:rPr>
      </w:pPr>
    </w:p>
    <w:p w:rsidR="00027B41" w:rsidRPr="00EF0B9E" w:rsidRDefault="00CD3C9B" w:rsidP="00EF0B9E">
      <w:pPr>
        <w:spacing w:line="360" w:lineRule="auto"/>
        <w:jc w:val="center"/>
        <w:rPr>
          <w:rFonts w:ascii="Times New Roman" w:hAnsi="Times New Roman" w:cs="Times New Roman"/>
          <w:b/>
          <w:sz w:val="24"/>
          <w:szCs w:val="24"/>
        </w:rPr>
      </w:pPr>
      <w:r w:rsidRPr="00F60777">
        <w:rPr>
          <w:rFonts w:ascii="Times New Roman" w:hAnsi="Times New Roman" w:cs="Times New Roman"/>
          <w:b/>
          <w:sz w:val="24"/>
          <w:szCs w:val="24"/>
        </w:rPr>
        <w:t>Hamiisi Junior Nsubuga</w:t>
      </w:r>
      <w:r w:rsidR="003D5DE7">
        <w:rPr>
          <w:rFonts w:ascii="Times New Roman" w:hAnsi="Times New Roman" w:cs="Times New Roman"/>
          <w:b/>
          <w:sz w:val="24"/>
          <w:szCs w:val="24"/>
        </w:rPr>
        <w:t>*</w:t>
      </w:r>
    </w:p>
    <w:p w:rsidR="00027B41" w:rsidRPr="0004788F" w:rsidRDefault="00027B41" w:rsidP="0004788F">
      <w:pPr>
        <w:spacing w:line="360" w:lineRule="auto"/>
        <w:rPr>
          <w:rFonts w:ascii="Times New Roman" w:hAnsi="Times New Roman" w:cs="Times New Roman"/>
          <w:b/>
          <w:sz w:val="24"/>
          <w:szCs w:val="24"/>
        </w:rPr>
      </w:pPr>
      <w:r w:rsidRPr="0004788F">
        <w:rPr>
          <w:rFonts w:ascii="Times New Roman" w:hAnsi="Times New Roman" w:cs="Times New Roman"/>
          <w:b/>
          <w:sz w:val="24"/>
          <w:szCs w:val="24"/>
        </w:rPr>
        <w:t>Abstract</w:t>
      </w:r>
    </w:p>
    <w:p w:rsidR="00027B41" w:rsidRPr="00FB54AC" w:rsidRDefault="00027B41" w:rsidP="0004788F">
      <w:pPr>
        <w:spacing w:line="360" w:lineRule="auto"/>
        <w:jc w:val="both"/>
        <w:rPr>
          <w:rFonts w:ascii="Times New Roman" w:hAnsi="Times New Roman" w:cs="Times New Roman"/>
          <w:i/>
        </w:rPr>
      </w:pPr>
      <w:r w:rsidRPr="00FB54AC">
        <w:rPr>
          <w:rFonts w:ascii="Times New Roman" w:hAnsi="Times New Roman" w:cs="Times New Roman"/>
          <w:i/>
        </w:rPr>
        <w:t xml:space="preserve">This paper analyses the </w:t>
      </w:r>
      <w:r w:rsidR="00730522" w:rsidRPr="00FB54AC">
        <w:rPr>
          <w:rFonts w:ascii="Times New Roman" w:hAnsi="Times New Roman" w:cs="Times New Roman"/>
          <w:i/>
        </w:rPr>
        <w:t>need for enhanced statutory depositor protection in</w:t>
      </w:r>
      <w:r w:rsidRPr="00FB54AC">
        <w:rPr>
          <w:rFonts w:ascii="Times New Roman" w:hAnsi="Times New Roman" w:cs="Times New Roman"/>
          <w:i/>
        </w:rPr>
        <w:t xml:space="preserve"> </w:t>
      </w:r>
      <w:r w:rsidR="00730522" w:rsidRPr="00FB54AC">
        <w:rPr>
          <w:rFonts w:ascii="Times New Roman" w:hAnsi="Times New Roman" w:cs="Times New Roman"/>
          <w:i/>
        </w:rPr>
        <w:t xml:space="preserve">the </w:t>
      </w:r>
      <w:r w:rsidRPr="00FB54AC">
        <w:rPr>
          <w:rFonts w:ascii="Times New Roman" w:hAnsi="Times New Roman" w:cs="Times New Roman"/>
          <w:i/>
        </w:rPr>
        <w:t>mobile money</w:t>
      </w:r>
      <w:r w:rsidR="00730522" w:rsidRPr="00FB54AC">
        <w:rPr>
          <w:rFonts w:ascii="Times New Roman" w:hAnsi="Times New Roman" w:cs="Times New Roman"/>
          <w:i/>
        </w:rPr>
        <w:t>/mobile</w:t>
      </w:r>
      <w:r w:rsidRPr="00FB54AC">
        <w:rPr>
          <w:rFonts w:ascii="Times New Roman" w:hAnsi="Times New Roman" w:cs="Times New Roman"/>
          <w:i/>
        </w:rPr>
        <w:t xml:space="preserve"> banking </w:t>
      </w:r>
      <w:r w:rsidR="00730522" w:rsidRPr="00FB54AC">
        <w:rPr>
          <w:rFonts w:ascii="Times New Roman" w:hAnsi="Times New Roman" w:cs="Times New Roman"/>
          <w:i/>
        </w:rPr>
        <w:t xml:space="preserve">sectors, upon banking and corporate insolvency </w:t>
      </w:r>
      <w:r w:rsidR="007579CA" w:rsidRPr="00FB54AC">
        <w:rPr>
          <w:rFonts w:ascii="Times New Roman" w:hAnsi="Times New Roman" w:cs="Times New Roman"/>
          <w:i/>
        </w:rPr>
        <w:t xml:space="preserve">in </w:t>
      </w:r>
      <w:r w:rsidR="00730522" w:rsidRPr="00FB54AC">
        <w:rPr>
          <w:rFonts w:ascii="Times New Roman" w:hAnsi="Times New Roman" w:cs="Times New Roman"/>
          <w:i/>
        </w:rPr>
        <w:t xml:space="preserve">Sub-Saharan African </w:t>
      </w:r>
      <w:r w:rsidR="00894B29" w:rsidRPr="00FB54AC">
        <w:rPr>
          <w:rFonts w:ascii="Times New Roman" w:hAnsi="Times New Roman" w:cs="Times New Roman"/>
          <w:i/>
        </w:rPr>
        <w:t>(</w:t>
      </w:r>
      <w:r w:rsidR="00730522" w:rsidRPr="00FB54AC">
        <w:rPr>
          <w:rFonts w:ascii="Times New Roman" w:hAnsi="Times New Roman" w:cs="Times New Roman"/>
          <w:i/>
        </w:rPr>
        <w:t>SSA</w:t>
      </w:r>
      <w:r w:rsidR="00894B29" w:rsidRPr="00FB54AC">
        <w:rPr>
          <w:rFonts w:ascii="Times New Roman" w:hAnsi="Times New Roman" w:cs="Times New Roman"/>
          <w:i/>
        </w:rPr>
        <w:t>)</w:t>
      </w:r>
      <w:r w:rsidR="00730522" w:rsidRPr="00FB54AC">
        <w:rPr>
          <w:rFonts w:ascii="Times New Roman" w:hAnsi="Times New Roman" w:cs="Times New Roman"/>
          <w:i/>
        </w:rPr>
        <w:t xml:space="preserve"> </w:t>
      </w:r>
      <w:r w:rsidR="005645EF">
        <w:rPr>
          <w:rFonts w:ascii="Times New Roman" w:hAnsi="Times New Roman" w:cs="Times New Roman"/>
          <w:i/>
        </w:rPr>
        <w:t>d</w:t>
      </w:r>
      <w:r w:rsidR="007579CA" w:rsidRPr="00FB54AC">
        <w:rPr>
          <w:rFonts w:ascii="Times New Roman" w:hAnsi="Times New Roman" w:cs="Times New Roman"/>
          <w:i/>
        </w:rPr>
        <w:t xml:space="preserve">eveloping </w:t>
      </w:r>
      <w:r w:rsidR="005645EF">
        <w:rPr>
          <w:rFonts w:ascii="Times New Roman" w:hAnsi="Times New Roman" w:cs="Times New Roman"/>
          <w:i/>
        </w:rPr>
        <w:t>e</w:t>
      </w:r>
      <w:r w:rsidR="007579CA" w:rsidRPr="00FB54AC">
        <w:rPr>
          <w:rFonts w:ascii="Times New Roman" w:hAnsi="Times New Roman" w:cs="Times New Roman"/>
          <w:i/>
        </w:rPr>
        <w:t xml:space="preserve">conomies. </w:t>
      </w:r>
      <w:r w:rsidRPr="00FB54AC">
        <w:rPr>
          <w:rFonts w:ascii="Times New Roman" w:hAnsi="Times New Roman" w:cs="Times New Roman"/>
          <w:i/>
        </w:rPr>
        <w:t xml:space="preserve">The </w:t>
      </w:r>
      <w:r w:rsidR="005645EF">
        <w:rPr>
          <w:rFonts w:ascii="Times New Roman" w:hAnsi="Times New Roman" w:cs="Times New Roman"/>
          <w:i/>
        </w:rPr>
        <w:t>u</w:t>
      </w:r>
      <w:r w:rsidRPr="00FB54AC">
        <w:rPr>
          <w:rFonts w:ascii="Times New Roman" w:hAnsi="Times New Roman" w:cs="Times New Roman"/>
          <w:i/>
        </w:rPr>
        <w:t xml:space="preserve">niversal </w:t>
      </w:r>
      <w:r w:rsidR="005645EF">
        <w:rPr>
          <w:rFonts w:ascii="Times New Roman" w:hAnsi="Times New Roman" w:cs="Times New Roman"/>
          <w:i/>
        </w:rPr>
        <w:t>b</w:t>
      </w:r>
      <w:r w:rsidRPr="00FB54AC">
        <w:rPr>
          <w:rFonts w:ascii="Times New Roman" w:hAnsi="Times New Roman" w:cs="Times New Roman"/>
          <w:i/>
        </w:rPr>
        <w:t xml:space="preserve">anking </w:t>
      </w:r>
      <w:r w:rsidR="005645EF">
        <w:rPr>
          <w:rFonts w:ascii="Times New Roman" w:hAnsi="Times New Roman" w:cs="Times New Roman"/>
          <w:i/>
        </w:rPr>
        <w:t>m</w:t>
      </w:r>
      <w:r w:rsidRPr="00FB54AC">
        <w:rPr>
          <w:rFonts w:ascii="Times New Roman" w:hAnsi="Times New Roman" w:cs="Times New Roman"/>
          <w:i/>
        </w:rPr>
        <w:t>odel, and the concept</w:t>
      </w:r>
      <w:r w:rsidR="00730522" w:rsidRPr="00FB54AC">
        <w:rPr>
          <w:rFonts w:ascii="Times New Roman" w:hAnsi="Times New Roman" w:cs="Times New Roman"/>
          <w:i/>
        </w:rPr>
        <w:t>s</w:t>
      </w:r>
      <w:r w:rsidRPr="00FB54AC">
        <w:rPr>
          <w:rFonts w:ascii="Times New Roman" w:hAnsi="Times New Roman" w:cs="Times New Roman"/>
          <w:i/>
        </w:rPr>
        <w:t xml:space="preserve"> of deposit insurance schemes, or deposit guarantee </w:t>
      </w:r>
      <w:r w:rsidR="00894B29" w:rsidRPr="00FB54AC">
        <w:rPr>
          <w:rFonts w:ascii="Times New Roman" w:hAnsi="Times New Roman" w:cs="Times New Roman"/>
          <w:i/>
        </w:rPr>
        <w:t>(</w:t>
      </w:r>
      <w:r w:rsidRPr="00FB54AC">
        <w:rPr>
          <w:rFonts w:ascii="Times New Roman" w:hAnsi="Times New Roman" w:cs="Times New Roman"/>
          <w:i/>
        </w:rPr>
        <w:t>as is commonly known in the UK/EU</w:t>
      </w:r>
      <w:r w:rsidR="00894B29" w:rsidRPr="00FB54AC">
        <w:rPr>
          <w:rFonts w:ascii="Times New Roman" w:hAnsi="Times New Roman" w:cs="Times New Roman"/>
          <w:i/>
        </w:rPr>
        <w:t>)</w:t>
      </w:r>
      <w:r w:rsidRPr="00FB54AC">
        <w:rPr>
          <w:rFonts w:ascii="Times New Roman" w:hAnsi="Times New Roman" w:cs="Times New Roman"/>
          <w:i/>
        </w:rPr>
        <w:t xml:space="preserve"> are analysed, thei</w:t>
      </w:r>
      <w:r w:rsidR="00F60777" w:rsidRPr="00FB54AC">
        <w:rPr>
          <w:rFonts w:ascii="Times New Roman" w:hAnsi="Times New Roman" w:cs="Times New Roman"/>
          <w:i/>
        </w:rPr>
        <w:t>r advantages in streamlining</w:t>
      </w:r>
      <w:r w:rsidRPr="00FB54AC">
        <w:rPr>
          <w:rFonts w:ascii="Times New Roman" w:hAnsi="Times New Roman" w:cs="Times New Roman"/>
          <w:i/>
        </w:rPr>
        <w:t xml:space="preserve"> </w:t>
      </w:r>
      <w:r w:rsidR="00730522" w:rsidRPr="00FB54AC">
        <w:rPr>
          <w:rFonts w:ascii="Times New Roman" w:hAnsi="Times New Roman" w:cs="Times New Roman"/>
          <w:i/>
        </w:rPr>
        <w:t>depositor protection</w:t>
      </w:r>
      <w:r w:rsidRPr="00FB54AC">
        <w:rPr>
          <w:rFonts w:ascii="Times New Roman" w:hAnsi="Times New Roman" w:cs="Times New Roman"/>
          <w:i/>
        </w:rPr>
        <w:t xml:space="preserve">, and the would be impact in Sub-Saharan African </w:t>
      </w:r>
      <w:r w:rsidR="005645EF">
        <w:rPr>
          <w:rFonts w:ascii="Times New Roman" w:hAnsi="Times New Roman" w:cs="Times New Roman"/>
          <w:i/>
        </w:rPr>
        <w:t>d</w:t>
      </w:r>
      <w:r w:rsidRPr="00FB54AC">
        <w:rPr>
          <w:rFonts w:ascii="Times New Roman" w:hAnsi="Times New Roman" w:cs="Times New Roman"/>
          <w:i/>
        </w:rPr>
        <w:t xml:space="preserve">eveloping </w:t>
      </w:r>
      <w:r w:rsidR="005645EF">
        <w:rPr>
          <w:rFonts w:ascii="Times New Roman" w:hAnsi="Times New Roman" w:cs="Times New Roman"/>
          <w:i/>
        </w:rPr>
        <w:t>e</w:t>
      </w:r>
      <w:r w:rsidRPr="00FB54AC">
        <w:rPr>
          <w:rFonts w:ascii="Times New Roman" w:hAnsi="Times New Roman" w:cs="Times New Roman"/>
          <w:i/>
        </w:rPr>
        <w:t xml:space="preserve">conomies’ </w:t>
      </w:r>
      <w:r w:rsidR="00F60777" w:rsidRPr="00FB54AC">
        <w:rPr>
          <w:rFonts w:ascii="Times New Roman" w:hAnsi="Times New Roman" w:cs="Times New Roman"/>
          <w:i/>
        </w:rPr>
        <w:t xml:space="preserve">mobile banking </w:t>
      </w:r>
      <w:r w:rsidRPr="00FB54AC">
        <w:rPr>
          <w:rFonts w:ascii="Times New Roman" w:hAnsi="Times New Roman" w:cs="Times New Roman"/>
          <w:i/>
        </w:rPr>
        <w:t>sectors are explored. The concepts of ring-fencing and structural separation as conceptual tools that could enhance depositor protection on bank</w:t>
      </w:r>
      <w:r w:rsidR="00730522" w:rsidRPr="00FB54AC">
        <w:rPr>
          <w:rFonts w:ascii="Times New Roman" w:hAnsi="Times New Roman" w:cs="Times New Roman"/>
          <w:i/>
        </w:rPr>
        <w:t>ing</w:t>
      </w:r>
      <w:r w:rsidRPr="00FB54AC">
        <w:rPr>
          <w:rFonts w:ascii="Times New Roman" w:hAnsi="Times New Roman" w:cs="Times New Roman"/>
          <w:i/>
        </w:rPr>
        <w:t xml:space="preserve"> and </w:t>
      </w:r>
      <w:r w:rsidR="00730522" w:rsidRPr="00FB54AC">
        <w:rPr>
          <w:rFonts w:ascii="Times New Roman" w:hAnsi="Times New Roman" w:cs="Times New Roman"/>
          <w:i/>
        </w:rPr>
        <w:t>corporate insolvency</w:t>
      </w:r>
      <w:r w:rsidRPr="00FB54AC">
        <w:rPr>
          <w:rFonts w:ascii="Times New Roman" w:hAnsi="Times New Roman" w:cs="Times New Roman"/>
          <w:i/>
        </w:rPr>
        <w:t xml:space="preserve"> </w:t>
      </w:r>
      <w:r w:rsidR="006E299E" w:rsidRPr="00FB54AC">
        <w:rPr>
          <w:rFonts w:ascii="Times New Roman" w:hAnsi="Times New Roman" w:cs="Times New Roman"/>
          <w:i/>
        </w:rPr>
        <w:t>in</w:t>
      </w:r>
      <w:r w:rsidR="00730522" w:rsidRPr="00FB54AC">
        <w:rPr>
          <w:rFonts w:ascii="Times New Roman" w:hAnsi="Times New Roman" w:cs="Times New Roman"/>
          <w:i/>
        </w:rPr>
        <w:t xml:space="preserve"> SSA</w:t>
      </w:r>
      <w:r w:rsidRPr="00FB54AC">
        <w:rPr>
          <w:rFonts w:ascii="Times New Roman" w:hAnsi="Times New Roman" w:cs="Times New Roman"/>
          <w:i/>
        </w:rPr>
        <w:t xml:space="preserve"> </w:t>
      </w:r>
      <w:r w:rsidR="005645EF">
        <w:rPr>
          <w:rFonts w:ascii="Times New Roman" w:hAnsi="Times New Roman" w:cs="Times New Roman"/>
          <w:i/>
        </w:rPr>
        <w:t>d</w:t>
      </w:r>
      <w:r w:rsidRPr="00FB54AC">
        <w:rPr>
          <w:rFonts w:ascii="Times New Roman" w:hAnsi="Times New Roman" w:cs="Times New Roman"/>
          <w:i/>
        </w:rPr>
        <w:t xml:space="preserve">eveloping </w:t>
      </w:r>
      <w:r w:rsidR="005645EF">
        <w:rPr>
          <w:rFonts w:ascii="Times New Roman" w:hAnsi="Times New Roman" w:cs="Times New Roman"/>
          <w:i/>
        </w:rPr>
        <w:t>e</w:t>
      </w:r>
      <w:r w:rsidRPr="00FB54AC">
        <w:rPr>
          <w:rFonts w:ascii="Times New Roman" w:hAnsi="Times New Roman" w:cs="Times New Roman"/>
          <w:i/>
        </w:rPr>
        <w:t xml:space="preserve">conomies are examined. </w:t>
      </w:r>
    </w:p>
    <w:p w:rsidR="0004788F" w:rsidRPr="0004788F" w:rsidRDefault="00CD3C9B" w:rsidP="0004788F">
      <w:pPr>
        <w:spacing w:line="360" w:lineRule="auto"/>
        <w:rPr>
          <w:rFonts w:ascii="Times New Roman" w:hAnsi="Times New Roman" w:cs="Times New Roman"/>
          <w:b/>
          <w:sz w:val="24"/>
          <w:szCs w:val="24"/>
        </w:rPr>
      </w:pPr>
      <w:r w:rsidRPr="0004788F">
        <w:rPr>
          <w:rFonts w:ascii="Times New Roman" w:hAnsi="Times New Roman" w:cs="Times New Roman"/>
          <w:b/>
          <w:sz w:val="24"/>
          <w:szCs w:val="24"/>
        </w:rPr>
        <w:t>Introduction</w:t>
      </w:r>
    </w:p>
    <w:p w:rsidR="00027B41" w:rsidRPr="0004788F" w:rsidRDefault="00027B41" w:rsidP="0004788F">
      <w:pPr>
        <w:spacing w:line="360" w:lineRule="auto"/>
        <w:jc w:val="both"/>
        <w:rPr>
          <w:rFonts w:ascii="Times New Roman" w:hAnsi="Times New Roman" w:cs="Times New Roman"/>
          <w:b/>
          <w:sz w:val="24"/>
          <w:szCs w:val="24"/>
        </w:rPr>
      </w:pPr>
      <w:r w:rsidRPr="0004788F">
        <w:rPr>
          <w:rFonts w:ascii="Times New Roman" w:hAnsi="Times New Roman" w:cs="Times New Roman"/>
          <w:bCs/>
          <w:sz w:val="24"/>
          <w:szCs w:val="24"/>
        </w:rPr>
        <w:t>Mobile money is a mobile-based financial service that provides access to low-cost financial services for consumers that are either unserved or excluded from the banking system due to insufficient banking infrastructure.</w:t>
      </w:r>
      <w:r w:rsidRPr="0004788F">
        <w:rPr>
          <w:rFonts w:ascii="Times New Roman" w:hAnsi="Times New Roman" w:cs="Times New Roman"/>
          <w:bCs/>
          <w:sz w:val="24"/>
          <w:szCs w:val="24"/>
          <w:vertAlign w:val="superscript"/>
        </w:rPr>
        <w:footnoteReference w:id="1"/>
      </w:r>
      <w:r w:rsidRPr="0004788F">
        <w:rPr>
          <w:rFonts w:ascii="Times New Roman" w:hAnsi="Times New Roman" w:cs="Times New Roman"/>
          <w:bCs/>
          <w:sz w:val="24"/>
          <w:szCs w:val="24"/>
        </w:rPr>
        <w:t xml:space="preserve"> Mobile money services can be approached as a solution to at least two major problems within a banking</w:t>
      </w:r>
      <w:r w:rsidR="00730522" w:rsidRPr="0004788F">
        <w:rPr>
          <w:rFonts w:ascii="Times New Roman" w:hAnsi="Times New Roman" w:cs="Times New Roman"/>
          <w:bCs/>
          <w:sz w:val="24"/>
          <w:szCs w:val="24"/>
        </w:rPr>
        <w:t xml:space="preserve"> and/or financial</w:t>
      </w:r>
      <w:r w:rsidRPr="0004788F">
        <w:rPr>
          <w:rFonts w:ascii="Times New Roman" w:hAnsi="Times New Roman" w:cs="Times New Roman"/>
          <w:bCs/>
          <w:sz w:val="24"/>
          <w:szCs w:val="24"/>
        </w:rPr>
        <w:t xml:space="preserve"> economy. First, it can be approached as a solution to the cost of banking services and second, as a solution to the proximity to banking infrastructure, especially in developing economies.</w:t>
      </w:r>
      <w:r w:rsidRPr="0004788F">
        <w:rPr>
          <w:rFonts w:ascii="Times New Roman" w:hAnsi="Times New Roman" w:cs="Times New Roman"/>
          <w:bCs/>
          <w:sz w:val="24"/>
          <w:szCs w:val="24"/>
          <w:vertAlign w:val="superscript"/>
        </w:rPr>
        <w:footnoteReference w:id="2"/>
      </w:r>
      <w:r w:rsidRPr="0004788F">
        <w:rPr>
          <w:rFonts w:ascii="Times New Roman" w:hAnsi="Times New Roman" w:cs="Times New Roman"/>
          <w:bCs/>
          <w:sz w:val="24"/>
          <w:szCs w:val="24"/>
        </w:rPr>
        <w:t xml:space="preserve"> In most cases, adoption of mobile money services is highest in countries with poor access to the formal banking services sector.</w:t>
      </w:r>
      <w:r w:rsidRPr="0004788F">
        <w:rPr>
          <w:rFonts w:ascii="Times New Roman" w:hAnsi="Times New Roman" w:cs="Times New Roman"/>
          <w:bCs/>
          <w:sz w:val="24"/>
          <w:szCs w:val="24"/>
          <w:vertAlign w:val="superscript"/>
        </w:rPr>
        <w:footnoteReference w:id="3"/>
      </w:r>
      <w:r w:rsidRPr="0004788F">
        <w:rPr>
          <w:rFonts w:ascii="Times New Roman" w:hAnsi="Times New Roman" w:cs="Times New Roman"/>
          <w:bCs/>
          <w:sz w:val="24"/>
          <w:szCs w:val="24"/>
        </w:rPr>
        <w:t xml:space="preserve"> </w:t>
      </w:r>
    </w:p>
    <w:p w:rsidR="00CD3C9B" w:rsidRPr="0004788F" w:rsidRDefault="00027B41" w:rsidP="0004788F">
      <w:pPr>
        <w:spacing w:line="360" w:lineRule="auto"/>
        <w:jc w:val="both"/>
        <w:rPr>
          <w:rFonts w:ascii="Times New Roman" w:hAnsi="Times New Roman" w:cs="Times New Roman"/>
          <w:bCs/>
          <w:sz w:val="24"/>
          <w:szCs w:val="24"/>
        </w:rPr>
      </w:pPr>
      <w:r w:rsidRPr="0004788F">
        <w:rPr>
          <w:rFonts w:ascii="Times New Roman" w:hAnsi="Times New Roman" w:cs="Times New Roman"/>
          <w:bCs/>
          <w:sz w:val="24"/>
          <w:szCs w:val="24"/>
        </w:rPr>
        <w:t xml:space="preserve">According to the World Bank, Sub-Saharan African </w:t>
      </w:r>
      <w:r w:rsidR="005645EF">
        <w:rPr>
          <w:rFonts w:ascii="Times New Roman" w:hAnsi="Times New Roman" w:cs="Times New Roman"/>
          <w:bCs/>
          <w:sz w:val="24"/>
          <w:szCs w:val="24"/>
        </w:rPr>
        <w:t>d</w:t>
      </w:r>
      <w:r w:rsidRPr="0004788F">
        <w:rPr>
          <w:rFonts w:ascii="Times New Roman" w:hAnsi="Times New Roman" w:cs="Times New Roman"/>
          <w:bCs/>
          <w:sz w:val="24"/>
          <w:szCs w:val="24"/>
        </w:rPr>
        <w:t xml:space="preserve">eveloping </w:t>
      </w:r>
      <w:r w:rsidR="005645EF">
        <w:rPr>
          <w:rFonts w:ascii="Times New Roman" w:hAnsi="Times New Roman" w:cs="Times New Roman"/>
          <w:bCs/>
          <w:sz w:val="24"/>
          <w:szCs w:val="24"/>
        </w:rPr>
        <w:t>e</w:t>
      </w:r>
      <w:r w:rsidRPr="0004788F">
        <w:rPr>
          <w:rFonts w:ascii="Times New Roman" w:hAnsi="Times New Roman" w:cs="Times New Roman"/>
          <w:bCs/>
          <w:sz w:val="24"/>
          <w:szCs w:val="24"/>
        </w:rPr>
        <w:t>conomies</w:t>
      </w:r>
      <w:r w:rsidR="009F0195">
        <w:rPr>
          <w:rStyle w:val="FootnoteReference"/>
          <w:rFonts w:ascii="Times New Roman" w:hAnsi="Times New Roman" w:cs="Times New Roman"/>
          <w:bCs/>
          <w:sz w:val="24"/>
          <w:szCs w:val="24"/>
        </w:rPr>
        <w:footnoteReference w:id="4"/>
      </w:r>
      <w:r w:rsidRPr="0004788F">
        <w:rPr>
          <w:rFonts w:ascii="Times New Roman" w:hAnsi="Times New Roman" w:cs="Times New Roman"/>
          <w:bCs/>
          <w:color w:val="FF0000"/>
          <w:sz w:val="24"/>
          <w:szCs w:val="24"/>
        </w:rPr>
        <w:t xml:space="preserve"> </w:t>
      </w:r>
      <w:r w:rsidRPr="0004788F">
        <w:rPr>
          <w:rFonts w:ascii="Times New Roman" w:hAnsi="Times New Roman" w:cs="Times New Roman"/>
          <w:bCs/>
          <w:sz w:val="24"/>
          <w:szCs w:val="24"/>
        </w:rPr>
        <w:t xml:space="preserve">have the largest number of unbanked adult consumers of mobile money services in the world, recorded at </w:t>
      </w:r>
      <w:r w:rsidRPr="0004788F">
        <w:rPr>
          <w:rFonts w:ascii="Times New Roman" w:hAnsi="Times New Roman" w:cs="Times New Roman"/>
          <w:bCs/>
          <w:sz w:val="24"/>
          <w:szCs w:val="24"/>
        </w:rPr>
        <w:lastRenderedPageBreak/>
        <w:t>around 400 million in year 2020.</w:t>
      </w:r>
      <w:r w:rsidRPr="0004788F">
        <w:rPr>
          <w:rStyle w:val="FootnoteReference"/>
          <w:rFonts w:ascii="Times New Roman" w:hAnsi="Times New Roman" w:cs="Times New Roman"/>
          <w:bCs/>
          <w:sz w:val="24"/>
          <w:szCs w:val="24"/>
        </w:rPr>
        <w:footnoteReference w:id="5"/>
      </w:r>
      <w:r w:rsidR="00CD3C9B" w:rsidRPr="0004788F">
        <w:rPr>
          <w:rFonts w:ascii="Times New Roman" w:hAnsi="Times New Roman" w:cs="Times New Roman"/>
          <w:bCs/>
          <w:sz w:val="24"/>
          <w:szCs w:val="24"/>
        </w:rPr>
        <w:t xml:space="preserve"> However, in most of these </w:t>
      </w:r>
      <w:r w:rsidR="00730522" w:rsidRPr="009F0195">
        <w:rPr>
          <w:rFonts w:ascii="Times New Roman" w:hAnsi="Times New Roman" w:cs="Times New Roman"/>
          <w:bCs/>
          <w:sz w:val="24"/>
          <w:szCs w:val="24"/>
        </w:rPr>
        <w:t>SSA</w:t>
      </w:r>
      <w:r w:rsidR="00730522" w:rsidRPr="0004788F">
        <w:rPr>
          <w:rFonts w:ascii="Times New Roman" w:hAnsi="Times New Roman" w:cs="Times New Roman"/>
          <w:bCs/>
          <w:sz w:val="24"/>
          <w:szCs w:val="24"/>
        </w:rPr>
        <w:t xml:space="preserve"> </w:t>
      </w:r>
      <w:r w:rsidR="005645EF">
        <w:rPr>
          <w:rFonts w:ascii="Times New Roman" w:hAnsi="Times New Roman" w:cs="Times New Roman"/>
          <w:bCs/>
          <w:sz w:val="24"/>
          <w:szCs w:val="24"/>
        </w:rPr>
        <w:t>d</w:t>
      </w:r>
      <w:r w:rsidR="00CD3C9B" w:rsidRPr="0004788F">
        <w:rPr>
          <w:rFonts w:ascii="Times New Roman" w:hAnsi="Times New Roman" w:cs="Times New Roman"/>
          <w:bCs/>
          <w:sz w:val="24"/>
          <w:szCs w:val="24"/>
        </w:rPr>
        <w:t xml:space="preserve">eveloping </w:t>
      </w:r>
      <w:r w:rsidR="005645EF">
        <w:rPr>
          <w:rFonts w:ascii="Times New Roman" w:hAnsi="Times New Roman" w:cs="Times New Roman"/>
          <w:bCs/>
          <w:sz w:val="24"/>
          <w:szCs w:val="24"/>
        </w:rPr>
        <w:t>e</w:t>
      </w:r>
      <w:r w:rsidR="00CD3C9B" w:rsidRPr="0004788F">
        <w:rPr>
          <w:rFonts w:ascii="Times New Roman" w:hAnsi="Times New Roman" w:cs="Times New Roman"/>
          <w:bCs/>
          <w:sz w:val="24"/>
          <w:szCs w:val="24"/>
        </w:rPr>
        <w:t>conomies, there are either</w:t>
      </w:r>
      <w:r w:rsidR="001464CB">
        <w:rPr>
          <w:rFonts w:ascii="Times New Roman" w:hAnsi="Times New Roman" w:cs="Times New Roman"/>
          <w:bCs/>
          <w:sz w:val="24"/>
          <w:szCs w:val="24"/>
        </w:rPr>
        <w:t>,</w:t>
      </w:r>
      <w:r w:rsidR="00CD3C9B" w:rsidRPr="0004788F">
        <w:rPr>
          <w:rFonts w:ascii="Times New Roman" w:hAnsi="Times New Roman" w:cs="Times New Roman"/>
          <w:bCs/>
          <w:sz w:val="24"/>
          <w:szCs w:val="24"/>
        </w:rPr>
        <w:t xml:space="preserve"> no formal </w:t>
      </w:r>
      <w:r w:rsidR="00730522" w:rsidRPr="0004788F">
        <w:rPr>
          <w:rFonts w:ascii="Times New Roman" w:hAnsi="Times New Roman" w:cs="Times New Roman"/>
          <w:bCs/>
          <w:sz w:val="24"/>
          <w:szCs w:val="24"/>
        </w:rPr>
        <w:t>statutory/legislative</w:t>
      </w:r>
      <w:r w:rsidR="00CB3CA3" w:rsidRPr="0004788F">
        <w:rPr>
          <w:rFonts w:ascii="Times New Roman" w:hAnsi="Times New Roman" w:cs="Times New Roman"/>
          <w:bCs/>
          <w:sz w:val="24"/>
          <w:szCs w:val="24"/>
        </w:rPr>
        <w:t xml:space="preserve"> provisions</w:t>
      </w:r>
      <w:r w:rsidR="00730522" w:rsidRPr="0004788F">
        <w:rPr>
          <w:rFonts w:ascii="Times New Roman" w:hAnsi="Times New Roman" w:cs="Times New Roman"/>
          <w:bCs/>
          <w:sz w:val="24"/>
          <w:szCs w:val="24"/>
        </w:rPr>
        <w:t xml:space="preserve"> </w:t>
      </w:r>
      <w:r w:rsidR="00CD3C9B" w:rsidRPr="0004788F">
        <w:rPr>
          <w:rFonts w:ascii="Times New Roman" w:hAnsi="Times New Roman" w:cs="Times New Roman"/>
          <w:bCs/>
          <w:sz w:val="24"/>
          <w:szCs w:val="24"/>
        </w:rPr>
        <w:t xml:space="preserve"> and supp</w:t>
      </w:r>
      <w:r w:rsidR="00CB3CA3" w:rsidRPr="0004788F">
        <w:rPr>
          <w:rFonts w:ascii="Times New Roman" w:hAnsi="Times New Roman" w:cs="Times New Roman"/>
          <w:bCs/>
          <w:sz w:val="24"/>
          <w:szCs w:val="24"/>
        </w:rPr>
        <w:t>lementary regulations</w:t>
      </w:r>
      <w:r w:rsidR="00CD3C9B" w:rsidRPr="0004788F">
        <w:rPr>
          <w:rFonts w:ascii="Times New Roman" w:hAnsi="Times New Roman" w:cs="Times New Roman"/>
          <w:bCs/>
          <w:sz w:val="24"/>
          <w:szCs w:val="24"/>
        </w:rPr>
        <w:t xml:space="preserve">  governing and regulating mobile money services</w:t>
      </w:r>
      <w:r w:rsidR="00893ECE" w:rsidRPr="0004788F">
        <w:rPr>
          <w:rFonts w:ascii="Times New Roman" w:hAnsi="Times New Roman" w:cs="Times New Roman"/>
          <w:bCs/>
          <w:sz w:val="24"/>
          <w:szCs w:val="24"/>
        </w:rPr>
        <w:t xml:space="preserve"> on insolvency</w:t>
      </w:r>
      <w:r w:rsidR="00CD3C9B" w:rsidRPr="0004788F">
        <w:rPr>
          <w:rFonts w:ascii="Times New Roman" w:hAnsi="Times New Roman" w:cs="Times New Roman"/>
          <w:bCs/>
          <w:sz w:val="24"/>
          <w:szCs w:val="24"/>
        </w:rPr>
        <w:t>, or</w:t>
      </w:r>
      <w:r w:rsidR="001464CB">
        <w:rPr>
          <w:rFonts w:ascii="Times New Roman" w:hAnsi="Times New Roman" w:cs="Times New Roman"/>
          <w:bCs/>
          <w:sz w:val="24"/>
          <w:szCs w:val="24"/>
        </w:rPr>
        <w:t xml:space="preserve"> </w:t>
      </w:r>
      <w:r w:rsidR="00CD3C9B" w:rsidRPr="0004788F">
        <w:rPr>
          <w:rFonts w:ascii="Times New Roman" w:hAnsi="Times New Roman" w:cs="Times New Roman"/>
          <w:bCs/>
          <w:sz w:val="24"/>
          <w:szCs w:val="24"/>
        </w:rPr>
        <w:t>where present, the</w:t>
      </w:r>
      <w:r w:rsidR="001464CB">
        <w:rPr>
          <w:rFonts w:ascii="Times New Roman" w:hAnsi="Times New Roman" w:cs="Times New Roman"/>
          <w:bCs/>
          <w:sz w:val="24"/>
          <w:szCs w:val="24"/>
        </w:rPr>
        <w:t>y</w:t>
      </w:r>
      <w:r w:rsidR="00CD3C9B" w:rsidRPr="0004788F">
        <w:rPr>
          <w:rFonts w:ascii="Times New Roman" w:hAnsi="Times New Roman" w:cs="Times New Roman"/>
          <w:bCs/>
          <w:sz w:val="24"/>
          <w:szCs w:val="24"/>
        </w:rPr>
        <w:t xml:space="preserve"> </w:t>
      </w:r>
      <w:r w:rsidR="009F0195">
        <w:rPr>
          <w:rFonts w:ascii="Times New Roman" w:hAnsi="Times New Roman" w:cs="Times New Roman"/>
          <w:bCs/>
          <w:sz w:val="24"/>
          <w:szCs w:val="24"/>
        </w:rPr>
        <w:t>are light-touch</w:t>
      </w:r>
      <w:r w:rsidR="00B64082" w:rsidRPr="0004788F">
        <w:rPr>
          <w:rFonts w:ascii="Times New Roman" w:hAnsi="Times New Roman" w:cs="Times New Roman"/>
          <w:bCs/>
          <w:sz w:val="24"/>
          <w:szCs w:val="24"/>
        </w:rPr>
        <w:t>, rather than comprehensive</w:t>
      </w:r>
      <w:r w:rsidR="001464CB">
        <w:rPr>
          <w:rFonts w:ascii="Times New Roman" w:hAnsi="Times New Roman" w:cs="Times New Roman"/>
          <w:bCs/>
          <w:sz w:val="24"/>
          <w:szCs w:val="24"/>
        </w:rPr>
        <w:t>,</w:t>
      </w:r>
      <w:r w:rsidR="009F0195">
        <w:rPr>
          <w:rFonts w:ascii="Times New Roman" w:hAnsi="Times New Roman" w:cs="Times New Roman"/>
          <w:bCs/>
          <w:sz w:val="24"/>
          <w:szCs w:val="24"/>
        </w:rPr>
        <w:t xml:space="preserve"> on </w:t>
      </w:r>
      <w:r w:rsidR="00CD3C9B" w:rsidRPr="0004788F">
        <w:rPr>
          <w:rFonts w:ascii="Times New Roman" w:hAnsi="Times New Roman" w:cs="Times New Roman"/>
          <w:bCs/>
          <w:sz w:val="24"/>
          <w:szCs w:val="24"/>
        </w:rPr>
        <w:t>the protection of deposit</w:t>
      </w:r>
      <w:r w:rsidR="00CB3CA3" w:rsidRPr="0004788F">
        <w:rPr>
          <w:rFonts w:ascii="Times New Roman" w:hAnsi="Times New Roman" w:cs="Times New Roman"/>
          <w:bCs/>
          <w:sz w:val="24"/>
          <w:szCs w:val="24"/>
        </w:rPr>
        <w:t xml:space="preserve">ors </w:t>
      </w:r>
      <w:r w:rsidR="006E299E" w:rsidRPr="0004788F">
        <w:rPr>
          <w:rFonts w:ascii="Times New Roman" w:hAnsi="Times New Roman" w:cs="Times New Roman"/>
          <w:bCs/>
          <w:sz w:val="24"/>
          <w:szCs w:val="24"/>
        </w:rPr>
        <w:t>on the insolvency of the</w:t>
      </w:r>
      <w:r w:rsidR="00CD3C9B" w:rsidRPr="0004788F">
        <w:rPr>
          <w:rFonts w:ascii="Times New Roman" w:hAnsi="Times New Roman" w:cs="Times New Roman"/>
          <w:bCs/>
          <w:sz w:val="24"/>
          <w:szCs w:val="24"/>
        </w:rPr>
        <w:t xml:space="preserve"> mobile money</w:t>
      </w:r>
      <w:r w:rsidR="006E299E" w:rsidRPr="0004788F">
        <w:rPr>
          <w:rFonts w:ascii="Times New Roman" w:hAnsi="Times New Roman" w:cs="Times New Roman"/>
          <w:bCs/>
          <w:sz w:val="24"/>
          <w:szCs w:val="24"/>
        </w:rPr>
        <w:t>/banking</w:t>
      </w:r>
      <w:r w:rsidR="00CD3C9B" w:rsidRPr="0004788F">
        <w:rPr>
          <w:rFonts w:ascii="Times New Roman" w:hAnsi="Times New Roman" w:cs="Times New Roman"/>
          <w:bCs/>
          <w:sz w:val="24"/>
          <w:szCs w:val="24"/>
        </w:rPr>
        <w:t xml:space="preserve"> network</w:t>
      </w:r>
      <w:r w:rsidR="00CB3CA3" w:rsidRPr="0004788F">
        <w:rPr>
          <w:rFonts w:ascii="Times New Roman" w:hAnsi="Times New Roman" w:cs="Times New Roman"/>
          <w:bCs/>
          <w:sz w:val="24"/>
          <w:szCs w:val="24"/>
        </w:rPr>
        <w:t xml:space="preserve"> provider,</w:t>
      </w:r>
      <w:r w:rsidR="00CD3C9B" w:rsidRPr="0004788F">
        <w:rPr>
          <w:rFonts w:ascii="Times New Roman" w:hAnsi="Times New Roman" w:cs="Times New Roman"/>
          <w:bCs/>
          <w:sz w:val="24"/>
          <w:szCs w:val="24"/>
        </w:rPr>
        <w:t xml:space="preserve"> partner</w:t>
      </w:r>
      <w:r w:rsidR="00CB3CA3" w:rsidRPr="0004788F">
        <w:rPr>
          <w:rFonts w:ascii="Times New Roman" w:hAnsi="Times New Roman" w:cs="Times New Roman"/>
          <w:bCs/>
          <w:sz w:val="24"/>
          <w:szCs w:val="24"/>
        </w:rPr>
        <w:t xml:space="preserve"> company</w:t>
      </w:r>
      <w:r w:rsidR="00CD3C9B" w:rsidRPr="0004788F">
        <w:rPr>
          <w:rFonts w:ascii="Times New Roman" w:hAnsi="Times New Roman" w:cs="Times New Roman"/>
          <w:bCs/>
          <w:sz w:val="24"/>
          <w:szCs w:val="24"/>
        </w:rPr>
        <w:t xml:space="preserve"> </w:t>
      </w:r>
      <w:r w:rsidR="00CB3CA3" w:rsidRPr="0004788F">
        <w:rPr>
          <w:rFonts w:ascii="Times New Roman" w:hAnsi="Times New Roman" w:cs="Times New Roman"/>
          <w:bCs/>
          <w:sz w:val="24"/>
          <w:szCs w:val="24"/>
        </w:rPr>
        <w:t xml:space="preserve">or </w:t>
      </w:r>
      <w:r w:rsidR="006E299E" w:rsidRPr="0004788F">
        <w:rPr>
          <w:rFonts w:ascii="Times New Roman" w:hAnsi="Times New Roman" w:cs="Times New Roman"/>
          <w:bCs/>
          <w:sz w:val="24"/>
          <w:szCs w:val="24"/>
        </w:rPr>
        <w:t xml:space="preserve">affiliated </w:t>
      </w:r>
      <w:r w:rsidR="00CD3C9B" w:rsidRPr="0004788F">
        <w:rPr>
          <w:rFonts w:ascii="Times New Roman" w:hAnsi="Times New Roman" w:cs="Times New Roman"/>
          <w:bCs/>
          <w:sz w:val="24"/>
          <w:szCs w:val="24"/>
        </w:rPr>
        <w:t>bank/financial institution.</w:t>
      </w:r>
      <w:r w:rsidR="00340676">
        <w:rPr>
          <w:rStyle w:val="FootnoteReference"/>
          <w:rFonts w:ascii="Times New Roman" w:hAnsi="Times New Roman" w:cs="Times New Roman"/>
          <w:bCs/>
          <w:sz w:val="24"/>
          <w:szCs w:val="24"/>
        </w:rPr>
        <w:footnoteReference w:id="6"/>
      </w:r>
    </w:p>
    <w:p w:rsidR="00E748A0" w:rsidRDefault="00F60777"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Regulation and supervision of banking and financial sectors in a majority of SSA </w:t>
      </w:r>
      <w:r w:rsidR="005645EF">
        <w:rPr>
          <w:rFonts w:ascii="Times New Roman" w:hAnsi="Times New Roman" w:cs="Times New Roman"/>
          <w:sz w:val="24"/>
          <w:szCs w:val="24"/>
        </w:rPr>
        <w:t>d</w:t>
      </w:r>
      <w:r w:rsidRPr="0004788F">
        <w:rPr>
          <w:rFonts w:ascii="Times New Roman" w:hAnsi="Times New Roman" w:cs="Times New Roman"/>
          <w:sz w:val="24"/>
          <w:szCs w:val="24"/>
        </w:rPr>
        <w:t>evel</w:t>
      </w:r>
      <w:r w:rsidR="00893ECE" w:rsidRPr="0004788F">
        <w:rPr>
          <w:rFonts w:ascii="Times New Roman" w:hAnsi="Times New Roman" w:cs="Times New Roman"/>
          <w:sz w:val="24"/>
          <w:szCs w:val="24"/>
        </w:rPr>
        <w:t xml:space="preserve">oping </w:t>
      </w:r>
      <w:r w:rsidR="005645EF">
        <w:rPr>
          <w:rFonts w:ascii="Times New Roman" w:hAnsi="Times New Roman" w:cs="Times New Roman"/>
          <w:sz w:val="24"/>
          <w:szCs w:val="24"/>
        </w:rPr>
        <w:t>e</w:t>
      </w:r>
      <w:r w:rsidR="00893ECE" w:rsidRPr="0004788F">
        <w:rPr>
          <w:rFonts w:ascii="Times New Roman" w:hAnsi="Times New Roman" w:cs="Times New Roman"/>
          <w:sz w:val="24"/>
          <w:szCs w:val="24"/>
        </w:rPr>
        <w:t>conomies i</w:t>
      </w:r>
      <w:r w:rsidR="003F2227">
        <w:rPr>
          <w:rFonts w:ascii="Times New Roman" w:hAnsi="Times New Roman" w:cs="Times New Roman"/>
          <w:sz w:val="24"/>
          <w:szCs w:val="24"/>
        </w:rPr>
        <w:t>s</w:t>
      </w:r>
      <w:r w:rsidR="00893ECE" w:rsidRPr="0004788F">
        <w:rPr>
          <w:rFonts w:ascii="Times New Roman" w:hAnsi="Times New Roman" w:cs="Times New Roman"/>
          <w:sz w:val="24"/>
          <w:szCs w:val="24"/>
        </w:rPr>
        <w:t xml:space="preserve"> </w:t>
      </w:r>
      <w:r w:rsidR="00893ECE" w:rsidRPr="001464CB">
        <w:rPr>
          <w:rFonts w:ascii="Times New Roman" w:hAnsi="Times New Roman" w:cs="Times New Roman"/>
          <w:sz w:val="24"/>
          <w:szCs w:val="24"/>
        </w:rPr>
        <w:t xml:space="preserve">mandated to national </w:t>
      </w:r>
      <w:r w:rsidR="00893ECE" w:rsidRPr="0004788F">
        <w:rPr>
          <w:rFonts w:ascii="Times New Roman" w:hAnsi="Times New Roman" w:cs="Times New Roman"/>
          <w:sz w:val="24"/>
          <w:szCs w:val="24"/>
        </w:rPr>
        <w:t>central b</w:t>
      </w:r>
      <w:r w:rsidRPr="0004788F">
        <w:rPr>
          <w:rFonts w:ascii="Times New Roman" w:hAnsi="Times New Roman" w:cs="Times New Roman"/>
          <w:sz w:val="24"/>
          <w:szCs w:val="24"/>
        </w:rPr>
        <w:t xml:space="preserve">anks. </w:t>
      </w:r>
      <w:r w:rsidRPr="009F0195">
        <w:rPr>
          <w:rFonts w:ascii="Times New Roman" w:hAnsi="Times New Roman" w:cs="Times New Roman"/>
          <w:sz w:val="24"/>
          <w:szCs w:val="24"/>
        </w:rPr>
        <w:t xml:space="preserve">Since the turn of the millennium, </w:t>
      </w:r>
      <w:r w:rsidRPr="0004788F">
        <w:rPr>
          <w:rFonts w:ascii="Times New Roman" w:hAnsi="Times New Roman" w:cs="Times New Roman"/>
          <w:sz w:val="24"/>
          <w:szCs w:val="24"/>
        </w:rPr>
        <w:t xml:space="preserve">central banks, with the help of their </w:t>
      </w:r>
      <w:r w:rsidR="009F0195">
        <w:rPr>
          <w:rFonts w:ascii="Times New Roman" w:hAnsi="Times New Roman" w:cs="Times New Roman"/>
          <w:sz w:val="24"/>
          <w:szCs w:val="24"/>
        </w:rPr>
        <w:t>national</w:t>
      </w:r>
      <w:r w:rsidRPr="0004788F">
        <w:rPr>
          <w:rFonts w:ascii="Times New Roman" w:hAnsi="Times New Roman" w:cs="Times New Roman"/>
          <w:sz w:val="24"/>
          <w:szCs w:val="24"/>
        </w:rPr>
        <w:t xml:space="preserve"> legislative organs have been enacting legislation and adopting policies that are</w:t>
      </w:r>
      <w:r w:rsidR="00893ECE" w:rsidRPr="0004788F">
        <w:rPr>
          <w:rFonts w:ascii="Times New Roman" w:hAnsi="Times New Roman" w:cs="Times New Roman"/>
          <w:sz w:val="24"/>
          <w:szCs w:val="24"/>
        </w:rPr>
        <w:t xml:space="preserve"> </w:t>
      </w:r>
      <w:r w:rsidR="009F0195">
        <w:rPr>
          <w:rFonts w:ascii="Times New Roman" w:hAnsi="Times New Roman" w:cs="Times New Roman"/>
          <w:sz w:val="24"/>
          <w:szCs w:val="24"/>
        </w:rPr>
        <w:t>premised on</w:t>
      </w:r>
      <w:r w:rsidR="00893ECE" w:rsidRPr="0004788F">
        <w:rPr>
          <w:rFonts w:ascii="Times New Roman" w:hAnsi="Times New Roman" w:cs="Times New Roman"/>
          <w:sz w:val="24"/>
          <w:szCs w:val="24"/>
        </w:rPr>
        <w:t xml:space="preserve"> a </w:t>
      </w:r>
      <w:r w:rsidRPr="0004788F">
        <w:rPr>
          <w:rFonts w:ascii="Times New Roman" w:hAnsi="Times New Roman" w:cs="Times New Roman"/>
          <w:sz w:val="24"/>
          <w:szCs w:val="24"/>
        </w:rPr>
        <w:t xml:space="preserve">paradigm shift </w:t>
      </w:r>
      <w:r w:rsidR="00893ECE" w:rsidRPr="0004788F">
        <w:rPr>
          <w:rFonts w:ascii="Times New Roman" w:hAnsi="Times New Roman" w:cs="Times New Roman"/>
          <w:sz w:val="24"/>
          <w:szCs w:val="24"/>
        </w:rPr>
        <w:t xml:space="preserve">from traditional banking </w:t>
      </w:r>
      <w:r w:rsidRPr="0004788F">
        <w:rPr>
          <w:rFonts w:ascii="Times New Roman" w:hAnsi="Times New Roman" w:cs="Times New Roman"/>
          <w:sz w:val="24"/>
          <w:szCs w:val="24"/>
        </w:rPr>
        <w:t xml:space="preserve">to </w:t>
      </w:r>
      <w:r w:rsidR="00893ECE" w:rsidRPr="0004788F">
        <w:rPr>
          <w:rFonts w:ascii="Times New Roman" w:hAnsi="Times New Roman" w:cs="Times New Roman"/>
          <w:sz w:val="24"/>
          <w:szCs w:val="24"/>
        </w:rPr>
        <w:t xml:space="preserve">digital banking and </w:t>
      </w:r>
      <w:r w:rsidRPr="0004788F">
        <w:rPr>
          <w:rFonts w:ascii="Times New Roman" w:hAnsi="Times New Roman" w:cs="Times New Roman"/>
          <w:sz w:val="24"/>
          <w:szCs w:val="24"/>
        </w:rPr>
        <w:t>electronic financial access via mobile money banking</w:t>
      </w:r>
      <w:r w:rsidRPr="00146853">
        <w:rPr>
          <w:rFonts w:ascii="Times New Roman" w:hAnsi="Times New Roman" w:cs="Times New Roman"/>
          <w:sz w:val="24"/>
          <w:szCs w:val="24"/>
        </w:rPr>
        <w:t>.</w:t>
      </w:r>
      <w:r w:rsidR="00146853" w:rsidRPr="00146853">
        <w:rPr>
          <w:rStyle w:val="FootnoteReference"/>
          <w:rFonts w:ascii="Times New Roman" w:hAnsi="Times New Roman" w:cs="Times New Roman"/>
          <w:sz w:val="24"/>
          <w:szCs w:val="24"/>
        </w:rPr>
        <w:footnoteReference w:id="7"/>
      </w:r>
      <w:r w:rsidRPr="00146853">
        <w:rPr>
          <w:rFonts w:ascii="Times New Roman" w:hAnsi="Times New Roman" w:cs="Times New Roman"/>
          <w:sz w:val="24"/>
          <w:szCs w:val="24"/>
        </w:rPr>
        <w:t xml:space="preserve"> </w:t>
      </w:r>
    </w:p>
    <w:p w:rsidR="002F434A" w:rsidRDefault="00F60777" w:rsidP="0004788F">
      <w:pPr>
        <w:spacing w:line="360" w:lineRule="auto"/>
        <w:jc w:val="both"/>
        <w:rPr>
          <w:rFonts w:ascii="Times New Roman" w:hAnsi="Times New Roman" w:cs="Times New Roman"/>
          <w:color w:val="0070C0"/>
          <w:sz w:val="24"/>
          <w:szCs w:val="24"/>
        </w:rPr>
      </w:pPr>
      <w:r w:rsidRPr="0004788F">
        <w:rPr>
          <w:rFonts w:ascii="Times New Roman" w:hAnsi="Times New Roman" w:cs="Times New Roman"/>
          <w:sz w:val="24"/>
          <w:szCs w:val="24"/>
        </w:rPr>
        <w:t xml:space="preserve">This paradigm shift may be </w:t>
      </w:r>
      <w:r w:rsidR="002F434A" w:rsidRPr="002F434A">
        <w:rPr>
          <w:rFonts w:ascii="Times New Roman" w:hAnsi="Times New Roman" w:cs="Times New Roman"/>
          <w:sz w:val="24"/>
          <w:szCs w:val="24"/>
        </w:rPr>
        <w:t xml:space="preserve">driven by risks and technicalities </w:t>
      </w:r>
      <w:r w:rsidR="002F434A">
        <w:rPr>
          <w:rFonts w:ascii="Times New Roman" w:hAnsi="Times New Roman" w:cs="Times New Roman"/>
          <w:sz w:val="24"/>
          <w:szCs w:val="24"/>
        </w:rPr>
        <w:t>associated</w:t>
      </w:r>
      <w:r w:rsidR="006E299E" w:rsidRPr="0004788F">
        <w:rPr>
          <w:rFonts w:ascii="Times New Roman" w:hAnsi="Times New Roman" w:cs="Times New Roman"/>
          <w:sz w:val="24"/>
          <w:szCs w:val="24"/>
        </w:rPr>
        <w:t xml:space="preserve"> with</w:t>
      </w:r>
      <w:r w:rsidRPr="0004788F">
        <w:rPr>
          <w:rFonts w:ascii="Times New Roman" w:hAnsi="Times New Roman" w:cs="Times New Roman"/>
          <w:sz w:val="24"/>
          <w:szCs w:val="24"/>
        </w:rPr>
        <w:t xml:space="preserve"> traditional ban</w:t>
      </w:r>
      <w:r w:rsidRPr="001464CB">
        <w:rPr>
          <w:rFonts w:ascii="Times New Roman" w:hAnsi="Times New Roman" w:cs="Times New Roman"/>
          <w:sz w:val="24"/>
          <w:szCs w:val="24"/>
        </w:rPr>
        <w:t xml:space="preserve">king highlighted </w:t>
      </w:r>
      <w:r w:rsidRPr="0004788F">
        <w:rPr>
          <w:rFonts w:ascii="Times New Roman" w:hAnsi="Times New Roman" w:cs="Times New Roman"/>
          <w:sz w:val="24"/>
          <w:szCs w:val="24"/>
        </w:rPr>
        <w:t>over the years. For instance, traditional banking involves varied stages of verification, high volumes of paperwork, and still susceptible to risks such as fraud, forgeries and money laundering</w:t>
      </w:r>
      <w:r w:rsidR="003902E2">
        <w:rPr>
          <w:rFonts w:ascii="Times New Roman" w:hAnsi="Times New Roman" w:cs="Times New Roman"/>
          <w:sz w:val="24"/>
          <w:szCs w:val="24"/>
        </w:rPr>
        <w:t>.</w:t>
      </w:r>
      <w:r w:rsidR="00146853" w:rsidRPr="003902E2">
        <w:rPr>
          <w:rStyle w:val="FootnoteReference"/>
          <w:rFonts w:ascii="Times New Roman" w:hAnsi="Times New Roman" w:cs="Times New Roman"/>
          <w:sz w:val="24"/>
          <w:szCs w:val="24"/>
        </w:rPr>
        <w:footnoteReference w:id="8"/>
      </w:r>
      <w:r w:rsidRPr="003902E2">
        <w:rPr>
          <w:rFonts w:ascii="Times New Roman" w:hAnsi="Times New Roman" w:cs="Times New Roman"/>
          <w:sz w:val="24"/>
          <w:szCs w:val="24"/>
        </w:rPr>
        <w:t xml:space="preserve"> </w:t>
      </w:r>
      <w:r w:rsidRPr="0004788F">
        <w:rPr>
          <w:rFonts w:ascii="Times New Roman" w:hAnsi="Times New Roman" w:cs="Times New Roman"/>
          <w:sz w:val="24"/>
          <w:szCs w:val="24"/>
        </w:rPr>
        <w:t xml:space="preserve">However, </w:t>
      </w:r>
      <w:r w:rsidR="00893ECE" w:rsidRPr="0004788F">
        <w:rPr>
          <w:rFonts w:ascii="Times New Roman" w:hAnsi="Times New Roman" w:cs="Times New Roman"/>
          <w:sz w:val="24"/>
          <w:szCs w:val="24"/>
        </w:rPr>
        <w:t xml:space="preserve">digital banking, especially </w:t>
      </w:r>
      <w:r w:rsidRPr="003902E2">
        <w:rPr>
          <w:rFonts w:ascii="Times New Roman" w:hAnsi="Times New Roman" w:cs="Times New Roman"/>
          <w:sz w:val="24"/>
          <w:szCs w:val="24"/>
        </w:rPr>
        <w:t xml:space="preserve">electronic </w:t>
      </w:r>
      <w:r w:rsidR="003902E2" w:rsidRPr="003902E2">
        <w:rPr>
          <w:rFonts w:ascii="Times New Roman" w:hAnsi="Times New Roman" w:cs="Times New Roman"/>
          <w:sz w:val="24"/>
          <w:szCs w:val="24"/>
        </w:rPr>
        <w:t>(</w:t>
      </w:r>
      <w:r w:rsidRPr="003902E2">
        <w:rPr>
          <w:rFonts w:ascii="Times New Roman" w:hAnsi="Times New Roman" w:cs="Times New Roman"/>
          <w:sz w:val="24"/>
          <w:szCs w:val="24"/>
        </w:rPr>
        <w:t>e-payments</w:t>
      </w:r>
      <w:r w:rsidR="003902E2" w:rsidRPr="003902E2">
        <w:rPr>
          <w:rFonts w:ascii="Times New Roman" w:hAnsi="Times New Roman" w:cs="Times New Roman"/>
          <w:sz w:val="24"/>
          <w:szCs w:val="24"/>
        </w:rPr>
        <w:t>)</w:t>
      </w:r>
      <w:r w:rsidRPr="003902E2">
        <w:rPr>
          <w:rFonts w:ascii="Times New Roman" w:hAnsi="Times New Roman" w:cs="Times New Roman"/>
          <w:sz w:val="24"/>
          <w:szCs w:val="24"/>
        </w:rPr>
        <w:t xml:space="preserve"> </w:t>
      </w:r>
      <w:r w:rsidRPr="0004788F">
        <w:rPr>
          <w:rFonts w:ascii="Times New Roman" w:hAnsi="Times New Roman" w:cs="Times New Roman"/>
          <w:sz w:val="24"/>
          <w:szCs w:val="24"/>
        </w:rPr>
        <w:t>via mobile money lessens these traditional banking risks as payments/transactions are easier to verify, are recorded in real time, and traceable via data interchange.</w:t>
      </w:r>
      <w:r w:rsidRPr="0004788F">
        <w:rPr>
          <w:rStyle w:val="FootnoteReference"/>
          <w:rFonts w:ascii="Times New Roman" w:hAnsi="Times New Roman" w:cs="Times New Roman"/>
          <w:sz w:val="24"/>
          <w:szCs w:val="24"/>
        </w:rPr>
        <w:footnoteReference w:id="9"/>
      </w:r>
      <w:r w:rsidRPr="0004788F">
        <w:rPr>
          <w:rFonts w:ascii="Times New Roman" w:hAnsi="Times New Roman" w:cs="Times New Roman"/>
          <w:sz w:val="24"/>
          <w:szCs w:val="24"/>
        </w:rPr>
        <w:t xml:space="preserve"> </w:t>
      </w:r>
    </w:p>
    <w:p w:rsidR="00F60777" w:rsidRPr="0004788F" w:rsidRDefault="006E299E"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In</w:t>
      </w:r>
      <w:r w:rsidR="00F60777" w:rsidRPr="0004788F">
        <w:rPr>
          <w:rFonts w:ascii="Times New Roman" w:hAnsi="Times New Roman" w:cs="Times New Roman"/>
          <w:sz w:val="24"/>
          <w:szCs w:val="24"/>
        </w:rPr>
        <w:t xml:space="preserve"> Kenya, the </w:t>
      </w:r>
      <w:r w:rsidR="00E748A0">
        <w:rPr>
          <w:rFonts w:ascii="Times New Roman" w:hAnsi="Times New Roman" w:cs="Times New Roman"/>
          <w:sz w:val="24"/>
          <w:szCs w:val="24"/>
        </w:rPr>
        <w:t>c</w:t>
      </w:r>
      <w:r w:rsidR="00F60777" w:rsidRPr="0004788F">
        <w:rPr>
          <w:rFonts w:ascii="Times New Roman" w:hAnsi="Times New Roman" w:cs="Times New Roman"/>
          <w:sz w:val="24"/>
          <w:szCs w:val="24"/>
        </w:rPr>
        <w:t xml:space="preserve">entral </w:t>
      </w:r>
      <w:r w:rsidR="00E748A0">
        <w:rPr>
          <w:rFonts w:ascii="Times New Roman" w:hAnsi="Times New Roman" w:cs="Times New Roman"/>
          <w:sz w:val="24"/>
          <w:szCs w:val="24"/>
        </w:rPr>
        <w:t>b</w:t>
      </w:r>
      <w:r w:rsidR="00F60777" w:rsidRPr="0004788F">
        <w:rPr>
          <w:rFonts w:ascii="Times New Roman" w:hAnsi="Times New Roman" w:cs="Times New Roman"/>
          <w:sz w:val="24"/>
          <w:szCs w:val="24"/>
        </w:rPr>
        <w:t>ank reported that consumer access to formal financial services driven by mobi</w:t>
      </w:r>
      <w:r w:rsidR="002F434A">
        <w:rPr>
          <w:rFonts w:ascii="Times New Roman" w:hAnsi="Times New Roman" w:cs="Times New Roman"/>
          <w:sz w:val="24"/>
          <w:szCs w:val="24"/>
        </w:rPr>
        <w:t>le money banking grew from 26.7 percent in 2006 to 82.9 percent in 2019, and up to 83.7 percent</w:t>
      </w:r>
      <w:r w:rsidR="00F60777" w:rsidRPr="0004788F">
        <w:rPr>
          <w:rFonts w:ascii="Times New Roman" w:hAnsi="Times New Roman" w:cs="Times New Roman"/>
          <w:sz w:val="24"/>
          <w:szCs w:val="24"/>
        </w:rPr>
        <w:t xml:space="preserve"> in 2021 due to COVID19-induced cashless measures.</w:t>
      </w:r>
      <w:r w:rsidR="00F60777" w:rsidRPr="0004788F">
        <w:rPr>
          <w:rStyle w:val="FootnoteReference"/>
          <w:rFonts w:ascii="Times New Roman" w:hAnsi="Times New Roman" w:cs="Times New Roman"/>
          <w:sz w:val="24"/>
          <w:szCs w:val="24"/>
        </w:rPr>
        <w:footnoteReference w:id="10"/>
      </w:r>
      <w:r w:rsidR="00F60777" w:rsidRPr="0004788F">
        <w:rPr>
          <w:rFonts w:ascii="Times New Roman" w:hAnsi="Times New Roman" w:cs="Times New Roman"/>
          <w:sz w:val="24"/>
          <w:szCs w:val="24"/>
        </w:rPr>
        <w:t xml:space="preserve"> Rwanda has also put measures in place to revert to </w:t>
      </w:r>
      <w:r w:rsidRPr="0004788F">
        <w:rPr>
          <w:rFonts w:ascii="Times New Roman" w:hAnsi="Times New Roman" w:cs="Times New Roman"/>
          <w:sz w:val="24"/>
          <w:szCs w:val="24"/>
        </w:rPr>
        <w:t>a cashless economy by end</w:t>
      </w:r>
      <w:r w:rsidR="00F60777" w:rsidRPr="0004788F">
        <w:rPr>
          <w:rFonts w:ascii="Times New Roman" w:hAnsi="Times New Roman" w:cs="Times New Roman"/>
          <w:sz w:val="24"/>
          <w:szCs w:val="24"/>
        </w:rPr>
        <w:t xml:space="preserve"> </w:t>
      </w:r>
      <w:r w:rsidR="00651F39">
        <w:rPr>
          <w:rFonts w:ascii="Times New Roman" w:hAnsi="Times New Roman" w:cs="Times New Roman"/>
          <w:sz w:val="24"/>
          <w:szCs w:val="24"/>
        </w:rPr>
        <w:t xml:space="preserve">of </w:t>
      </w:r>
      <w:r w:rsidR="00F60777" w:rsidRPr="0004788F">
        <w:rPr>
          <w:rFonts w:ascii="Times New Roman" w:hAnsi="Times New Roman" w:cs="Times New Roman"/>
          <w:sz w:val="24"/>
          <w:szCs w:val="24"/>
        </w:rPr>
        <w:t>year 2</w:t>
      </w:r>
      <w:r w:rsidRPr="0004788F">
        <w:rPr>
          <w:rFonts w:ascii="Times New Roman" w:hAnsi="Times New Roman" w:cs="Times New Roman"/>
          <w:sz w:val="24"/>
          <w:szCs w:val="24"/>
        </w:rPr>
        <w:t>024, courtesy of the</w:t>
      </w:r>
      <w:r w:rsidR="00F60777" w:rsidRPr="0004788F">
        <w:rPr>
          <w:rFonts w:ascii="Times New Roman" w:hAnsi="Times New Roman" w:cs="Times New Roman"/>
          <w:sz w:val="24"/>
          <w:szCs w:val="24"/>
        </w:rPr>
        <w:t xml:space="preserve"> National Payments Systems Strategy. This is part of a five-pillar commitment of the National Bank of Rwanda and the Ministry of Finance and Economic Planning to encourage the use of electronic </w:t>
      </w:r>
      <w:r w:rsidR="00F60777" w:rsidRPr="0004788F">
        <w:rPr>
          <w:rFonts w:ascii="Times New Roman" w:hAnsi="Times New Roman" w:cs="Times New Roman"/>
          <w:sz w:val="24"/>
          <w:szCs w:val="24"/>
        </w:rPr>
        <w:lastRenderedPageBreak/>
        <w:t xml:space="preserve">payments by all residents of Rwanda by </w:t>
      </w:r>
      <w:r w:rsidR="00651F39">
        <w:rPr>
          <w:rFonts w:ascii="Times New Roman" w:hAnsi="Times New Roman" w:cs="Times New Roman"/>
          <w:sz w:val="24"/>
          <w:szCs w:val="24"/>
        </w:rPr>
        <w:t xml:space="preserve">year </w:t>
      </w:r>
      <w:r w:rsidR="00F60777" w:rsidRPr="0004788F">
        <w:rPr>
          <w:rFonts w:ascii="Times New Roman" w:hAnsi="Times New Roman" w:cs="Times New Roman"/>
          <w:sz w:val="24"/>
          <w:szCs w:val="24"/>
        </w:rPr>
        <w:t>2024, un</w:t>
      </w:r>
      <w:r w:rsidR="002F434A">
        <w:rPr>
          <w:rFonts w:ascii="Times New Roman" w:hAnsi="Times New Roman" w:cs="Times New Roman"/>
          <w:sz w:val="24"/>
          <w:szCs w:val="24"/>
        </w:rPr>
        <w:t>derpinning a strong</w:t>
      </w:r>
      <w:r w:rsidR="00F60777" w:rsidRPr="0004788F">
        <w:rPr>
          <w:rFonts w:ascii="Times New Roman" w:hAnsi="Times New Roman" w:cs="Times New Roman"/>
          <w:sz w:val="24"/>
          <w:szCs w:val="24"/>
        </w:rPr>
        <w:t>hold on mobile money</w:t>
      </w:r>
      <w:r w:rsidR="002F434A">
        <w:rPr>
          <w:rFonts w:ascii="Times New Roman" w:hAnsi="Times New Roman" w:cs="Times New Roman"/>
          <w:sz w:val="24"/>
          <w:szCs w:val="24"/>
        </w:rPr>
        <w:t xml:space="preserve"> and digital</w:t>
      </w:r>
      <w:r w:rsidR="00F60777" w:rsidRPr="0004788F">
        <w:rPr>
          <w:rFonts w:ascii="Times New Roman" w:hAnsi="Times New Roman" w:cs="Times New Roman"/>
          <w:sz w:val="24"/>
          <w:szCs w:val="24"/>
        </w:rPr>
        <w:t xml:space="preserve"> banking.</w:t>
      </w:r>
      <w:r w:rsidR="00F60777" w:rsidRPr="0004788F">
        <w:rPr>
          <w:rStyle w:val="FootnoteReference"/>
          <w:rFonts w:ascii="Times New Roman" w:hAnsi="Times New Roman" w:cs="Times New Roman"/>
          <w:sz w:val="24"/>
          <w:szCs w:val="24"/>
        </w:rPr>
        <w:footnoteReference w:id="11"/>
      </w:r>
    </w:p>
    <w:p w:rsidR="00F60777" w:rsidRPr="0004788F" w:rsidRDefault="00F60777"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In 2015, Tanzania enacted the National Payment Systems Act, 2015,</w:t>
      </w:r>
      <w:r w:rsidR="00411E1C">
        <w:rPr>
          <w:rStyle w:val="FootnoteReference"/>
          <w:rFonts w:ascii="Times New Roman" w:hAnsi="Times New Roman" w:cs="Times New Roman"/>
          <w:sz w:val="24"/>
          <w:szCs w:val="24"/>
        </w:rPr>
        <w:footnoteReference w:id="12"/>
      </w:r>
      <w:r w:rsidRPr="0004788F">
        <w:rPr>
          <w:rFonts w:ascii="Times New Roman" w:hAnsi="Times New Roman" w:cs="Times New Roman"/>
          <w:sz w:val="24"/>
          <w:szCs w:val="24"/>
        </w:rPr>
        <w:t xml:space="preserve"> the Payment System Licensing and Approval Regulations, 2015 and the Ele</w:t>
      </w:r>
      <w:r w:rsidR="002F434A">
        <w:rPr>
          <w:rFonts w:ascii="Times New Roman" w:hAnsi="Times New Roman" w:cs="Times New Roman"/>
          <w:sz w:val="24"/>
          <w:szCs w:val="24"/>
        </w:rPr>
        <w:t>ctronic Money Regulations, 2015, to support the transition to digital banking.</w:t>
      </w:r>
      <w:r w:rsidR="00E748A0">
        <w:rPr>
          <w:rStyle w:val="FootnoteReference"/>
          <w:rFonts w:ascii="Times New Roman" w:hAnsi="Times New Roman" w:cs="Times New Roman"/>
          <w:sz w:val="24"/>
          <w:szCs w:val="24"/>
        </w:rPr>
        <w:footnoteReference w:id="13"/>
      </w:r>
      <w:r w:rsidRPr="0004788F">
        <w:rPr>
          <w:rFonts w:ascii="Times New Roman" w:hAnsi="Times New Roman" w:cs="Times New Roman"/>
          <w:sz w:val="24"/>
          <w:szCs w:val="24"/>
        </w:rPr>
        <w:t xml:space="preserve"> The National Payments Systems Act 2015 and the complimentary </w:t>
      </w:r>
      <w:r w:rsidR="006E299E" w:rsidRPr="0004788F">
        <w:rPr>
          <w:rFonts w:ascii="Times New Roman" w:hAnsi="Times New Roman" w:cs="Times New Roman"/>
          <w:sz w:val="24"/>
          <w:szCs w:val="24"/>
        </w:rPr>
        <w:t xml:space="preserve">Regulations </w:t>
      </w:r>
      <w:r w:rsidRPr="0004788F">
        <w:rPr>
          <w:rFonts w:ascii="Times New Roman" w:hAnsi="Times New Roman" w:cs="Times New Roman"/>
          <w:sz w:val="24"/>
          <w:szCs w:val="24"/>
        </w:rPr>
        <w:t>mandate for the  legal separation of mobile money services from telecommunications services, and the prohibition of exclusivity of the providers’ agent networks as measures to improve the regulation and governance of the mobile banking sector and enhance consumer protection.</w:t>
      </w:r>
      <w:r w:rsidRPr="0004788F">
        <w:rPr>
          <w:rStyle w:val="FootnoteReference"/>
          <w:rFonts w:ascii="Times New Roman" w:hAnsi="Times New Roman" w:cs="Times New Roman"/>
          <w:sz w:val="24"/>
          <w:szCs w:val="24"/>
        </w:rPr>
        <w:footnoteReference w:id="14"/>
      </w:r>
      <w:r w:rsidRPr="0004788F">
        <w:rPr>
          <w:rFonts w:ascii="Times New Roman" w:hAnsi="Times New Roman" w:cs="Times New Roman"/>
          <w:sz w:val="24"/>
          <w:szCs w:val="24"/>
        </w:rPr>
        <w:t xml:space="preserve"> Uganda also enacted the National Payment systems Act 2020,</w:t>
      </w:r>
      <w:r w:rsidR="003902E2">
        <w:rPr>
          <w:rStyle w:val="FootnoteReference"/>
          <w:rFonts w:ascii="Times New Roman" w:hAnsi="Times New Roman" w:cs="Times New Roman"/>
          <w:sz w:val="24"/>
          <w:szCs w:val="24"/>
        </w:rPr>
        <w:footnoteReference w:id="15"/>
      </w:r>
      <w:r w:rsidR="006B0E1E">
        <w:rPr>
          <w:rFonts w:ascii="Times New Roman" w:hAnsi="Times New Roman" w:cs="Times New Roman"/>
          <w:sz w:val="24"/>
          <w:szCs w:val="24"/>
        </w:rPr>
        <w:t xml:space="preserve"> </w:t>
      </w:r>
      <w:r w:rsidRPr="0004788F">
        <w:rPr>
          <w:rFonts w:ascii="Times New Roman" w:hAnsi="Times New Roman" w:cs="Times New Roman"/>
          <w:sz w:val="24"/>
          <w:szCs w:val="24"/>
        </w:rPr>
        <w:t>the National Payments Systems (Agents) Regulations 2021</w:t>
      </w:r>
      <w:r w:rsidRPr="0004788F">
        <w:rPr>
          <w:rStyle w:val="FootnoteReference"/>
          <w:rFonts w:ascii="Times New Roman" w:hAnsi="Times New Roman" w:cs="Times New Roman"/>
          <w:sz w:val="24"/>
          <w:szCs w:val="24"/>
        </w:rPr>
        <w:footnoteReference w:id="16"/>
      </w:r>
      <w:r w:rsidRPr="0004788F">
        <w:rPr>
          <w:rFonts w:ascii="Times New Roman" w:hAnsi="Times New Roman" w:cs="Times New Roman"/>
          <w:sz w:val="24"/>
          <w:szCs w:val="24"/>
        </w:rPr>
        <w:t xml:space="preserve"> and the National Payments Systems (Sandbox) Regulations 2021</w:t>
      </w:r>
      <w:r w:rsidRPr="0004788F">
        <w:rPr>
          <w:rStyle w:val="FootnoteReference"/>
          <w:rFonts w:ascii="Times New Roman" w:hAnsi="Times New Roman" w:cs="Times New Roman"/>
          <w:sz w:val="24"/>
          <w:szCs w:val="24"/>
        </w:rPr>
        <w:footnoteReference w:id="17"/>
      </w:r>
      <w:r w:rsidRPr="0004788F">
        <w:rPr>
          <w:rFonts w:ascii="Times New Roman" w:hAnsi="Times New Roman" w:cs="Times New Roman"/>
          <w:sz w:val="24"/>
          <w:szCs w:val="24"/>
        </w:rPr>
        <w:t xml:space="preserve"> as measures to enhance electronic/mobile banking services as an avenue to a cashless economy.</w:t>
      </w:r>
      <w:r w:rsidR="00E748A0">
        <w:rPr>
          <w:rFonts w:ascii="Times New Roman" w:hAnsi="Times New Roman" w:cs="Times New Roman"/>
          <w:sz w:val="24"/>
          <w:szCs w:val="24"/>
        </w:rPr>
        <w:t xml:space="preserve"> (These regulations and the NAPSA 2021 will be broadly explored below under Uganda as a case study).</w:t>
      </w:r>
    </w:p>
    <w:p w:rsidR="002F434A" w:rsidRPr="00340676" w:rsidRDefault="00F60777"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This paper analyses the need for enhanced statutory depositor protection in the mobile money/</w:t>
      </w:r>
      <w:r w:rsidR="00893ECE" w:rsidRPr="0004788F">
        <w:rPr>
          <w:rFonts w:ascii="Times New Roman" w:hAnsi="Times New Roman" w:cs="Times New Roman"/>
          <w:sz w:val="24"/>
          <w:szCs w:val="24"/>
        </w:rPr>
        <w:t>digital</w:t>
      </w:r>
      <w:r w:rsidRPr="0004788F">
        <w:rPr>
          <w:rFonts w:ascii="Times New Roman" w:hAnsi="Times New Roman" w:cs="Times New Roman"/>
          <w:sz w:val="24"/>
          <w:szCs w:val="24"/>
        </w:rPr>
        <w:t xml:space="preserve"> banking sectors, upon banking and corporate insolvency in Sub-Saharan African </w:t>
      </w:r>
      <w:r w:rsidR="00E748A0">
        <w:rPr>
          <w:rFonts w:ascii="Times New Roman" w:hAnsi="Times New Roman" w:cs="Times New Roman"/>
          <w:sz w:val="24"/>
          <w:szCs w:val="24"/>
        </w:rPr>
        <w:t>d</w:t>
      </w:r>
      <w:r w:rsidRPr="0004788F">
        <w:rPr>
          <w:rFonts w:ascii="Times New Roman" w:hAnsi="Times New Roman" w:cs="Times New Roman"/>
          <w:sz w:val="24"/>
          <w:szCs w:val="24"/>
        </w:rPr>
        <w:t xml:space="preserve">eveloping </w:t>
      </w:r>
      <w:r w:rsidR="00E748A0">
        <w:rPr>
          <w:rFonts w:ascii="Times New Roman" w:hAnsi="Times New Roman" w:cs="Times New Roman"/>
          <w:sz w:val="24"/>
          <w:szCs w:val="24"/>
        </w:rPr>
        <w:t>e</w:t>
      </w:r>
      <w:r w:rsidRPr="0004788F">
        <w:rPr>
          <w:rFonts w:ascii="Times New Roman" w:hAnsi="Times New Roman" w:cs="Times New Roman"/>
          <w:sz w:val="24"/>
          <w:szCs w:val="24"/>
        </w:rPr>
        <w:t xml:space="preserve">conomies. The </w:t>
      </w:r>
      <w:r w:rsidR="00E748A0">
        <w:rPr>
          <w:rFonts w:ascii="Times New Roman" w:hAnsi="Times New Roman" w:cs="Times New Roman"/>
          <w:sz w:val="24"/>
          <w:szCs w:val="24"/>
        </w:rPr>
        <w:t>u</w:t>
      </w:r>
      <w:r w:rsidRPr="0004788F">
        <w:rPr>
          <w:rFonts w:ascii="Times New Roman" w:hAnsi="Times New Roman" w:cs="Times New Roman"/>
          <w:sz w:val="24"/>
          <w:szCs w:val="24"/>
        </w:rPr>
        <w:t xml:space="preserve">niversal </w:t>
      </w:r>
      <w:r w:rsidR="00E748A0">
        <w:rPr>
          <w:rFonts w:ascii="Times New Roman" w:hAnsi="Times New Roman" w:cs="Times New Roman"/>
          <w:sz w:val="24"/>
          <w:szCs w:val="24"/>
        </w:rPr>
        <w:t>b</w:t>
      </w:r>
      <w:r w:rsidRPr="0004788F">
        <w:rPr>
          <w:rFonts w:ascii="Times New Roman" w:hAnsi="Times New Roman" w:cs="Times New Roman"/>
          <w:sz w:val="24"/>
          <w:szCs w:val="24"/>
        </w:rPr>
        <w:t xml:space="preserve">anking </w:t>
      </w:r>
      <w:r w:rsidR="00E748A0">
        <w:rPr>
          <w:rFonts w:ascii="Times New Roman" w:hAnsi="Times New Roman" w:cs="Times New Roman"/>
          <w:sz w:val="24"/>
          <w:szCs w:val="24"/>
        </w:rPr>
        <w:t>m</w:t>
      </w:r>
      <w:r w:rsidRPr="0004788F">
        <w:rPr>
          <w:rFonts w:ascii="Times New Roman" w:hAnsi="Times New Roman" w:cs="Times New Roman"/>
          <w:sz w:val="24"/>
          <w:szCs w:val="24"/>
        </w:rPr>
        <w:t xml:space="preserve">odel, and the concepts of deposit insurance schemes, or deposit </w:t>
      </w:r>
      <w:r w:rsidRPr="003902E2">
        <w:rPr>
          <w:rFonts w:ascii="Times New Roman" w:hAnsi="Times New Roman" w:cs="Times New Roman"/>
          <w:sz w:val="24"/>
          <w:szCs w:val="24"/>
        </w:rPr>
        <w:t xml:space="preserve">guarantee </w:t>
      </w:r>
      <w:r w:rsidR="003902E2" w:rsidRPr="003902E2">
        <w:rPr>
          <w:rFonts w:ascii="Times New Roman" w:hAnsi="Times New Roman" w:cs="Times New Roman"/>
          <w:sz w:val="24"/>
          <w:szCs w:val="24"/>
        </w:rPr>
        <w:t>(</w:t>
      </w:r>
      <w:r w:rsidRPr="003902E2">
        <w:rPr>
          <w:rFonts w:ascii="Times New Roman" w:hAnsi="Times New Roman" w:cs="Times New Roman"/>
          <w:sz w:val="24"/>
          <w:szCs w:val="24"/>
        </w:rPr>
        <w:t>as is commonly known in the UK/EU</w:t>
      </w:r>
      <w:r w:rsidR="003902E2" w:rsidRPr="003902E2">
        <w:rPr>
          <w:rFonts w:ascii="Times New Roman" w:hAnsi="Times New Roman" w:cs="Times New Roman"/>
          <w:sz w:val="24"/>
          <w:szCs w:val="24"/>
        </w:rPr>
        <w:t>)</w:t>
      </w:r>
      <w:r w:rsidRPr="003902E2">
        <w:rPr>
          <w:rFonts w:ascii="Times New Roman" w:hAnsi="Times New Roman" w:cs="Times New Roman"/>
          <w:sz w:val="24"/>
          <w:szCs w:val="24"/>
        </w:rPr>
        <w:t xml:space="preserve"> </w:t>
      </w:r>
      <w:r w:rsidRPr="0004788F">
        <w:rPr>
          <w:rFonts w:ascii="Times New Roman" w:hAnsi="Times New Roman" w:cs="Times New Roman"/>
          <w:sz w:val="24"/>
          <w:szCs w:val="24"/>
        </w:rPr>
        <w:t xml:space="preserve">are analysed, their advantages in streamlining the depositor protection, and the would be impact in </w:t>
      </w:r>
      <w:r w:rsidR="002F434A">
        <w:rPr>
          <w:rFonts w:ascii="Times New Roman" w:hAnsi="Times New Roman" w:cs="Times New Roman"/>
          <w:sz w:val="24"/>
          <w:szCs w:val="24"/>
        </w:rPr>
        <w:t>SSA</w:t>
      </w:r>
      <w:r w:rsidRPr="0004788F">
        <w:rPr>
          <w:rFonts w:ascii="Times New Roman" w:hAnsi="Times New Roman" w:cs="Times New Roman"/>
          <w:sz w:val="24"/>
          <w:szCs w:val="24"/>
        </w:rPr>
        <w:t xml:space="preserve"> </w:t>
      </w:r>
      <w:r w:rsidR="00E748A0">
        <w:rPr>
          <w:rFonts w:ascii="Times New Roman" w:hAnsi="Times New Roman" w:cs="Times New Roman"/>
          <w:sz w:val="24"/>
          <w:szCs w:val="24"/>
        </w:rPr>
        <w:t>d</w:t>
      </w:r>
      <w:r w:rsidRPr="0004788F">
        <w:rPr>
          <w:rFonts w:ascii="Times New Roman" w:hAnsi="Times New Roman" w:cs="Times New Roman"/>
          <w:sz w:val="24"/>
          <w:szCs w:val="24"/>
        </w:rPr>
        <w:t xml:space="preserve">eveloping </w:t>
      </w:r>
      <w:r w:rsidR="00E748A0">
        <w:rPr>
          <w:rFonts w:ascii="Times New Roman" w:hAnsi="Times New Roman" w:cs="Times New Roman"/>
          <w:sz w:val="24"/>
          <w:szCs w:val="24"/>
        </w:rPr>
        <w:t>e</w:t>
      </w:r>
      <w:r w:rsidRPr="0004788F">
        <w:rPr>
          <w:rFonts w:ascii="Times New Roman" w:hAnsi="Times New Roman" w:cs="Times New Roman"/>
          <w:sz w:val="24"/>
          <w:szCs w:val="24"/>
        </w:rPr>
        <w:t xml:space="preserve">conomies’ </w:t>
      </w:r>
      <w:r w:rsidR="00893ECE" w:rsidRPr="0004788F">
        <w:rPr>
          <w:rFonts w:ascii="Times New Roman" w:hAnsi="Times New Roman" w:cs="Times New Roman"/>
          <w:sz w:val="24"/>
          <w:szCs w:val="24"/>
        </w:rPr>
        <w:t>digital banking/mobile money</w:t>
      </w:r>
      <w:r w:rsidRPr="0004788F">
        <w:rPr>
          <w:rFonts w:ascii="Times New Roman" w:hAnsi="Times New Roman" w:cs="Times New Roman"/>
          <w:sz w:val="24"/>
          <w:szCs w:val="24"/>
        </w:rPr>
        <w:t xml:space="preserve"> sectors are explored. The concepts of ring-fencing</w:t>
      </w:r>
      <w:r w:rsidR="00614C42">
        <w:rPr>
          <w:rFonts w:ascii="Times New Roman" w:hAnsi="Times New Roman" w:cs="Times New Roman"/>
          <w:sz w:val="24"/>
          <w:szCs w:val="24"/>
        </w:rPr>
        <w:t xml:space="preserve"> </w:t>
      </w:r>
      <w:r w:rsidRPr="0004788F">
        <w:rPr>
          <w:rFonts w:ascii="Times New Roman" w:hAnsi="Times New Roman" w:cs="Times New Roman"/>
          <w:sz w:val="24"/>
          <w:szCs w:val="24"/>
        </w:rPr>
        <w:t xml:space="preserve">and structural separation as conceptual tools that could enhance depositor protection on banking and corporate insolvency the SSA </w:t>
      </w:r>
      <w:r w:rsidR="00E748A0">
        <w:rPr>
          <w:rFonts w:ascii="Times New Roman" w:hAnsi="Times New Roman" w:cs="Times New Roman"/>
          <w:sz w:val="24"/>
          <w:szCs w:val="24"/>
        </w:rPr>
        <w:t>d</w:t>
      </w:r>
      <w:r w:rsidRPr="0004788F">
        <w:rPr>
          <w:rFonts w:ascii="Times New Roman" w:hAnsi="Times New Roman" w:cs="Times New Roman"/>
          <w:sz w:val="24"/>
          <w:szCs w:val="24"/>
        </w:rPr>
        <w:t xml:space="preserve">eveloping </w:t>
      </w:r>
      <w:r w:rsidR="00E748A0">
        <w:rPr>
          <w:rFonts w:ascii="Times New Roman" w:hAnsi="Times New Roman" w:cs="Times New Roman"/>
          <w:sz w:val="24"/>
          <w:szCs w:val="24"/>
        </w:rPr>
        <w:t>e</w:t>
      </w:r>
      <w:r w:rsidRPr="0004788F">
        <w:rPr>
          <w:rFonts w:ascii="Times New Roman" w:hAnsi="Times New Roman" w:cs="Times New Roman"/>
          <w:sz w:val="24"/>
          <w:szCs w:val="24"/>
        </w:rPr>
        <w:t xml:space="preserve">conomies are examined. </w:t>
      </w:r>
    </w:p>
    <w:p w:rsidR="00E748A0" w:rsidRDefault="00E748A0" w:rsidP="0004788F">
      <w:pPr>
        <w:spacing w:line="360" w:lineRule="auto"/>
        <w:jc w:val="both"/>
        <w:rPr>
          <w:rFonts w:ascii="Times New Roman" w:hAnsi="Times New Roman" w:cs="Times New Roman"/>
          <w:b/>
          <w:sz w:val="24"/>
          <w:szCs w:val="24"/>
        </w:rPr>
      </w:pPr>
    </w:p>
    <w:p w:rsidR="00E748A0" w:rsidRDefault="00E748A0" w:rsidP="0004788F">
      <w:pPr>
        <w:spacing w:line="360" w:lineRule="auto"/>
        <w:jc w:val="both"/>
        <w:rPr>
          <w:rFonts w:ascii="Times New Roman" w:hAnsi="Times New Roman" w:cs="Times New Roman"/>
          <w:b/>
          <w:sz w:val="24"/>
          <w:szCs w:val="24"/>
        </w:rPr>
      </w:pPr>
    </w:p>
    <w:p w:rsidR="00340676" w:rsidRDefault="00780B7E" w:rsidP="0004788F">
      <w:pPr>
        <w:spacing w:line="360" w:lineRule="auto"/>
        <w:jc w:val="both"/>
        <w:rPr>
          <w:rFonts w:ascii="Times New Roman" w:hAnsi="Times New Roman" w:cs="Times New Roman"/>
          <w:b/>
          <w:sz w:val="24"/>
          <w:szCs w:val="24"/>
        </w:rPr>
      </w:pPr>
      <w:r w:rsidRPr="0004788F">
        <w:rPr>
          <w:rFonts w:ascii="Times New Roman" w:hAnsi="Times New Roman" w:cs="Times New Roman"/>
          <w:b/>
          <w:sz w:val="24"/>
          <w:szCs w:val="24"/>
        </w:rPr>
        <w:lastRenderedPageBreak/>
        <w:t>The concept of deposit protection /deposit guarantee– a general overview</w:t>
      </w:r>
    </w:p>
    <w:p w:rsidR="00780B7E" w:rsidRPr="0004788F" w:rsidRDefault="00780B7E" w:rsidP="0004788F">
      <w:pPr>
        <w:spacing w:line="360" w:lineRule="auto"/>
        <w:jc w:val="both"/>
        <w:rPr>
          <w:rFonts w:ascii="Times New Roman" w:hAnsi="Times New Roman" w:cs="Times New Roman"/>
          <w:b/>
          <w:sz w:val="24"/>
          <w:szCs w:val="24"/>
        </w:rPr>
      </w:pPr>
      <w:r w:rsidRPr="0004788F">
        <w:rPr>
          <w:rFonts w:ascii="Times New Roman" w:hAnsi="Times New Roman" w:cs="Times New Roman"/>
          <w:sz w:val="24"/>
          <w:szCs w:val="24"/>
        </w:rPr>
        <w:t>T</w:t>
      </w:r>
      <w:r w:rsidR="002F434A">
        <w:rPr>
          <w:rFonts w:ascii="Times New Roman" w:hAnsi="Times New Roman" w:cs="Times New Roman"/>
          <w:sz w:val="24"/>
          <w:szCs w:val="24"/>
        </w:rPr>
        <w:t>he concept of deposit insurance</w:t>
      </w:r>
      <w:r w:rsidR="00E748A0">
        <w:rPr>
          <w:rFonts w:ascii="Times New Roman" w:hAnsi="Times New Roman" w:cs="Times New Roman"/>
          <w:sz w:val="24"/>
          <w:szCs w:val="24"/>
        </w:rPr>
        <w:t>/</w:t>
      </w:r>
      <w:r w:rsidRPr="0004788F">
        <w:rPr>
          <w:rFonts w:ascii="Times New Roman" w:hAnsi="Times New Roman" w:cs="Times New Roman"/>
          <w:sz w:val="24"/>
          <w:szCs w:val="24"/>
        </w:rPr>
        <w:t xml:space="preserve">deposit </w:t>
      </w:r>
      <w:r w:rsidRPr="00FE7C73">
        <w:rPr>
          <w:rFonts w:ascii="Times New Roman" w:hAnsi="Times New Roman" w:cs="Times New Roman"/>
          <w:sz w:val="24"/>
          <w:szCs w:val="24"/>
        </w:rPr>
        <w:t xml:space="preserve">guarantee can be traced to the United States of America </w:t>
      </w:r>
      <w:r w:rsidR="00FE7C73" w:rsidRPr="00FE7C73">
        <w:rPr>
          <w:rFonts w:ascii="Times New Roman" w:hAnsi="Times New Roman" w:cs="Times New Roman"/>
          <w:sz w:val="24"/>
          <w:szCs w:val="24"/>
        </w:rPr>
        <w:t>(</w:t>
      </w:r>
      <w:r w:rsidRPr="00FE7C73">
        <w:rPr>
          <w:rFonts w:ascii="Times New Roman" w:hAnsi="Times New Roman" w:cs="Times New Roman"/>
          <w:sz w:val="24"/>
          <w:szCs w:val="24"/>
        </w:rPr>
        <w:t>USA</w:t>
      </w:r>
      <w:r w:rsidR="00FE7C73" w:rsidRPr="00FE7C73">
        <w:rPr>
          <w:rFonts w:ascii="Times New Roman" w:hAnsi="Times New Roman" w:cs="Times New Roman"/>
          <w:sz w:val="24"/>
          <w:szCs w:val="24"/>
        </w:rPr>
        <w:t>)</w:t>
      </w:r>
      <w:r w:rsidRPr="00FE7C73">
        <w:rPr>
          <w:rFonts w:ascii="Times New Roman" w:hAnsi="Times New Roman" w:cs="Times New Roman"/>
          <w:sz w:val="24"/>
          <w:szCs w:val="24"/>
        </w:rPr>
        <w:t xml:space="preserve"> fr</w:t>
      </w:r>
      <w:r w:rsidRPr="0004788F">
        <w:rPr>
          <w:rFonts w:ascii="Times New Roman" w:hAnsi="Times New Roman" w:cs="Times New Roman"/>
          <w:sz w:val="24"/>
          <w:szCs w:val="24"/>
        </w:rPr>
        <w:t>om as early as 1829.</w:t>
      </w:r>
      <w:r w:rsidRPr="0004788F">
        <w:rPr>
          <w:rStyle w:val="FootnoteReference"/>
          <w:rFonts w:ascii="Times New Roman" w:hAnsi="Times New Roman" w:cs="Times New Roman"/>
          <w:sz w:val="24"/>
          <w:szCs w:val="24"/>
        </w:rPr>
        <w:footnoteReference w:id="18"/>
      </w:r>
      <w:r w:rsidRPr="0004788F">
        <w:rPr>
          <w:rFonts w:ascii="Times New Roman" w:hAnsi="Times New Roman" w:cs="Times New Roman"/>
          <w:sz w:val="24"/>
          <w:szCs w:val="24"/>
        </w:rPr>
        <w:t xml:space="preserve"> However, the key </w:t>
      </w:r>
      <w:r w:rsidR="004A2950" w:rsidRPr="004A2950">
        <w:rPr>
          <w:rFonts w:ascii="Times New Roman" w:hAnsi="Times New Roman" w:cs="Times New Roman"/>
          <w:sz w:val="24"/>
          <w:szCs w:val="24"/>
        </w:rPr>
        <w:t>events</w:t>
      </w:r>
      <w:r w:rsidRPr="004A2950">
        <w:rPr>
          <w:rFonts w:ascii="Times New Roman" w:hAnsi="Times New Roman" w:cs="Times New Roman"/>
          <w:sz w:val="24"/>
          <w:szCs w:val="24"/>
        </w:rPr>
        <w:t xml:space="preserve"> in </w:t>
      </w:r>
      <w:r w:rsidRPr="0004788F">
        <w:rPr>
          <w:rFonts w:ascii="Times New Roman" w:hAnsi="Times New Roman" w:cs="Times New Roman"/>
          <w:sz w:val="24"/>
          <w:szCs w:val="24"/>
        </w:rPr>
        <w:t>the rapid development of deposit insurance/guarantee in the USA were the impact of the 1929 Wall Street crash and the aftermath of the cessation of banking operations across the USA on 3 March 1933 that led to failures of over 9,000 banks</w:t>
      </w:r>
      <w:r w:rsidR="00C926C9" w:rsidRPr="0004788F">
        <w:rPr>
          <w:rFonts w:ascii="Times New Roman" w:hAnsi="Times New Roman" w:cs="Times New Roman"/>
          <w:sz w:val="24"/>
          <w:szCs w:val="24"/>
        </w:rPr>
        <w:t>. This</w:t>
      </w:r>
      <w:r w:rsidRPr="0004788F">
        <w:rPr>
          <w:rFonts w:ascii="Times New Roman" w:hAnsi="Times New Roman" w:cs="Times New Roman"/>
          <w:sz w:val="24"/>
          <w:szCs w:val="24"/>
        </w:rPr>
        <w:t xml:space="preserve"> left the </w:t>
      </w:r>
      <w:r w:rsidR="002F434A">
        <w:rPr>
          <w:rFonts w:ascii="Times New Roman" w:hAnsi="Times New Roman" w:cs="Times New Roman"/>
          <w:sz w:val="24"/>
          <w:szCs w:val="24"/>
        </w:rPr>
        <w:t>USA</w:t>
      </w:r>
      <w:r w:rsidR="006B0E1E">
        <w:rPr>
          <w:rFonts w:ascii="Times New Roman" w:hAnsi="Times New Roman" w:cs="Times New Roman"/>
          <w:sz w:val="24"/>
          <w:szCs w:val="24"/>
        </w:rPr>
        <w:t>’s</w:t>
      </w:r>
      <w:r w:rsidR="002F434A">
        <w:rPr>
          <w:rFonts w:ascii="Times New Roman" w:hAnsi="Times New Roman" w:cs="Times New Roman"/>
          <w:sz w:val="24"/>
          <w:szCs w:val="24"/>
        </w:rPr>
        <w:t xml:space="preserve"> </w:t>
      </w:r>
      <w:r w:rsidRPr="0004788F">
        <w:rPr>
          <w:rFonts w:ascii="Times New Roman" w:hAnsi="Times New Roman" w:cs="Times New Roman"/>
          <w:sz w:val="24"/>
          <w:szCs w:val="24"/>
        </w:rPr>
        <w:t>financial system on the verge of collapse.</w:t>
      </w:r>
      <w:r w:rsidRPr="0004788F">
        <w:rPr>
          <w:rStyle w:val="FootnoteReference"/>
          <w:rFonts w:ascii="Times New Roman" w:hAnsi="Times New Roman" w:cs="Times New Roman"/>
          <w:sz w:val="24"/>
          <w:szCs w:val="24"/>
        </w:rPr>
        <w:footnoteReference w:id="19"/>
      </w:r>
    </w:p>
    <w:p w:rsidR="00780B7E" w:rsidRPr="0004788F" w:rsidRDefault="00C926C9"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The knock-on effect of the bank failures</w:t>
      </w:r>
      <w:r w:rsidR="00780B7E" w:rsidRPr="0004788F">
        <w:rPr>
          <w:rFonts w:ascii="Times New Roman" w:hAnsi="Times New Roman" w:cs="Times New Roman"/>
          <w:sz w:val="24"/>
          <w:szCs w:val="24"/>
        </w:rPr>
        <w:t xml:space="preserve"> and the eminent collapse of the financial system prompted Congressional legislative intervention that led to the enactment of the Banking Act of 1933.</w:t>
      </w:r>
      <w:r w:rsidR="00780B7E" w:rsidRPr="0004788F">
        <w:rPr>
          <w:rStyle w:val="FootnoteReference"/>
          <w:rFonts w:ascii="Times New Roman" w:hAnsi="Times New Roman" w:cs="Times New Roman"/>
          <w:sz w:val="24"/>
          <w:szCs w:val="24"/>
        </w:rPr>
        <w:footnoteReference w:id="20"/>
      </w:r>
      <w:r w:rsidR="00780B7E" w:rsidRPr="0004788F">
        <w:rPr>
          <w:rFonts w:ascii="Times New Roman" w:hAnsi="Times New Roman" w:cs="Times New Roman"/>
          <w:sz w:val="24"/>
          <w:szCs w:val="24"/>
        </w:rPr>
        <w:t xml:space="preserve"> The 1993Act provided for the establishment of the Federal Deposit Insurance </w:t>
      </w:r>
      <w:r w:rsidR="00780B7E" w:rsidRPr="00FE7C73">
        <w:rPr>
          <w:rFonts w:ascii="Times New Roman" w:hAnsi="Times New Roman" w:cs="Times New Roman"/>
          <w:sz w:val="24"/>
          <w:szCs w:val="24"/>
        </w:rPr>
        <w:t xml:space="preserve">Corporation </w:t>
      </w:r>
      <w:r w:rsidR="00FE7C73" w:rsidRPr="00FE7C73">
        <w:rPr>
          <w:rFonts w:ascii="Times New Roman" w:hAnsi="Times New Roman" w:cs="Times New Roman"/>
          <w:sz w:val="24"/>
          <w:szCs w:val="24"/>
        </w:rPr>
        <w:t>(</w:t>
      </w:r>
      <w:r w:rsidR="00780B7E" w:rsidRPr="00FE7C73">
        <w:rPr>
          <w:rFonts w:ascii="Times New Roman" w:hAnsi="Times New Roman" w:cs="Times New Roman"/>
          <w:sz w:val="24"/>
          <w:szCs w:val="24"/>
        </w:rPr>
        <w:t>FDIC</w:t>
      </w:r>
      <w:r w:rsidR="00FE7C73" w:rsidRPr="00FE7C73">
        <w:rPr>
          <w:rFonts w:ascii="Times New Roman" w:hAnsi="Times New Roman" w:cs="Times New Roman"/>
          <w:sz w:val="24"/>
          <w:szCs w:val="24"/>
        </w:rPr>
        <w:t>)</w:t>
      </w:r>
      <w:r w:rsidR="00780B7E" w:rsidRPr="00FE7C73">
        <w:rPr>
          <w:rStyle w:val="FootnoteReference"/>
          <w:rFonts w:ascii="Times New Roman" w:hAnsi="Times New Roman" w:cs="Times New Roman"/>
          <w:sz w:val="24"/>
          <w:szCs w:val="24"/>
        </w:rPr>
        <w:footnoteReference w:id="21"/>
      </w:r>
      <w:r w:rsidR="00780B7E" w:rsidRPr="00FE7C73">
        <w:rPr>
          <w:rFonts w:ascii="Times New Roman" w:hAnsi="Times New Roman" w:cs="Times New Roman"/>
          <w:sz w:val="24"/>
          <w:szCs w:val="24"/>
        </w:rPr>
        <w:t xml:space="preserve"> </w:t>
      </w:r>
      <w:r w:rsidR="00780B7E" w:rsidRPr="0004788F">
        <w:rPr>
          <w:rFonts w:ascii="Times New Roman" w:hAnsi="Times New Roman" w:cs="Times New Roman"/>
          <w:sz w:val="24"/>
          <w:szCs w:val="24"/>
        </w:rPr>
        <w:t>and the federal system for the protection of deposits. These initiatives ensured that all deposit-taking banks were subject to assessment an</w:t>
      </w:r>
      <w:r w:rsidRPr="0004788F">
        <w:rPr>
          <w:rFonts w:ascii="Times New Roman" w:hAnsi="Times New Roman" w:cs="Times New Roman"/>
          <w:sz w:val="24"/>
          <w:szCs w:val="24"/>
        </w:rPr>
        <w:t xml:space="preserve">d supervision by the FDIC. </w:t>
      </w:r>
      <w:r w:rsidR="00651F39">
        <w:rPr>
          <w:rFonts w:ascii="Times New Roman" w:hAnsi="Times New Roman" w:cs="Times New Roman"/>
          <w:sz w:val="24"/>
          <w:szCs w:val="24"/>
        </w:rPr>
        <w:t>B</w:t>
      </w:r>
      <w:r w:rsidR="00780B7E" w:rsidRPr="0004788F">
        <w:rPr>
          <w:rFonts w:ascii="Times New Roman" w:hAnsi="Times New Roman" w:cs="Times New Roman"/>
          <w:sz w:val="24"/>
          <w:szCs w:val="24"/>
        </w:rPr>
        <w:t>anks were also required to pay half their assessment to the FDIC with the rest due upon request. As a result, customer deposits were protected up to USD 2,500.</w:t>
      </w:r>
      <w:r w:rsidR="00780B7E" w:rsidRPr="0004788F">
        <w:rPr>
          <w:rStyle w:val="FootnoteReference"/>
          <w:rFonts w:ascii="Times New Roman" w:hAnsi="Times New Roman" w:cs="Times New Roman"/>
          <w:sz w:val="24"/>
          <w:szCs w:val="24"/>
        </w:rPr>
        <w:footnoteReference w:id="22"/>
      </w:r>
    </w:p>
    <w:p w:rsidR="00780B7E" w:rsidRPr="0004788F" w:rsidRDefault="00780B7E"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Since the 1990s, the amount of deposit protected has evolved/increased as mandated in federal legislation and is subject to statutory limits. For example, as of </w:t>
      </w:r>
      <w:r w:rsidR="00E748A0">
        <w:rPr>
          <w:rFonts w:ascii="Times New Roman" w:hAnsi="Times New Roman" w:cs="Times New Roman"/>
          <w:sz w:val="24"/>
          <w:szCs w:val="24"/>
        </w:rPr>
        <w:t xml:space="preserve">31 </w:t>
      </w:r>
      <w:r w:rsidR="000C2857">
        <w:rPr>
          <w:rFonts w:ascii="Times New Roman" w:hAnsi="Times New Roman" w:cs="Times New Roman"/>
          <w:sz w:val="24"/>
          <w:szCs w:val="24"/>
        </w:rPr>
        <w:t>August</w:t>
      </w:r>
      <w:r w:rsidRPr="0004788F">
        <w:rPr>
          <w:rFonts w:ascii="Times New Roman" w:hAnsi="Times New Roman" w:cs="Times New Roman"/>
          <w:sz w:val="24"/>
          <w:szCs w:val="24"/>
        </w:rPr>
        <w:t xml:space="preserve"> 202</w:t>
      </w:r>
      <w:r w:rsidR="000C2857">
        <w:rPr>
          <w:rFonts w:ascii="Times New Roman" w:hAnsi="Times New Roman" w:cs="Times New Roman"/>
          <w:sz w:val="24"/>
          <w:szCs w:val="24"/>
        </w:rPr>
        <w:t>2</w:t>
      </w:r>
      <w:r w:rsidRPr="0004788F">
        <w:rPr>
          <w:rFonts w:ascii="Times New Roman" w:hAnsi="Times New Roman" w:cs="Times New Roman"/>
          <w:sz w:val="24"/>
          <w:szCs w:val="24"/>
        </w:rPr>
        <w:t>, the FDIC guarantee</w:t>
      </w:r>
      <w:r w:rsidR="004A2950">
        <w:rPr>
          <w:rFonts w:ascii="Times New Roman" w:hAnsi="Times New Roman" w:cs="Times New Roman"/>
          <w:sz w:val="24"/>
          <w:szCs w:val="24"/>
        </w:rPr>
        <w:t>s</w:t>
      </w:r>
      <w:r w:rsidRPr="0004788F">
        <w:rPr>
          <w:rFonts w:ascii="Times New Roman" w:hAnsi="Times New Roman" w:cs="Times New Roman"/>
          <w:sz w:val="24"/>
          <w:szCs w:val="24"/>
        </w:rPr>
        <w:t xml:space="preserve"> deposits of up to $250,000 per person, per bank, courtesy of the </w:t>
      </w:r>
      <w:r w:rsidRPr="000C2857">
        <w:rPr>
          <w:rFonts w:ascii="Times New Roman" w:hAnsi="Times New Roman" w:cs="Times New Roman"/>
          <w:bCs/>
          <w:sz w:val="24"/>
          <w:szCs w:val="24"/>
        </w:rPr>
        <w:t>Dodd–Frank Wall Street Reform and Consumer Protection Act</w:t>
      </w:r>
      <w:r w:rsidR="006B0E1E" w:rsidRPr="000C2857">
        <w:rPr>
          <w:rFonts w:ascii="Times New Roman" w:hAnsi="Times New Roman" w:cs="Times New Roman"/>
          <w:bCs/>
          <w:sz w:val="24"/>
          <w:szCs w:val="24"/>
        </w:rPr>
        <w:t xml:space="preserve"> 2010.</w:t>
      </w:r>
      <w:r w:rsidR="006B0E1E" w:rsidRPr="000C2857">
        <w:rPr>
          <w:rStyle w:val="FootnoteReference"/>
          <w:rFonts w:ascii="Times New Roman" w:hAnsi="Times New Roman" w:cs="Times New Roman"/>
          <w:bCs/>
          <w:sz w:val="24"/>
          <w:szCs w:val="24"/>
        </w:rPr>
        <w:footnoteReference w:id="23"/>
      </w:r>
      <w:r w:rsidRPr="000C2857">
        <w:rPr>
          <w:rFonts w:ascii="Times New Roman" w:hAnsi="Times New Roman" w:cs="Times New Roman"/>
          <w:sz w:val="24"/>
          <w:szCs w:val="24"/>
        </w:rPr>
        <w:t xml:space="preserve"> </w:t>
      </w:r>
      <w:r w:rsidRPr="0004788F">
        <w:rPr>
          <w:rFonts w:ascii="Times New Roman" w:hAnsi="Times New Roman" w:cs="Times New Roman"/>
          <w:sz w:val="24"/>
          <w:szCs w:val="24"/>
        </w:rPr>
        <w:t>The introduction of the deposit insurance system was therefore, heralded for restoring confidence not only in the banks and financial system at large, but also, in customers who felt confident that their deposits in an insured bank were safe, even when that bank experienced financial difficulties.</w:t>
      </w:r>
    </w:p>
    <w:p w:rsidR="00780B7E" w:rsidRPr="0004788F" w:rsidRDefault="00780B7E"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lastRenderedPageBreak/>
        <w:t>By the late 19</w:t>
      </w:r>
      <w:r w:rsidRPr="0004788F">
        <w:rPr>
          <w:rFonts w:ascii="Times New Roman" w:hAnsi="Times New Roman" w:cs="Times New Roman"/>
          <w:sz w:val="24"/>
          <w:szCs w:val="24"/>
          <w:vertAlign w:val="superscript"/>
        </w:rPr>
        <w:t>th</w:t>
      </w:r>
      <w:r w:rsidRPr="0004788F">
        <w:rPr>
          <w:rFonts w:ascii="Times New Roman" w:hAnsi="Times New Roman" w:cs="Times New Roman"/>
          <w:sz w:val="24"/>
          <w:szCs w:val="24"/>
        </w:rPr>
        <w:t xml:space="preserve"> century, this ideology/concept, of depositor protection, was adopted by several sovereign states worldwide including </w:t>
      </w:r>
      <w:r w:rsidR="001615BC">
        <w:rPr>
          <w:rFonts w:ascii="Times New Roman" w:hAnsi="Times New Roman" w:cs="Times New Roman"/>
          <w:sz w:val="24"/>
          <w:szCs w:val="24"/>
        </w:rPr>
        <w:t xml:space="preserve">in </w:t>
      </w:r>
      <w:r w:rsidRPr="0004788F">
        <w:rPr>
          <w:rFonts w:ascii="Times New Roman" w:hAnsi="Times New Roman" w:cs="Times New Roman"/>
          <w:sz w:val="24"/>
          <w:szCs w:val="24"/>
        </w:rPr>
        <w:t>Europe</w:t>
      </w:r>
      <w:r w:rsidR="001615BC">
        <w:rPr>
          <w:rFonts w:ascii="Times New Roman" w:hAnsi="Times New Roman" w:cs="Times New Roman"/>
          <w:sz w:val="24"/>
          <w:szCs w:val="24"/>
        </w:rPr>
        <w:t>,</w:t>
      </w:r>
      <w:r w:rsidRPr="0004788F">
        <w:rPr>
          <w:rStyle w:val="FootnoteReference"/>
          <w:rFonts w:ascii="Times New Roman" w:hAnsi="Times New Roman" w:cs="Times New Roman"/>
          <w:sz w:val="24"/>
          <w:szCs w:val="24"/>
        </w:rPr>
        <w:footnoteReference w:id="24"/>
      </w:r>
      <w:r w:rsidRPr="0004788F">
        <w:rPr>
          <w:rFonts w:ascii="Times New Roman" w:hAnsi="Times New Roman" w:cs="Times New Roman"/>
          <w:sz w:val="24"/>
          <w:szCs w:val="24"/>
        </w:rPr>
        <w:t xml:space="preserve"> and in some African countries. On the African continent, by the turn of the millennium, several countries had adopted deposit protection measures, including Nigeria in 1988, Kenya in 1988, Tanzania and Uganda in 1994,</w:t>
      </w:r>
      <w:r w:rsidR="00D92D32">
        <w:rPr>
          <w:rFonts w:ascii="Times New Roman" w:hAnsi="Times New Roman" w:cs="Times New Roman"/>
          <w:sz w:val="24"/>
          <w:szCs w:val="24"/>
        </w:rPr>
        <w:t xml:space="preserve"> </w:t>
      </w:r>
      <w:r w:rsidRPr="0004788F">
        <w:rPr>
          <w:rFonts w:ascii="Times New Roman" w:hAnsi="Times New Roman" w:cs="Times New Roman"/>
          <w:sz w:val="24"/>
          <w:szCs w:val="24"/>
        </w:rPr>
        <w:t>and Zimbabwe in 2003 among other countries.</w:t>
      </w:r>
      <w:r w:rsidRPr="0004788F">
        <w:rPr>
          <w:rStyle w:val="FootnoteReference"/>
          <w:rFonts w:ascii="Times New Roman" w:hAnsi="Times New Roman" w:cs="Times New Roman"/>
          <w:sz w:val="24"/>
          <w:szCs w:val="24"/>
        </w:rPr>
        <w:footnoteReference w:id="25"/>
      </w:r>
    </w:p>
    <w:p w:rsidR="00780B7E" w:rsidRPr="001615BC" w:rsidRDefault="001615BC" w:rsidP="0004788F">
      <w:pPr>
        <w:spacing w:line="360" w:lineRule="auto"/>
        <w:jc w:val="both"/>
        <w:rPr>
          <w:rFonts w:ascii="Times New Roman" w:hAnsi="Times New Roman" w:cs="Times New Roman"/>
          <w:b/>
          <w:sz w:val="24"/>
          <w:szCs w:val="24"/>
        </w:rPr>
      </w:pPr>
      <w:r w:rsidRPr="001615BC">
        <w:rPr>
          <w:rFonts w:ascii="Times New Roman" w:hAnsi="Times New Roman" w:cs="Times New Roman"/>
          <w:b/>
          <w:sz w:val="24"/>
          <w:szCs w:val="24"/>
        </w:rPr>
        <w:t xml:space="preserve">The role </w:t>
      </w:r>
      <w:r w:rsidR="00D80DCD" w:rsidRPr="001615BC">
        <w:rPr>
          <w:rFonts w:ascii="Times New Roman" w:hAnsi="Times New Roman" w:cs="Times New Roman"/>
          <w:b/>
          <w:sz w:val="24"/>
          <w:szCs w:val="24"/>
        </w:rPr>
        <w:t>of d</w:t>
      </w:r>
      <w:r w:rsidR="00780B7E" w:rsidRPr="001615BC">
        <w:rPr>
          <w:rFonts w:ascii="Times New Roman" w:hAnsi="Times New Roman" w:cs="Times New Roman"/>
          <w:b/>
          <w:sz w:val="24"/>
          <w:szCs w:val="24"/>
        </w:rPr>
        <w:t>eposit</w:t>
      </w:r>
      <w:r w:rsidRPr="001615BC">
        <w:rPr>
          <w:rFonts w:ascii="Times New Roman" w:hAnsi="Times New Roman" w:cs="Times New Roman"/>
          <w:b/>
          <w:sz w:val="24"/>
          <w:szCs w:val="24"/>
        </w:rPr>
        <w:t xml:space="preserve"> protection/</w:t>
      </w:r>
      <w:r w:rsidR="00780B7E" w:rsidRPr="001615BC">
        <w:rPr>
          <w:rFonts w:ascii="Times New Roman" w:hAnsi="Times New Roman" w:cs="Times New Roman"/>
          <w:b/>
          <w:sz w:val="24"/>
          <w:szCs w:val="24"/>
        </w:rPr>
        <w:t xml:space="preserve">guarantee </w:t>
      </w:r>
    </w:p>
    <w:p w:rsidR="00780B7E" w:rsidRPr="0004788F" w:rsidRDefault="00780B7E"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The role of deposit </w:t>
      </w:r>
      <w:r w:rsidR="001615BC">
        <w:rPr>
          <w:rFonts w:ascii="Times New Roman" w:hAnsi="Times New Roman" w:cs="Times New Roman"/>
          <w:sz w:val="24"/>
          <w:szCs w:val="24"/>
        </w:rPr>
        <w:t>protection</w:t>
      </w:r>
      <w:r w:rsidRPr="0004788F">
        <w:rPr>
          <w:rFonts w:ascii="Times New Roman" w:hAnsi="Times New Roman" w:cs="Times New Roman"/>
          <w:sz w:val="24"/>
          <w:szCs w:val="24"/>
        </w:rPr>
        <w:t xml:space="preserve">/guarantee schemes in enhancing public confidence in the financial system and the overall stability of the financial system was highlighted by the Basel Committee on Banking Supervision </w:t>
      </w:r>
      <w:r w:rsidR="003C0108" w:rsidRPr="003C0108">
        <w:rPr>
          <w:rFonts w:ascii="Times New Roman" w:hAnsi="Times New Roman" w:cs="Times New Roman"/>
          <w:sz w:val="24"/>
          <w:szCs w:val="24"/>
        </w:rPr>
        <w:t>(</w:t>
      </w:r>
      <w:r w:rsidRPr="003C0108">
        <w:rPr>
          <w:rFonts w:ascii="Times New Roman" w:hAnsi="Times New Roman" w:cs="Times New Roman"/>
          <w:sz w:val="24"/>
          <w:szCs w:val="24"/>
        </w:rPr>
        <w:t>BCBS</w:t>
      </w:r>
      <w:r w:rsidR="003C0108" w:rsidRPr="003C0108">
        <w:rPr>
          <w:rFonts w:ascii="Times New Roman" w:hAnsi="Times New Roman" w:cs="Times New Roman"/>
          <w:sz w:val="24"/>
          <w:szCs w:val="24"/>
        </w:rPr>
        <w:t>)</w:t>
      </w:r>
      <w:r w:rsidRPr="003C0108">
        <w:rPr>
          <w:rFonts w:ascii="Times New Roman" w:hAnsi="Times New Roman" w:cs="Times New Roman"/>
          <w:sz w:val="24"/>
          <w:szCs w:val="24"/>
        </w:rPr>
        <w:t xml:space="preserve"> Core Principles for Effective Banking Supervision published in 2006.</w:t>
      </w:r>
      <w:r w:rsidRPr="003C0108">
        <w:rPr>
          <w:rStyle w:val="FootnoteReference"/>
          <w:rFonts w:ascii="Times New Roman" w:hAnsi="Times New Roman" w:cs="Times New Roman"/>
          <w:sz w:val="24"/>
          <w:szCs w:val="24"/>
        </w:rPr>
        <w:footnoteReference w:id="26"/>
      </w:r>
      <w:r w:rsidRPr="003C0108">
        <w:rPr>
          <w:rFonts w:ascii="Times New Roman" w:hAnsi="Times New Roman" w:cs="Times New Roman"/>
          <w:sz w:val="24"/>
          <w:szCs w:val="24"/>
        </w:rPr>
        <w:t xml:space="preserve"> These Core principles were further complemented by the 2008 BCBS and </w:t>
      </w:r>
      <w:r w:rsidR="001615BC" w:rsidRPr="003C0108">
        <w:rPr>
          <w:rFonts w:ascii="Times New Roman" w:hAnsi="Times New Roman" w:cs="Times New Roman"/>
          <w:sz w:val="24"/>
          <w:szCs w:val="24"/>
        </w:rPr>
        <w:t xml:space="preserve">the </w:t>
      </w:r>
      <w:r w:rsidRPr="003C0108">
        <w:rPr>
          <w:rFonts w:ascii="Times New Roman" w:hAnsi="Times New Roman" w:cs="Times New Roman"/>
          <w:sz w:val="24"/>
          <w:szCs w:val="24"/>
        </w:rPr>
        <w:t xml:space="preserve">International Association of Deposit Insurers </w:t>
      </w:r>
      <w:r w:rsidR="003C0108" w:rsidRPr="003C0108">
        <w:rPr>
          <w:rFonts w:ascii="Times New Roman" w:hAnsi="Times New Roman" w:cs="Times New Roman"/>
          <w:sz w:val="24"/>
          <w:szCs w:val="24"/>
        </w:rPr>
        <w:t>(</w:t>
      </w:r>
      <w:r w:rsidRPr="003C0108">
        <w:rPr>
          <w:rFonts w:ascii="Times New Roman" w:hAnsi="Times New Roman" w:cs="Times New Roman"/>
          <w:sz w:val="24"/>
          <w:szCs w:val="24"/>
        </w:rPr>
        <w:t>IADA</w:t>
      </w:r>
      <w:r w:rsidR="003C0108" w:rsidRPr="003C0108">
        <w:rPr>
          <w:rFonts w:ascii="Times New Roman" w:hAnsi="Times New Roman" w:cs="Times New Roman"/>
          <w:sz w:val="24"/>
          <w:szCs w:val="24"/>
        </w:rPr>
        <w:t>)</w:t>
      </w:r>
      <w:r w:rsidRPr="003C0108">
        <w:rPr>
          <w:rFonts w:ascii="Times New Roman" w:hAnsi="Times New Roman" w:cs="Times New Roman"/>
          <w:sz w:val="24"/>
          <w:szCs w:val="24"/>
        </w:rPr>
        <w:t xml:space="preserve"> Core Principles for Effective Deposit Insurance Systems,</w:t>
      </w:r>
      <w:r w:rsidRPr="003C0108">
        <w:rPr>
          <w:rStyle w:val="FootnoteReference"/>
          <w:rFonts w:ascii="Times New Roman" w:hAnsi="Times New Roman" w:cs="Times New Roman"/>
          <w:sz w:val="24"/>
          <w:szCs w:val="24"/>
        </w:rPr>
        <w:footnoteReference w:id="27"/>
      </w:r>
      <w:r w:rsidRPr="003C0108">
        <w:rPr>
          <w:rFonts w:ascii="Times New Roman" w:hAnsi="Times New Roman" w:cs="Times New Roman"/>
          <w:sz w:val="24"/>
          <w:szCs w:val="24"/>
        </w:rPr>
        <w:t xml:space="preserve"> which were drafted as a collaboration between </w:t>
      </w:r>
      <w:r w:rsidRPr="0004788F">
        <w:rPr>
          <w:rFonts w:ascii="Times New Roman" w:hAnsi="Times New Roman" w:cs="Times New Roman"/>
          <w:sz w:val="24"/>
          <w:szCs w:val="24"/>
        </w:rPr>
        <w:t>BCBS and IADA.</w:t>
      </w:r>
      <w:r w:rsidRPr="0004788F">
        <w:rPr>
          <w:rStyle w:val="FootnoteReference"/>
          <w:rFonts w:ascii="Times New Roman" w:hAnsi="Times New Roman" w:cs="Times New Roman"/>
          <w:sz w:val="24"/>
          <w:szCs w:val="24"/>
        </w:rPr>
        <w:footnoteReference w:id="28"/>
      </w:r>
      <w:r w:rsidRPr="0004788F">
        <w:rPr>
          <w:rFonts w:ascii="Times New Roman" w:hAnsi="Times New Roman" w:cs="Times New Roman"/>
          <w:sz w:val="24"/>
          <w:szCs w:val="24"/>
        </w:rPr>
        <w:t xml:space="preserve"> These Core Principles provide approaches for governments and policymakers to adopt in devising/drafting laws and policies on depositor protection as they are reflective of, and design</w:t>
      </w:r>
      <w:r w:rsidR="00F26CF7" w:rsidRPr="0004788F">
        <w:rPr>
          <w:rFonts w:ascii="Times New Roman" w:hAnsi="Times New Roman" w:cs="Times New Roman"/>
          <w:sz w:val="24"/>
          <w:szCs w:val="24"/>
        </w:rPr>
        <w:t>ed to be adaptable to</w:t>
      </w:r>
      <w:r w:rsidRPr="0004788F">
        <w:rPr>
          <w:rFonts w:ascii="Times New Roman" w:hAnsi="Times New Roman" w:cs="Times New Roman"/>
          <w:sz w:val="24"/>
          <w:szCs w:val="24"/>
        </w:rPr>
        <w:t xml:space="preserve"> a broad</w:t>
      </w:r>
      <w:r w:rsidR="00F26CF7" w:rsidRPr="0004788F">
        <w:rPr>
          <w:rFonts w:ascii="Times New Roman" w:hAnsi="Times New Roman" w:cs="Times New Roman"/>
          <w:sz w:val="24"/>
          <w:szCs w:val="24"/>
        </w:rPr>
        <w:t>er</w:t>
      </w:r>
      <w:r w:rsidRPr="0004788F">
        <w:rPr>
          <w:rFonts w:ascii="Times New Roman" w:hAnsi="Times New Roman" w:cs="Times New Roman"/>
          <w:sz w:val="24"/>
          <w:szCs w:val="24"/>
        </w:rPr>
        <w:t xml:space="preserve"> range of country circumstances, settings and structures.</w:t>
      </w:r>
      <w:r w:rsidRPr="0004788F">
        <w:rPr>
          <w:rStyle w:val="FootnoteReference"/>
          <w:rFonts w:ascii="Times New Roman" w:hAnsi="Times New Roman" w:cs="Times New Roman"/>
          <w:sz w:val="24"/>
          <w:szCs w:val="24"/>
        </w:rPr>
        <w:footnoteReference w:id="29"/>
      </w:r>
      <w:r w:rsidRPr="0004788F">
        <w:rPr>
          <w:rFonts w:ascii="Times New Roman" w:hAnsi="Times New Roman" w:cs="Times New Roman"/>
          <w:sz w:val="24"/>
          <w:szCs w:val="24"/>
        </w:rPr>
        <w:t xml:space="preserve"> </w:t>
      </w:r>
    </w:p>
    <w:p w:rsidR="00042A7D" w:rsidRDefault="00780B7E"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The key advantage of deposit guarantee</w:t>
      </w:r>
      <w:r w:rsidR="004D0EB9">
        <w:rPr>
          <w:rFonts w:ascii="Times New Roman" w:hAnsi="Times New Roman" w:cs="Times New Roman"/>
          <w:sz w:val="24"/>
          <w:szCs w:val="24"/>
        </w:rPr>
        <w:t>/</w:t>
      </w:r>
      <w:r w:rsidRPr="0004788F">
        <w:rPr>
          <w:rFonts w:ascii="Times New Roman" w:hAnsi="Times New Roman" w:cs="Times New Roman"/>
          <w:sz w:val="24"/>
          <w:szCs w:val="24"/>
        </w:rPr>
        <w:t>deposit insurance schemes is that if implemented efficiently within the banking system, they boost confidence in the financial system as a whole</w:t>
      </w:r>
      <w:r w:rsidR="004D0EB9">
        <w:rPr>
          <w:rFonts w:ascii="Times New Roman" w:hAnsi="Times New Roman" w:cs="Times New Roman"/>
          <w:sz w:val="24"/>
          <w:szCs w:val="24"/>
        </w:rPr>
        <w:t>.</w:t>
      </w:r>
      <w:r w:rsidRPr="0004788F">
        <w:rPr>
          <w:rFonts w:ascii="Times New Roman" w:hAnsi="Times New Roman" w:cs="Times New Roman"/>
          <w:sz w:val="24"/>
          <w:szCs w:val="24"/>
        </w:rPr>
        <w:t xml:space="preserve"> </w:t>
      </w:r>
      <w:r w:rsidR="004D0EB9">
        <w:rPr>
          <w:rFonts w:ascii="Times New Roman" w:hAnsi="Times New Roman" w:cs="Times New Roman"/>
          <w:sz w:val="24"/>
          <w:szCs w:val="24"/>
        </w:rPr>
        <w:t>D</w:t>
      </w:r>
      <w:r w:rsidRPr="0004788F">
        <w:rPr>
          <w:rFonts w:ascii="Times New Roman" w:hAnsi="Times New Roman" w:cs="Times New Roman"/>
          <w:sz w:val="24"/>
          <w:szCs w:val="24"/>
        </w:rPr>
        <w:t xml:space="preserve">epositors are assured that their deposits are protected to a certain limit even where the receiving bank/financial institution experiences financial difficulties, or eventual liquidation proceedings. </w:t>
      </w:r>
      <w:r w:rsidR="006C1951">
        <w:rPr>
          <w:rFonts w:ascii="Times New Roman" w:hAnsi="Times New Roman" w:cs="Times New Roman"/>
          <w:sz w:val="24"/>
          <w:szCs w:val="24"/>
        </w:rPr>
        <w:t xml:space="preserve">This is because, it is common practice </w:t>
      </w:r>
      <w:r w:rsidRPr="0004788F">
        <w:rPr>
          <w:rFonts w:ascii="Times New Roman" w:hAnsi="Times New Roman" w:cs="Times New Roman"/>
          <w:sz w:val="24"/>
          <w:szCs w:val="24"/>
        </w:rPr>
        <w:t>during insolvency/liquidation proceedings</w:t>
      </w:r>
      <w:r w:rsidR="00042A7D">
        <w:rPr>
          <w:rFonts w:ascii="Times New Roman" w:hAnsi="Times New Roman" w:cs="Times New Roman"/>
          <w:sz w:val="24"/>
          <w:szCs w:val="24"/>
        </w:rPr>
        <w:t xml:space="preserve"> that</w:t>
      </w:r>
      <w:r w:rsidRPr="0004788F">
        <w:rPr>
          <w:rFonts w:ascii="Times New Roman" w:hAnsi="Times New Roman" w:cs="Times New Roman"/>
          <w:sz w:val="24"/>
          <w:szCs w:val="24"/>
        </w:rPr>
        <w:t xml:space="preserve"> once the protected deposit limit under the deposit guarantee schemes is reached,</w:t>
      </w:r>
      <w:r w:rsidRPr="0004788F">
        <w:rPr>
          <w:rFonts w:ascii="Times New Roman" w:hAnsi="Times New Roman" w:cs="Times New Roman"/>
          <w:color w:val="FF0000"/>
          <w:sz w:val="24"/>
          <w:szCs w:val="24"/>
        </w:rPr>
        <w:t xml:space="preserve"> </w:t>
      </w:r>
      <w:r w:rsidRPr="0004788F">
        <w:rPr>
          <w:rFonts w:ascii="Times New Roman" w:hAnsi="Times New Roman" w:cs="Times New Roman"/>
          <w:sz w:val="24"/>
          <w:szCs w:val="24"/>
        </w:rPr>
        <w:t xml:space="preserve">surplus </w:t>
      </w:r>
      <w:r w:rsidRPr="0004788F">
        <w:rPr>
          <w:rFonts w:ascii="Times New Roman" w:hAnsi="Times New Roman" w:cs="Times New Roman"/>
          <w:sz w:val="24"/>
          <w:szCs w:val="24"/>
        </w:rPr>
        <w:lastRenderedPageBreak/>
        <w:t xml:space="preserve">deposits in customer accounts </w:t>
      </w:r>
      <w:r w:rsidRPr="00184FB1">
        <w:rPr>
          <w:rFonts w:ascii="Times New Roman" w:hAnsi="Times New Roman" w:cs="Times New Roman"/>
          <w:sz w:val="24"/>
          <w:szCs w:val="24"/>
        </w:rPr>
        <w:t xml:space="preserve">are </w:t>
      </w:r>
      <w:r w:rsidR="00184FB1" w:rsidRPr="00184FB1">
        <w:rPr>
          <w:rFonts w:ascii="Times New Roman" w:hAnsi="Times New Roman" w:cs="Times New Roman"/>
          <w:sz w:val="24"/>
          <w:szCs w:val="24"/>
        </w:rPr>
        <w:t>“</w:t>
      </w:r>
      <w:r w:rsidRPr="00184FB1">
        <w:rPr>
          <w:rFonts w:ascii="Times New Roman" w:hAnsi="Times New Roman" w:cs="Times New Roman"/>
          <w:sz w:val="24"/>
          <w:szCs w:val="24"/>
        </w:rPr>
        <w:t>pooled</w:t>
      </w:r>
      <w:r w:rsidR="00184FB1" w:rsidRPr="00184FB1">
        <w:rPr>
          <w:rFonts w:ascii="Times New Roman" w:hAnsi="Times New Roman" w:cs="Times New Roman"/>
          <w:sz w:val="24"/>
          <w:szCs w:val="24"/>
        </w:rPr>
        <w:t>”</w:t>
      </w:r>
      <w:r w:rsidRPr="00184FB1">
        <w:rPr>
          <w:rFonts w:ascii="Times New Roman" w:hAnsi="Times New Roman" w:cs="Times New Roman"/>
          <w:sz w:val="24"/>
          <w:szCs w:val="24"/>
        </w:rPr>
        <w:t xml:space="preserve"> </w:t>
      </w:r>
      <w:r w:rsidRPr="0004788F">
        <w:rPr>
          <w:rFonts w:ascii="Times New Roman" w:hAnsi="Times New Roman" w:cs="Times New Roman"/>
          <w:sz w:val="24"/>
          <w:szCs w:val="24"/>
        </w:rPr>
        <w:t>into available funds for the liquidator/receiver to meet</w:t>
      </w:r>
      <w:r w:rsidR="008C5847" w:rsidRPr="0004788F">
        <w:rPr>
          <w:rFonts w:ascii="Times New Roman" w:hAnsi="Times New Roman" w:cs="Times New Roman"/>
          <w:sz w:val="24"/>
          <w:szCs w:val="24"/>
        </w:rPr>
        <w:t xml:space="preserve"> other creditor interests/debts.</w:t>
      </w:r>
      <w:r w:rsidR="003C0108">
        <w:rPr>
          <w:rStyle w:val="FootnoteReference"/>
          <w:rFonts w:ascii="Times New Roman" w:hAnsi="Times New Roman" w:cs="Times New Roman"/>
          <w:sz w:val="24"/>
          <w:szCs w:val="24"/>
        </w:rPr>
        <w:footnoteReference w:id="30"/>
      </w:r>
      <w:r w:rsidRPr="0004788F">
        <w:rPr>
          <w:rFonts w:ascii="Times New Roman" w:hAnsi="Times New Roman" w:cs="Times New Roman"/>
          <w:sz w:val="24"/>
          <w:szCs w:val="24"/>
        </w:rPr>
        <w:t xml:space="preserve"> </w:t>
      </w:r>
    </w:p>
    <w:p w:rsidR="00DD5FEC" w:rsidRPr="0004788F" w:rsidRDefault="00780B7E"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This is especially, where other provisions, such as government/public intervention initiatives like bail-outs are insufficient to meet all creditor interests/debts. Therefore, the availability of deposit guarantee/insurance schemes enhances the confidence and stability in the financial systems as depositors would be guaranteed at least, a minimal return as the protected/insured deposit is secure, and not available to the liquidator, where the bank goes into liquidation proceedings due to financial failures.</w:t>
      </w:r>
      <w:r w:rsidR="006C1951">
        <w:rPr>
          <w:rStyle w:val="FootnoteReference"/>
          <w:rFonts w:ascii="Times New Roman" w:hAnsi="Times New Roman" w:cs="Times New Roman"/>
          <w:sz w:val="24"/>
          <w:szCs w:val="24"/>
        </w:rPr>
        <w:footnoteReference w:id="31"/>
      </w:r>
    </w:p>
    <w:p w:rsidR="00DD5FEC" w:rsidRPr="0004788F" w:rsidRDefault="00780B7E"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However, questions </w:t>
      </w:r>
      <w:r w:rsidR="00F26CF7" w:rsidRPr="0004788F">
        <w:rPr>
          <w:rFonts w:ascii="Times New Roman" w:hAnsi="Times New Roman" w:cs="Times New Roman"/>
          <w:sz w:val="24"/>
          <w:szCs w:val="24"/>
        </w:rPr>
        <w:t>remain unanswered</w:t>
      </w:r>
      <w:r w:rsidRPr="0004788F">
        <w:rPr>
          <w:rFonts w:ascii="Times New Roman" w:hAnsi="Times New Roman" w:cs="Times New Roman"/>
          <w:sz w:val="24"/>
          <w:szCs w:val="24"/>
        </w:rPr>
        <w:t xml:space="preserve"> as to whether deposit guarantee schemes would provide a panacea to enhancing depositor protection in developing economies, especially within Sub-Saharan Africa. </w:t>
      </w:r>
      <w:r w:rsidR="00DD5FEC" w:rsidRPr="0004788F">
        <w:rPr>
          <w:rFonts w:ascii="Times New Roman" w:hAnsi="Times New Roman" w:cs="Times New Roman"/>
          <w:sz w:val="24"/>
          <w:szCs w:val="24"/>
        </w:rPr>
        <w:t xml:space="preserve">The key concern and central to this article, is that, although some SSA </w:t>
      </w:r>
      <w:r w:rsidR="004D0EB9">
        <w:rPr>
          <w:rFonts w:ascii="Times New Roman" w:hAnsi="Times New Roman" w:cs="Times New Roman"/>
          <w:sz w:val="24"/>
          <w:szCs w:val="24"/>
        </w:rPr>
        <w:t>d</w:t>
      </w:r>
      <w:r w:rsidR="00DD5FEC" w:rsidRPr="0004788F">
        <w:rPr>
          <w:rFonts w:ascii="Times New Roman" w:hAnsi="Times New Roman" w:cs="Times New Roman"/>
          <w:sz w:val="24"/>
          <w:szCs w:val="24"/>
        </w:rPr>
        <w:t xml:space="preserve">eveloping </w:t>
      </w:r>
      <w:r w:rsidR="004D0EB9">
        <w:rPr>
          <w:rFonts w:ascii="Times New Roman" w:hAnsi="Times New Roman" w:cs="Times New Roman"/>
          <w:sz w:val="24"/>
          <w:szCs w:val="24"/>
        </w:rPr>
        <w:t>e</w:t>
      </w:r>
      <w:r w:rsidR="00DD5FEC" w:rsidRPr="0004788F">
        <w:rPr>
          <w:rFonts w:ascii="Times New Roman" w:hAnsi="Times New Roman" w:cs="Times New Roman"/>
          <w:sz w:val="24"/>
          <w:szCs w:val="24"/>
        </w:rPr>
        <w:t xml:space="preserve">conomies have adopted deposit protection measures, this is mainly within the traditional banking system. Yet, the emergence of digital banking in these </w:t>
      </w:r>
      <w:r w:rsidR="00042A7D">
        <w:rPr>
          <w:rFonts w:ascii="Times New Roman" w:hAnsi="Times New Roman" w:cs="Times New Roman"/>
          <w:sz w:val="24"/>
          <w:szCs w:val="24"/>
        </w:rPr>
        <w:t>countries</w:t>
      </w:r>
      <w:r w:rsidR="00DD5FEC" w:rsidRPr="0004788F">
        <w:rPr>
          <w:rFonts w:ascii="Times New Roman" w:hAnsi="Times New Roman" w:cs="Times New Roman"/>
          <w:sz w:val="24"/>
          <w:szCs w:val="24"/>
        </w:rPr>
        <w:t>, especially, mobile money banking and the trans</w:t>
      </w:r>
      <w:r w:rsidR="002F3843">
        <w:rPr>
          <w:rFonts w:ascii="Times New Roman" w:hAnsi="Times New Roman" w:cs="Times New Roman"/>
          <w:sz w:val="24"/>
          <w:szCs w:val="24"/>
        </w:rPr>
        <w:t>ition</w:t>
      </w:r>
      <w:r w:rsidR="00DD5FEC" w:rsidRPr="0004788F">
        <w:rPr>
          <w:rFonts w:ascii="Times New Roman" w:hAnsi="Times New Roman" w:cs="Times New Roman"/>
          <w:sz w:val="24"/>
          <w:szCs w:val="24"/>
        </w:rPr>
        <w:t xml:space="preserve"> to cashless econo</w:t>
      </w:r>
      <w:r w:rsidR="0047345A" w:rsidRPr="0004788F">
        <w:rPr>
          <w:rFonts w:ascii="Times New Roman" w:hAnsi="Times New Roman" w:cs="Times New Roman"/>
          <w:sz w:val="24"/>
          <w:szCs w:val="24"/>
        </w:rPr>
        <w:t>mies through digital banking have</w:t>
      </w:r>
      <w:r w:rsidR="00DD5FEC" w:rsidRPr="0004788F">
        <w:rPr>
          <w:rFonts w:ascii="Times New Roman" w:hAnsi="Times New Roman" w:cs="Times New Roman"/>
          <w:sz w:val="24"/>
          <w:szCs w:val="24"/>
        </w:rPr>
        <w:t xml:space="preserve"> left mobile money banking customers/depositors without</w:t>
      </w:r>
      <w:r w:rsidR="00184FB1">
        <w:rPr>
          <w:rFonts w:ascii="Times New Roman" w:hAnsi="Times New Roman" w:cs="Times New Roman"/>
          <w:sz w:val="24"/>
          <w:szCs w:val="24"/>
        </w:rPr>
        <w:t>, albeit light-touch</w:t>
      </w:r>
      <w:r w:rsidR="00DD5FEC" w:rsidRPr="0004788F">
        <w:rPr>
          <w:rFonts w:ascii="Times New Roman" w:hAnsi="Times New Roman" w:cs="Times New Roman"/>
          <w:sz w:val="24"/>
          <w:szCs w:val="24"/>
        </w:rPr>
        <w:t xml:space="preserve"> formal legislative protection on the insolvency of the mobile banking network provider, partner company, or bank/financial institution</w:t>
      </w:r>
      <w:r w:rsidR="00042A7D">
        <w:rPr>
          <w:rFonts w:ascii="Times New Roman" w:hAnsi="Times New Roman" w:cs="Times New Roman"/>
          <w:sz w:val="24"/>
          <w:szCs w:val="24"/>
        </w:rPr>
        <w:t>.</w:t>
      </w:r>
      <w:r w:rsidR="00042A7D">
        <w:rPr>
          <w:rStyle w:val="FootnoteReference"/>
          <w:rFonts w:ascii="Times New Roman" w:hAnsi="Times New Roman" w:cs="Times New Roman"/>
          <w:sz w:val="24"/>
          <w:szCs w:val="24"/>
        </w:rPr>
        <w:footnoteReference w:id="32"/>
      </w:r>
      <w:r w:rsidR="00DD5FEC" w:rsidRPr="0004788F">
        <w:rPr>
          <w:rFonts w:ascii="Times New Roman" w:hAnsi="Times New Roman" w:cs="Times New Roman"/>
          <w:sz w:val="24"/>
          <w:szCs w:val="24"/>
        </w:rPr>
        <w:t xml:space="preserve"> </w:t>
      </w:r>
    </w:p>
    <w:p w:rsidR="000D0074" w:rsidRPr="0004788F" w:rsidRDefault="000D0074"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Mobile money banking services in SSA </w:t>
      </w:r>
      <w:r w:rsidR="004D0EB9">
        <w:rPr>
          <w:rFonts w:ascii="Times New Roman" w:hAnsi="Times New Roman" w:cs="Times New Roman"/>
          <w:sz w:val="24"/>
          <w:szCs w:val="24"/>
        </w:rPr>
        <w:t>d</w:t>
      </w:r>
      <w:r w:rsidRPr="0004788F">
        <w:rPr>
          <w:rFonts w:ascii="Times New Roman" w:hAnsi="Times New Roman" w:cs="Times New Roman"/>
          <w:sz w:val="24"/>
          <w:szCs w:val="24"/>
        </w:rPr>
        <w:t xml:space="preserve">eveloping </w:t>
      </w:r>
      <w:r w:rsidR="004D0EB9">
        <w:rPr>
          <w:rFonts w:ascii="Times New Roman" w:hAnsi="Times New Roman" w:cs="Times New Roman"/>
          <w:sz w:val="24"/>
          <w:szCs w:val="24"/>
        </w:rPr>
        <w:t>e</w:t>
      </w:r>
      <w:r w:rsidRPr="0004788F">
        <w:rPr>
          <w:rFonts w:ascii="Times New Roman" w:hAnsi="Times New Roman" w:cs="Times New Roman"/>
          <w:sz w:val="24"/>
          <w:szCs w:val="24"/>
        </w:rPr>
        <w:t xml:space="preserve">conomies are mainly provided by a registered mobile network provider. For a mobile network provider to </w:t>
      </w:r>
      <w:r w:rsidR="0047345A" w:rsidRPr="0004788F">
        <w:rPr>
          <w:rFonts w:ascii="Times New Roman" w:hAnsi="Times New Roman" w:cs="Times New Roman"/>
          <w:sz w:val="24"/>
          <w:szCs w:val="24"/>
        </w:rPr>
        <w:t xml:space="preserve">be </w:t>
      </w:r>
      <w:r w:rsidRPr="0004788F">
        <w:rPr>
          <w:rFonts w:ascii="Times New Roman" w:hAnsi="Times New Roman" w:cs="Times New Roman"/>
          <w:sz w:val="24"/>
          <w:szCs w:val="24"/>
        </w:rPr>
        <w:t>fully register</w:t>
      </w:r>
      <w:r w:rsidR="0047345A" w:rsidRPr="0004788F">
        <w:rPr>
          <w:rFonts w:ascii="Times New Roman" w:hAnsi="Times New Roman" w:cs="Times New Roman"/>
          <w:sz w:val="24"/>
          <w:szCs w:val="24"/>
        </w:rPr>
        <w:t>ed</w:t>
      </w:r>
      <w:r w:rsidRPr="0004788F">
        <w:rPr>
          <w:rFonts w:ascii="Times New Roman" w:hAnsi="Times New Roman" w:cs="Times New Roman"/>
          <w:sz w:val="24"/>
          <w:szCs w:val="24"/>
        </w:rPr>
        <w:t xml:space="preserve"> and provide mobile money/mobile banking services, it has to partner with a commercial bank that creates an escrow account on behalf of the mobile banking provider that mirrors the customer </w:t>
      </w:r>
      <w:r w:rsidRPr="00184FB1">
        <w:rPr>
          <w:rFonts w:ascii="Times New Roman" w:hAnsi="Times New Roman" w:cs="Times New Roman"/>
          <w:sz w:val="24"/>
          <w:szCs w:val="24"/>
        </w:rPr>
        <w:t xml:space="preserve">mobile money deposits. In Uganda, for example, prior to the passage of the National Payments Systems Act 2020, big mobile network operators had set up partnerships with large commercial banks that provided escrow accounts. Airtel Uganda had partnered with Citibank and Standard </w:t>
      </w:r>
      <w:r w:rsidRPr="00184FB1">
        <w:rPr>
          <w:rFonts w:ascii="Times New Roman" w:hAnsi="Times New Roman" w:cs="Times New Roman"/>
          <w:sz w:val="24"/>
          <w:szCs w:val="24"/>
        </w:rPr>
        <w:lastRenderedPageBreak/>
        <w:t>Chartered</w:t>
      </w:r>
      <w:r w:rsidR="0047345A" w:rsidRPr="00184FB1">
        <w:rPr>
          <w:rFonts w:ascii="Times New Roman" w:hAnsi="Times New Roman" w:cs="Times New Roman"/>
          <w:sz w:val="24"/>
          <w:szCs w:val="24"/>
        </w:rPr>
        <w:t xml:space="preserve"> Bank</w:t>
      </w:r>
      <w:r w:rsidRPr="00184FB1">
        <w:rPr>
          <w:rFonts w:ascii="Times New Roman" w:hAnsi="Times New Roman" w:cs="Times New Roman"/>
          <w:sz w:val="24"/>
          <w:szCs w:val="24"/>
        </w:rPr>
        <w:t>; MTN Uganda wit</w:t>
      </w:r>
      <w:r w:rsidR="0047345A" w:rsidRPr="00184FB1">
        <w:rPr>
          <w:rFonts w:ascii="Times New Roman" w:hAnsi="Times New Roman" w:cs="Times New Roman"/>
          <w:sz w:val="24"/>
          <w:szCs w:val="24"/>
        </w:rPr>
        <w:t>h Stanbic B</w:t>
      </w:r>
      <w:r w:rsidRPr="00184FB1">
        <w:rPr>
          <w:rFonts w:ascii="Times New Roman" w:hAnsi="Times New Roman" w:cs="Times New Roman"/>
          <w:sz w:val="24"/>
          <w:szCs w:val="24"/>
        </w:rPr>
        <w:t>ank; Orange Uganda with Standard Chartered</w:t>
      </w:r>
      <w:r w:rsidR="0047345A" w:rsidRPr="00184FB1">
        <w:rPr>
          <w:rFonts w:ascii="Times New Roman" w:hAnsi="Times New Roman" w:cs="Times New Roman"/>
          <w:sz w:val="24"/>
          <w:szCs w:val="24"/>
        </w:rPr>
        <w:t xml:space="preserve"> Bank</w:t>
      </w:r>
      <w:r w:rsidRPr="00184FB1">
        <w:rPr>
          <w:rFonts w:ascii="Times New Roman" w:hAnsi="Times New Roman" w:cs="Times New Roman"/>
          <w:sz w:val="24"/>
          <w:szCs w:val="24"/>
        </w:rPr>
        <w:t>; and Uganda Telecom with DFCU</w:t>
      </w:r>
      <w:r w:rsidR="0047345A" w:rsidRPr="00184FB1">
        <w:rPr>
          <w:rFonts w:ascii="Times New Roman" w:hAnsi="Times New Roman" w:cs="Times New Roman"/>
          <w:sz w:val="24"/>
          <w:szCs w:val="24"/>
        </w:rPr>
        <w:t>N Bank</w:t>
      </w:r>
      <w:r w:rsidRPr="00184FB1">
        <w:rPr>
          <w:rFonts w:ascii="Times New Roman" w:hAnsi="Times New Roman" w:cs="Times New Roman"/>
          <w:sz w:val="24"/>
          <w:szCs w:val="24"/>
        </w:rPr>
        <w:t xml:space="preserve"> and </w:t>
      </w:r>
      <w:proofErr w:type="spellStart"/>
      <w:r w:rsidRPr="00184FB1">
        <w:rPr>
          <w:rFonts w:ascii="Times New Roman" w:hAnsi="Times New Roman" w:cs="Times New Roman"/>
          <w:sz w:val="24"/>
          <w:szCs w:val="24"/>
        </w:rPr>
        <w:t>PostBank</w:t>
      </w:r>
      <w:proofErr w:type="spellEnd"/>
      <w:r w:rsidRPr="00184FB1">
        <w:rPr>
          <w:rFonts w:ascii="Times New Roman" w:hAnsi="Times New Roman" w:cs="Times New Roman"/>
          <w:sz w:val="24"/>
          <w:szCs w:val="24"/>
        </w:rPr>
        <w:t>.</w:t>
      </w:r>
      <w:r w:rsidRPr="00184FB1">
        <w:rPr>
          <w:rStyle w:val="FootnoteReference"/>
          <w:rFonts w:ascii="Times New Roman" w:hAnsi="Times New Roman" w:cs="Times New Roman"/>
          <w:sz w:val="24"/>
          <w:szCs w:val="24"/>
        </w:rPr>
        <w:footnoteReference w:id="33"/>
      </w:r>
      <w:r w:rsidRPr="00184FB1">
        <w:rPr>
          <w:rFonts w:ascii="Times New Roman" w:hAnsi="Times New Roman" w:cs="Times New Roman"/>
          <w:sz w:val="24"/>
          <w:szCs w:val="24"/>
        </w:rPr>
        <w:t xml:space="preserve"> </w:t>
      </w:r>
    </w:p>
    <w:p w:rsidR="00C42432" w:rsidRPr="0004788F" w:rsidRDefault="00C42432"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In Tanzania, a licenced payment systems provider or electronic </w:t>
      </w:r>
      <w:r w:rsidR="0047345A" w:rsidRPr="0004788F">
        <w:rPr>
          <w:rFonts w:ascii="Times New Roman" w:hAnsi="Times New Roman" w:cs="Times New Roman"/>
          <w:sz w:val="24"/>
          <w:szCs w:val="24"/>
        </w:rPr>
        <w:t xml:space="preserve">money issuer, such as a bank, </w:t>
      </w:r>
      <w:r w:rsidRPr="0004788F">
        <w:rPr>
          <w:rFonts w:ascii="Times New Roman" w:hAnsi="Times New Roman" w:cs="Times New Roman"/>
          <w:sz w:val="24"/>
          <w:szCs w:val="24"/>
        </w:rPr>
        <w:t xml:space="preserve">financial institution </w:t>
      </w:r>
      <w:r w:rsidR="0047345A" w:rsidRPr="0004788F">
        <w:rPr>
          <w:rFonts w:ascii="Times New Roman" w:hAnsi="Times New Roman" w:cs="Times New Roman"/>
          <w:sz w:val="24"/>
          <w:szCs w:val="24"/>
        </w:rPr>
        <w:t xml:space="preserve">or mobile network provider </w:t>
      </w:r>
      <w:r w:rsidRPr="0004788F">
        <w:rPr>
          <w:rFonts w:ascii="Times New Roman" w:hAnsi="Times New Roman" w:cs="Times New Roman"/>
          <w:sz w:val="24"/>
          <w:szCs w:val="24"/>
        </w:rPr>
        <w:t>is required to open and operate a special account or a trust account to deal with customer deposits.</w:t>
      </w:r>
      <w:r w:rsidRPr="0004788F">
        <w:rPr>
          <w:rStyle w:val="FootnoteReference"/>
          <w:rFonts w:ascii="Times New Roman" w:hAnsi="Times New Roman" w:cs="Times New Roman"/>
          <w:sz w:val="24"/>
          <w:szCs w:val="24"/>
        </w:rPr>
        <w:footnoteReference w:id="34"/>
      </w:r>
      <w:r w:rsidRPr="0004788F">
        <w:rPr>
          <w:rFonts w:ascii="Times New Roman" w:hAnsi="Times New Roman" w:cs="Times New Roman"/>
          <w:sz w:val="24"/>
          <w:szCs w:val="24"/>
        </w:rPr>
        <w:t xml:space="preserve"> The same provider is also required to establish a separate legal entity in a form of a trust to manage the trust account, whose corporate structure and management has to be approved by the </w:t>
      </w:r>
      <w:r w:rsidR="00AE7513">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AE7513">
        <w:rPr>
          <w:rFonts w:ascii="Times New Roman" w:hAnsi="Times New Roman" w:cs="Times New Roman"/>
          <w:sz w:val="24"/>
          <w:szCs w:val="24"/>
        </w:rPr>
        <w:t>b</w:t>
      </w:r>
      <w:r w:rsidRPr="0004788F">
        <w:rPr>
          <w:rFonts w:ascii="Times New Roman" w:hAnsi="Times New Roman" w:cs="Times New Roman"/>
          <w:sz w:val="24"/>
          <w:szCs w:val="24"/>
        </w:rPr>
        <w:t>ank.</w:t>
      </w:r>
      <w:r w:rsidRPr="0004788F">
        <w:rPr>
          <w:rStyle w:val="FootnoteReference"/>
          <w:rFonts w:ascii="Times New Roman" w:hAnsi="Times New Roman" w:cs="Times New Roman"/>
          <w:sz w:val="24"/>
          <w:szCs w:val="24"/>
        </w:rPr>
        <w:footnoteReference w:id="35"/>
      </w:r>
      <w:r w:rsidRPr="0004788F">
        <w:rPr>
          <w:rFonts w:ascii="Times New Roman" w:hAnsi="Times New Roman" w:cs="Times New Roman"/>
          <w:sz w:val="24"/>
          <w:szCs w:val="24"/>
        </w:rPr>
        <w:t xml:space="preserve"> Powers and functions of the Central Bank of Tanzania in relation to payment systems are set out </w:t>
      </w:r>
      <w:r w:rsidR="00AE7513">
        <w:rPr>
          <w:rFonts w:ascii="Times New Roman" w:hAnsi="Times New Roman" w:cs="Times New Roman"/>
          <w:sz w:val="24"/>
          <w:szCs w:val="24"/>
        </w:rPr>
        <w:t xml:space="preserve">under </w:t>
      </w:r>
      <w:r w:rsidRPr="0004788F">
        <w:rPr>
          <w:rFonts w:ascii="Times New Roman" w:hAnsi="Times New Roman" w:cs="Times New Roman"/>
          <w:sz w:val="24"/>
          <w:szCs w:val="24"/>
        </w:rPr>
        <w:t xml:space="preserve">Part II of the </w:t>
      </w:r>
      <w:r w:rsidR="0047345A" w:rsidRPr="0004788F">
        <w:rPr>
          <w:rFonts w:ascii="Times New Roman" w:hAnsi="Times New Roman" w:cs="Times New Roman"/>
          <w:sz w:val="24"/>
          <w:szCs w:val="24"/>
        </w:rPr>
        <w:t xml:space="preserve">National Payments Systems Act, </w:t>
      </w:r>
      <w:r w:rsidRPr="0004788F">
        <w:rPr>
          <w:rFonts w:ascii="Times New Roman" w:hAnsi="Times New Roman" w:cs="Times New Roman"/>
          <w:sz w:val="24"/>
          <w:szCs w:val="24"/>
        </w:rPr>
        <w:t>2015</w:t>
      </w:r>
      <w:r w:rsidR="004342A8">
        <w:rPr>
          <w:rFonts w:ascii="Times New Roman" w:hAnsi="Times New Roman" w:cs="Times New Roman"/>
          <w:sz w:val="24"/>
          <w:szCs w:val="24"/>
        </w:rPr>
        <w:t xml:space="preserve">, </w:t>
      </w:r>
      <w:r w:rsidRPr="0004788F">
        <w:rPr>
          <w:rFonts w:ascii="Times New Roman" w:hAnsi="Times New Roman" w:cs="Times New Roman"/>
          <w:sz w:val="24"/>
          <w:szCs w:val="24"/>
        </w:rPr>
        <w:t>s.4</w:t>
      </w:r>
      <w:r w:rsidR="004342A8">
        <w:rPr>
          <w:rFonts w:ascii="Times New Roman" w:hAnsi="Times New Roman" w:cs="Times New Roman"/>
          <w:sz w:val="24"/>
          <w:szCs w:val="24"/>
        </w:rPr>
        <w:t>.</w:t>
      </w:r>
      <w:r w:rsidRPr="0004788F">
        <w:rPr>
          <w:rFonts w:ascii="Times New Roman" w:hAnsi="Times New Roman" w:cs="Times New Roman"/>
          <w:sz w:val="24"/>
          <w:szCs w:val="24"/>
        </w:rPr>
        <w:t xml:space="preserve"> </w:t>
      </w:r>
      <w:r w:rsidR="004342A8">
        <w:rPr>
          <w:rFonts w:ascii="Times New Roman" w:hAnsi="Times New Roman" w:cs="Times New Roman"/>
          <w:sz w:val="24"/>
          <w:szCs w:val="24"/>
        </w:rPr>
        <w:t>T</w:t>
      </w:r>
      <w:r w:rsidRPr="0004788F">
        <w:rPr>
          <w:rFonts w:ascii="Times New Roman" w:hAnsi="Times New Roman" w:cs="Times New Roman"/>
          <w:sz w:val="24"/>
          <w:szCs w:val="24"/>
        </w:rPr>
        <w:t xml:space="preserve">hese include </w:t>
      </w:r>
      <w:r w:rsidRPr="0004788F">
        <w:rPr>
          <w:rFonts w:ascii="Times New Roman" w:hAnsi="Times New Roman" w:cs="Times New Roman"/>
          <w:i/>
          <w:sz w:val="24"/>
          <w:szCs w:val="24"/>
        </w:rPr>
        <w:t>inter alia</w:t>
      </w:r>
      <w:r w:rsidRPr="0004788F">
        <w:rPr>
          <w:rFonts w:ascii="Times New Roman" w:hAnsi="Times New Roman" w:cs="Times New Roman"/>
          <w:sz w:val="24"/>
          <w:szCs w:val="24"/>
        </w:rPr>
        <w:t>, granting of licences to participants and providers of payment systems, regulate, supervise, investigate and oversee the operation of payments systems, participate in inert-bank clearing and settlements among other powers.</w:t>
      </w:r>
      <w:r w:rsidRPr="0004788F">
        <w:rPr>
          <w:rStyle w:val="FootnoteReference"/>
          <w:rFonts w:ascii="Times New Roman" w:hAnsi="Times New Roman" w:cs="Times New Roman"/>
          <w:sz w:val="24"/>
          <w:szCs w:val="24"/>
        </w:rPr>
        <w:footnoteReference w:id="36"/>
      </w:r>
      <w:r w:rsidRPr="0004788F">
        <w:rPr>
          <w:rFonts w:ascii="Times New Roman" w:hAnsi="Times New Roman" w:cs="Times New Roman"/>
          <w:sz w:val="24"/>
          <w:szCs w:val="24"/>
        </w:rPr>
        <w:t xml:space="preserve"> </w:t>
      </w:r>
    </w:p>
    <w:p w:rsidR="004E22C0" w:rsidRPr="0004788F" w:rsidRDefault="00EB1AB5"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In the next section, Uganda as a</w:t>
      </w:r>
      <w:r w:rsidR="00D92D32">
        <w:rPr>
          <w:rFonts w:ascii="Times New Roman" w:hAnsi="Times New Roman" w:cs="Times New Roman"/>
          <w:sz w:val="24"/>
          <w:szCs w:val="24"/>
        </w:rPr>
        <w:t>n</w:t>
      </w:r>
      <w:r w:rsidRPr="0004788F">
        <w:rPr>
          <w:rFonts w:ascii="Times New Roman" w:hAnsi="Times New Roman" w:cs="Times New Roman"/>
          <w:sz w:val="24"/>
          <w:szCs w:val="24"/>
        </w:rPr>
        <w:t xml:space="preserve"> SSA </w:t>
      </w:r>
      <w:r w:rsidR="004D0EB9">
        <w:rPr>
          <w:rFonts w:ascii="Times New Roman" w:hAnsi="Times New Roman" w:cs="Times New Roman"/>
          <w:sz w:val="24"/>
          <w:szCs w:val="24"/>
        </w:rPr>
        <w:t>d</w:t>
      </w:r>
      <w:r w:rsidRPr="0004788F">
        <w:rPr>
          <w:rFonts w:ascii="Times New Roman" w:hAnsi="Times New Roman" w:cs="Times New Roman"/>
          <w:sz w:val="24"/>
          <w:szCs w:val="24"/>
        </w:rPr>
        <w:t xml:space="preserve">eveloping </w:t>
      </w:r>
      <w:r w:rsidR="004D0EB9">
        <w:rPr>
          <w:rFonts w:ascii="Times New Roman" w:hAnsi="Times New Roman" w:cs="Times New Roman"/>
          <w:sz w:val="24"/>
          <w:szCs w:val="24"/>
        </w:rPr>
        <w:t>e</w:t>
      </w:r>
      <w:r w:rsidRPr="0004788F">
        <w:rPr>
          <w:rFonts w:ascii="Times New Roman" w:hAnsi="Times New Roman" w:cs="Times New Roman"/>
          <w:sz w:val="24"/>
          <w:szCs w:val="24"/>
        </w:rPr>
        <w:t>conomy is analysed as a case</w:t>
      </w:r>
      <w:r w:rsidR="004D0EB9">
        <w:rPr>
          <w:rFonts w:ascii="Times New Roman" w:hAnsi="Times New Roman" w:cs="Times New Roman"/>
          <w:sz w:val="24"/>
          <w:szCs w:val="24"/>
        </w:rPr>
        <w:t xml:space="preserve"> </w:t>
      </w:r>
      <w:r w:rsidRPr="0004788F">
        <w:rPr>
          <w:rFonts w:ascii="Times New Roman" w:hAnsi="Times New Roman" w:cs="Times New Roman"/>
          <w:sz w:val="24"/>
          <w:szCs w:val="24"/>
        </w:rPr>
        <w:t xml:space="preserve">study </w:t>
      </w:r>
      <w:r w:rsidR="004E22C0" w:rsidRPr="0004788F">
        <w:rPr>
          <w:rFonts w:ascii="Times New Roman" w:hAnsi="Times New Roman" w:cs="Times New Roman"/>
          <w:sz w:val="24"/>
          <w:szCs w:val="24"/>
        </w:rPr>
        <w:t>to</w:t>
      </w:r>
      <w:r w:rsidRPr="0004788F">
        <w:rPr>
          <w:rFonts w:ascii="Times New Roman" w:hAnsi="Times New Roman" w:cs="Times New Roman"/>
          <w:sz w:val="24"/>
          <w:szCs w:val="24"/>
        </w:rPr>
        <w:t xml:space="preserve"> further</w:t>
      </w:r>
      <w:r w:rsidR="004E22C0" w:rsidRPr="0004788F">
        <w:rPr>
          <w:rFonts w:ascii="Times New Roman" w:hAnsi="Times New Roman" w:cs="Times New Roman"/>
          <w:sz w:val="24"/>
          <w:szCs w:val="24"/>
        </w:rPr>
        <w:t xml:space="preserve"> </w:t>
      </w:r>
      <w:r w:rsidRPr="0004788F">
        <w:rPr>
          <w:rFonts w:ascii="Times New Roman" w:hAnsi="Times New Roman" w:cs="Times New Roman"/>
          <w:sz w:val="24"/>
          <w:szCs w:val="24"/>
        </w:rPr>
        <w:t>highlight</w:t>
      </w:r>
      <w:r w:rsidR="004E22C0" w:rsidRPr="0004788F">
        <w:rPr>
          <w:rFonts w:ascii="Times New Roman" w:hAnsi="Times New Roman" w:cs="Times New Roman"/>
          <w:sz w:val="24"/>
          <w:szCs w:val="24"/>
        </w:rPr>
        <w:t xml:space="preserve"> the </w:t>
      </w:r>
      <w:r w:rsidR="004C0C63" w:rsidRPr="0004788F">
        <w:rPr>
          <w:rFonts w:ascii="Times New Roman" w:hAnsi="Times New Roman" w:cs="Times New Roman"/>
          <w:sz w:val="24"/>
          <w:szCs w:val="24"/>
        </w:rPr>
        <w:t>need for</w:t>
      </w:r>
      <w:r w:rsidR="004E22C0" w:rsidRPr="0004788F">
        <w:rPr>
          <w:rFonts w:ascii="Times New Roman" w:hAnsi="Times New Roman" w:cs="Times New Roman"/>
          <w:sz w:val="24"/>
          <w:szCs w:val="24"/>
        </w:rPr>
        <w:t xml:space="preserve"> enhanced depositor protection</w:t>
      </w:r>
      <w:r w:rsidRPr="0004788F">
        <w:rPr>
          <w:rFonts w:ascii="Times New Roman" w:hAnsi="Times New Roman" w:cs="Times New Roman"/>
          <w:sz w:val="24"/>
          <w:szCs w:val="24"/>
        </w:rPr>
        <w:t xml:space="preserve"> in the mobile banking and financial sectors, </w:t>
      </w:r>
      <w:r w:rsidR="004C0C63" w:rsidRPr="0004788F">
        <w:rPr>
          <w:rFonts w:ascii="Times New Roman" w:hAnsi="Times New Roman" w:cs="Times New Roman"/>
          <w:sz w:val="24"/>
          <w:szCs w:val="24"/>
        </w:rPr>
        <w:t>and</w:t>
      </w:r>
      <w:r w:rsidRPr="0004788F">
        <w:rPr>
          <w:rFonts w:ascii="Times New Roman" w:hAnsi="Times New Roman" w:cs="Times New Roman"/>
          <w:sz w:val="24"/>
          <w:szCs w:val="24"/>
        </w:rPr>
        <w:t xml:space="preserve"> how measures, such as </w:t>
      </w:r>
      <w:r w:rsidR="004E22C0" w:rsidRPr="0004788F">
        <w:rPr>
          <w:rFonts w:ascii="Times New Roman" w:hAnsi="Times New Roman" w:cs="Times New Roman"/>
          <w:sz w:val="24"/>
          <w:szCs w:val="24"/>
        </w:rPr>
        <w:t xml:space="preserve">ring-fencing, </w:t>
      </w:r>
      <w:r w:rsidR="004C0C63" w:rsidRPr="0004788F">
        <w:rPr>
          <w:rFonts w:ascii="Times New Roman" w:hAnsi="Times New Roman" w:cs="Times New Roman"/>
          <w:sz w:val="24"/>
          <w:szCs w:val="24"/>
        </w:rPr>
        <w:t>may be used to enhance depositor protectio</w:t>
      </w:r>
      <w:r w:rsidR="00251AF9" w:rsidRPr="0004788F">
        <w:rPr>
          <w:rFonts w:ascii="Times New Roman" w:hAnsi="Times New Roman" w:cs="Times New Roman"/>
          <w:sz w:val="24"/>
          <w:szCs w:val="24"/>
        </w:rPr>
        <w:t>n</w:t>
      </w:r>
      <w:r w:rsidR="004D0EB9">
        <w:rPr>
          <w:rFonts w:ascii="Times New Roman" w:hAnsi="Times New Roman" w:cs="Times New Roman"/>
          <w:sz w:val="24"/>
          <w:szCs w:val="24"/>
        </w:rPr>
        <w:t xml:space="preserve"> in this jurisdiction and other SSA developing economies.</w:t>
      </w:r>
      <w:r w:rsidR="00251AF9" w:rsidRPr="0004788F">
        <w:rPr>
          <w:rFonts w:ascii="Times New Roman" w:hAnsi="Times New Roman" w:cs="Times New Roman"/>
          <w:sz w:val="24"/>
          <w:szCs w:val="24"/>
        </w:rPr>
        <w:t xml:space="preserve"> This will then set context for </w:t>
      </w:r>
      <w:r w:rsidR="004C0C63" w:rsidRPr="0004788F">
        <w:rPr>
          <w:rFonts w:ascii="Times New Roman" w:hAnsi="Times New Roman" w:cs="Times New Roman"/>
          <w:sz w:val="24"/>
          <w:szCs w:val="24"/>
        </w:rPr>
        <w:t>recommendation</w:t>
      </w:r>
      <w:r w:rsidR="00AE7513">
        <w:rPr>
          <w:rFonts w:ascii="Times New Roman" w:hAnsi="Times New Roman" w:cs="Times New Roman"/>
          <w:sz w:val="24"/>
          <w:szCs w:val="24"/>
        </w:rPr>
        <w:t xml:space="preserve"> of ring-fencing as a tool that can enhance </w:t>
      </w:r>
      <w:r w:rsidR="004C0C63" w:rsidRPr="0004788F">
        <w:rPr>
          <w:rFonts w:ascii="Times New Roman" w:hAnsi="Times New Roman" w:cs="Times New Roman"/>
          <w:sz w:val="24"/>
          <w:szCs w:val="24"/>
        </w:rPr>
        <w:t>formal depositor protection in the mobile banking sector on insolvency</w:t>
      </w:r>
      <w:r w:rsidR="00485EE5">
        <w:rPr>
          <w:rFonts w:ascii="Times New Roman" w:hAnsi="Times New Roman" w:cs="Times New Roman"/>
          <w:sz w:val="24"/>
          <w:szCs w:val="24"/>
        </w:rPr>
        <w:t xml:space="preserve"> if adopted by SSA </w:t>
      </w:r>
      <w:r w:rsidR="004D0EB9">
        <w:rPr>
          <w:rFonts w:ascii="Times New Roman" w:hAnsi="Times New Roman" w:cs="Times New Roman"/>
          <w:sz w:val="24"/>
          <w:szCs w:val="24"/>
        </w:rPr>
        <w:t>d</w:t>
      </w:r>
      <w:r w:rsidR="00485EE5">
        <w:rPr>
          <w:rFonts w:ascii="Times New Roman" w:hAnsi="Times New Roman" w:cs="Times New Roman"/>
          <w:sz w:val="24"/>
          <w:szCs w:val="24"/>
        </w:rPr>
        <w:t xml:space="preserve">eveloping </w:t>
      </w:r>
      <w:r w:rsidR="004D0EB9">
        <w:rPr>
          <w:rFonts w:ascii="Times New Roman" w:hAnsi="Times New Roman" w:cs="Times New Roman"/>
          <w:sz w:val="24"/>
          <w:szCs w:val="24"/>
        </w:rPr>
        <w:t>e</w:t>
      </w:r>
      <w:r w:rsidR="00485EE5">
        <w:rPr>
          <w:rFonts w:ascii="Times New Roman" w:hAnsi="Times New Roman" w:cs="Times New Roman"/>
          <w:sz w:val="24"/>
          <w:szCs w:val="24"/>
        </w:rPr>
        <w:t>conomies.</w:t>
      </w:r>
    </w:p>
    <w:p w:rsidR="004C0C63" w:rsidRPr="0004788F" w:rsidRDefault="00251AF9" w:rsidP="0004788F">
      <w:pPr>
        <w:spacing w:line="360" w:lineRule="auto"/>
        <w:jc w:val="both"/>
        <w:rPr>
          <w:rFonts w:ascii="Times New Roman" w:hAnsi="Times New Roman" w:cs="Times New Roman"/>
          <w:b/>
          <w:bCs/>
          <w:sz w:val="24"/>
          <w:szCs w:val="24"/>
        </w:rPr>
      </w:pPr>
      <w:r w:rsidRPr="0004788F">
        <w:rPr>
          <w:rFonts w:ascii="Times New Roman" w:hAnsi="Times New Roman" w:cs="Times New Roman"/>
          <w:b/>
          <w:bCs/>
          <w:sz w:val="24"/>
          <w:szCs w:val="24"/>
        </w:rPr>
        <w:t>Mobile m</w:t>
      </w:r>
      <w:r w:rsidR="004C0C63" w:rsidRPr="0004788F">
        <w:rPr>
          <w:rFonts w:ascii="Times New Roman" w:hAnsi="Times New Roman" w:cs="Times New Roman"/>
          <w:b/>
          <w:bCs/>
          <w:sz w:val="24"/>
          <w:szCs w:val="24"/>
        </w:rPr>
        <w:t>oney banking in Uganda – a case study on depositor protection</w:t>
      </w:r>
    </w:p>
    <w:p w:rsidR="004C0C63" w:rsidRPr="0004788F" w:rsidRDefault="004C0C63" w:rsidP="0004788F">
      <w:pPr>
        <w:spacing w:line="360" w:lineRule="auto"/>
        <w:jc w:val="both"/>
        <w:rPr>
          <w:rFonts w:ascii="Times New Roman" w:hAnsi="Times New Roman" w:cs="Times New Roman"/>
          <w:bCs/>
          <w:sz w:val="24"/>
          <w:szCs w:val="24"/>
        </w:rPr>
      </w:pPr>
      <w:r w:rsidRPr="0004788F">
        <w:rPr>
          <w:rFonts w:ascii="Times New Roman" w:hAnsi="Times New Roman" w:cs="Times New Roman"/>
          <w:bCs/>
          <w:sz w:val="24"/>
          <w:szCs w:val="24"/>
        </w:rPr>
        <w:t>Mobile Money services were introduced in Uganda in 2009 and the service has since grown rapidly. By year 2015, there were 21.1 million registered mobile money users in the country and by the end</w:t>
      </w:r>
      <w:r w:rsidR="0053006C">
        <w:rPr>
          <w:rFonts w:ascii="Times New Roman" w:hAnsi="Times New Roman" w:cs="Times New Roman"/>
          <w:bCs/>
          <w:sz w:val="24"/>
          <w:szCs w:val="24"/>
        </w:rPr>
        <w:t xml:space="preserve"> of year 2020, more than 80 per</w:t>
      </w:r>
      <w:r w:rsidRPr="0004788F">
        <w:rPr>
          <w:rFonts w:ascii="Times New Roman" w:hAnsi="Times New Roman" w:cs="Times New Roman"/>
          <w:bCs/>
          <w:sz w:val="24"/>
          <w:szCs w:val="24"/>
        </w:rPr>
        <w:t>cent of adult Ugandans had a mobile money account.</w:t>
      </w:r>
      <w:r w:rsidRPr="0004788F">
        <w:rPr>
          <w:rFonts w:ascii="Times New Roman" w:hAnsi="Times New Roman" w:cs="Times New Roman"/>
          <w:bCs/>
          <w:sz w:val="24"/>
          <w:szCs w:val="24"/>
          <w:vertAlign w:val="superscript"/>
        </w:rPr>
        <w:footnoteReference w:id="37"/>
      </w:r>
      <w:r w:rsidRPr="0004788F">
        <w:rPr>
          <w:rFonts w:ascii="Times New Roman" w:hAnsi="Times New Roman" w:cs="Times New Roman"/>
          <w:bCs/>
          <w:sz w:val="24"/>
          <w:szCs w:val="24"/>
        </w:rPr>
        <w:t xml:space="preserve"> It is now the norm that having a mobile money account is one of the standard measures and/or indicators of financial inclusion in the country.</w:t>
      </w:r>
      <w:r w:rsidRPr="0004788F">
        <w:rPr>
          <w:rFonts w:ascii="Times New Roman" w:hAnsi="Times New Roman" w:cs="Times New Roman"/>
          <w:bCs/>
          <w:sz w:val="24"/>
          <w:szCs w:val="24"/>
          <w:vertAlign w:val="superscript"/>
        </w:rPr>
        <w:footnoteReference w:id="38"/>
      </w:r>
      <w:r w:rsidRPr="0004788F">
        <w:rPr>
          <w:rFonts w:ascii="Times New Roman" w:hAnsi="Times New Roman" w:cs="Times New Roman"/>
          <w:bCs/>
          <w:sz w:val="24"/>
          <w:szCs w:val="24"/>
        </w:rPr>
        <w:t xml:space="preserve"> </w:t>
      </w:r>
    </w:p>
    <w:p w:rsidR="004C0C63" w:rsidRPr="0004788F" w:rsidRDefault="004C0C63" w:rsidP="0004788F">
      <w:pPr>
        <w:spacing w:line="360" w:lineRule="auto"/>
        <w:jc w:val="both"/>
        <w:rPr>
          <w:rFonts w:ascii="Times New Roman" w:hAnsi="Times New Roman" w:cs="Times New Roman"/>
          <w:bCs/>
          <w:sz w:val="24"/>
          <w:szCs w:val="24"/>
        </w:rPr>
      </w:pPr>
      <w:r w:rsidRPr="0004788F">
        <w:rPr>
          <w:rFonts w:ascii="Times New Roman" w:hAnsi="Times New Roman" w:cs="Times New Roman"/>
          <w:sz w:val="24"/>
          <w:szCs w:val="24"/>
        </w:rPr>
        <w:lastRenderedPageBreak/>
        <w:t>Uganda’s financial sector has indeed been tra</w:t>
      </w:r>
      <w:r w:rsidR="0053006C">
        <w:rPr>
          <w:rFonts w:ascii="Times New Roman" w:hAnsi="Times New Roman" w:cs="Times New Roman"/>
          <w:sz w:val="24"/>
          <w:szCs w:val="24"/>
        </w:rPr>
        <w:t>nsformed and revolutionised by mobile m</w:t>
      </w:r>
      <w:r w:rsidRPr="0004788F">
        <w:rPr>
          <w:rFonts w:ascii="Times New Roman" w:hAnsi="Times New Roman" w:cs="Times New Roman"/>
          <w:sz w:val="24"/>
          <w:szCs w:val="24"/>
        </w:rPr>
        <w:t xml:space="preserve">oney services as banking and financial services have been extended to individual customers and </w:t>
      </w:r>
      <w:r w:rsidR="00D62C54">
        <w:rPr>
          <w:rFonts w:ascii="Times New Roman" w:hAnsi="Times New Roman" w:cs="Times New Roman"/>
          <w:sz w:val="24"/>
          <w:szCs w:val="24"/>
        </w:rPr>
        <w:t>Micro, Small and Medium Sized Enterprises (</w:t>
      </w:r>
      <w:r w:rsidRPr="0004788F">
        <w:rPr>
          <w:rFonts w:ascii="Times New Roman" w:hAnsi="Times New Roman" w:cs="Times New Roman"/>
          <w:sz w:val="24"/>
          <w:szCs w:val="24"/>
        </w:rPr>
        <w:t>SMEs</w:t>
      </w:r>
      <w:r w:rsidR="00D62C54">
        <w:rPr>
          <w:rFonts w:ascii="Times New Roman" w:hAnsi="Times New Roman" w:cs="Times New Roman"/>
          <w:sz w:val="24"/>
          <w:szCs w:val="24"/>
        </w:rPr>
        <w:t>)</w:t>
      </w:r>
      <w:r w:rsidRPr="0004788F">
        <w:rPr>
          <w:rFonts w:ascii="Times New Roman" w:hAnsi="Times New Roman" w:cs="Times New Roman"/>
          <w:sz w:val="24"/>
          <w:szCs w:val="24"/>
        </w:rPr>
        <w:t xml:space="preserve"> in the informal sector which was largely unbanked.</w:t>
      </w:r>
      <w:r w:rsidRPr="0004788F">
        <w:rPr>
          <w:rStyle w:val="FootnoteReference"/>
          <w:rFonts w:ascii="Times New Roman" w:hAnsi="Times New Roman" w:cs="Times New Roman"/>
          <w:sz w:val="24"/>
          <w:szCs w:val="24"/>
        </w:rPr>
        <w:footnoteReference w:id="39"/>
      </w:r>
      <w:r w:rsidRPr="0004788F">
        <w:rPr>
          <w:rFonts w:ascii="Times New Roman" w:hAnsi="Times New Roman" w:cs="Times New Roman"/>
          <w:sz w:val="24"/>
          <w:szCs w:val="24"/>
        </w:rPr>
        <w:t xml:space="preserve"> </w:t>
      </w:r>
      <w:r w:rsidRPr="0004788F">
        <w:rPr>
          <w:rFonts w:ascii="Times New Roman" w:hAnsi="Times New Roman" w:cs="Times New Roman"/>
          <w:bCs/>
          <w:sz w:val="24"/>
          <w:szCs w:val="24"/>
        </w:rPr>
        <w:t>The steady increase in the adoption of mobile money services therefore, highlights the potential of mobile money as a tool to counter banking exclusion in this developing economy.</w:t>
      </w:r>
      <w:r w:rsidRPr="0004788F">
        <w:rPr>
          <w:rStyle w:val="FootnoteReference"/>
          <w:rFonts w:ascii="Times New Roman" w:hAnsi="Times New Roman" w:cs="Times New Roman"/>
          <w:bCs/>
          <w:sz w:val="24"/>
          <w:szCs w:val="24"/>
        </w:rPr>
        <w:footnoteReference w:id="40"/>
      </w:r>
      <w:r w:rsidRPr="0004788F">
        <w:rPr>
          <w:rFonts w:ascii="Times New Roman" w:hAnsi="Times New Roman" w:cs="Times New Roman"/>
          <w:bCs/>
          <w:sz w:val="24"/>
          <w:szCs w:val="24"/>
        </w:rPr>
        <w:t xml:space="preserve"> </w:t>
      </w:r>
    </w:p>
    <w:p w:rsidR="0047594D" w:rsidRDefault="004C0C63"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However, until 2020, there had been no formal legislation and supplementary regulations/rules governing and regulating </w:t>
      </w:r>
      <w:r w:rsidR="00251AF9" w:rsidRPr="0004788F">
        <w:rPr>
          <w:rFonts w:ascii="Times New Roman" w:hAnsi="Times New Roman" w:cs="Times New Roman"/>
          <w:sz w:val="24"/>
          <w:szCs w:val="24"/>
        </w:rPr>
        <w:t>mobile money services in Uganda, let alone, the treatment of depositor interests on the insolvency of mobile money banking service</w:t>
      </w:r>
      <w:r w:rsidR="00D62C54">
        <w:rPr>
          <w:rFonts w:ascii="Times New Roman" w:hAnsi="Times New Roman" w:cs="Times New Roman"/>
          <w:sz w:val="24"/>
          <w:szCs w:val="24"/>
        </w:rPr>
        <w:t xml:space="preserve"> providers</w:t>
      </w:r>
      <w:r w:rsidR="00251AF9" w:rsidRPr="0004788F">
        <w:rPr>
          <w:rFonts w:ascii="Times New Roman" w:hAnsi="Times New Roman" w:cs="Times New Roman"/>
          <w:sz w:val="24"/>
          <w:szCs w:val="24"/>
        </w:rPr>
        <w:t>.</w:t>
      </w:r>
      <w:r w:rsidRPr="0004788F">
        <w:rPr>
          <w:rFonts w:ascii="Times New Roman" w:hAnsi="Times New Roman" w:cs="Times New Roman"/>
          <w:sz w:val="24"/>
          <w:szCs w:val="24"/>
        </w:rPr>
        <w:t xml:space="preserve"> In 2013, the </w:t>
      </w:r>
      <w:r w:rsidR="00D62C54">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D62C54">
        <w:rPr>
          <w:rFonts w:ascii="Times New Roman" w:hAnsi="Times New Roman" w:cs="Times New Roman"/>
          <w:sz w:val="24"/>
          <w:szCs w:val="24"/>
        </w:rPr>
        <w:t>b</w:t>
      </w:r>
      <w:r w:rsidRPr="0004788F">
        <w:rPr>
          <w:rFonts w:ascii="Times New Roman" w:hAnsi="Times New Roman" w:cs="Times New Roman"/>
          <w:sz w:val="24"/>
          <w:szCs w:val="24"/>
        </w:rPr>
        <w:t xml:space="preserve">ank of Uganda </w:t>
      </w:r>
      <w:r w:rsidR="00D62C54">
        <w:rPr>
          <w:rFonts w:ascii="Times New Roman" w:hAnsi="Times New Roman" w:cs="Times New Roman"/>
          <w:sz w:val="24"/>
          <w:szCs w:val="24"/>
        </w:rPr>
        <w:t xml:space="preserve">had </w:t>
      </w:r>
      <w:r w:rsidRPr="0004788F">
        <w:rPr>
          <w:rFonts w:ascii="Times New Roman" w:hAnsi="Times New Roman" w:cs="Times New Roman"/>
          <w:sz w:val="24"/>
          <w:szCs w:val="24"/>
        </w:rPr>
        <w:t>issued procedural Guidelines on the operation of mobile money in the country.</w:t>
      </w:r>
      <w:r w:rsidR="0047594D">
        <w:rPr>
          <w:rStyle w:val="FootnoteReference"/>
          <w:rFonts w:ascii="Times New Roman" w:hAnsi="Times New Roman" w:cs="Times New Roman"/>
          <w:sz w:val="24"/>
          <w:szCs w:val="24"/>
        </w:rPr>
        <w:footnoteReference w:id="41"/>
      </w:r>
      <w:r w:rsidRPr="0004788F">
        <w:rPr>
          <w:rFonts w:ascii="Times New Roman" w:hAnsi="Times New Roman" w:cs="Times New Roman"/>
          <w:sz w:val="24"/>
          <w:szCs w:val="24"/>
        </w:rPr>
        <w:t xml:space="preserve"> Among the key aspects in the Guidelines, was the requirement on mobile money operators, mostly telecom companies</w:t>
      </w:r>
      <w:r w:rsidR="0047594D">
        <w:rPr>
          <w:rFonts w:ascii="Times New Roman" w:hAnsi="Times New Roman" w:cs="Times New Roman"/>
          <w:sz w:val="24"/>
          <w:szCs w:val="24"/>
        </w:rPr>
        <w:t xml:space="preserve"> </w:t>
      </w:r>
      <w:r w:rsidRPr="0004788F">
        <w:rPr>
          <w:rFonts w:ascii="Times New Roman" w:hAnsi="Times New Roman" w:cs="Times New Roman"/>
          <w:sz w:val="24"/>
          <w:szCs w:val="24"/>
        </w:rPr>
        <w:t xml:space="preserve">to set up partnerships with licensed commercial banks and/or deposit taking financial institutions to facilitate financial transactions. </w:t>
      </w:r>
    </w:p>
    <w:p w:rsidR="004C0C63" w:rsidRPr="0004788F" w:rsidRDefault="004C0C63"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However, these Guidelines were less effective as they were only prescriptive of what was expected of mobile money operators/providers and corresponding telecom companies but did not have statutory/legislative force to impose either, statutory or regulatory sanctions for non-compliance.</w:t>
      </w:r>
      <w:r w:rsidR="00D62C54">
        <w:rPr>
          <w:rStyle w:val="FootnoteReference"/>
          <w:rFonts w:ascii="Times New Roman" w:hAnsi="Times New Roman" w:cs="Times New Roman"/>
          <w:sz w:val="24"/>
          <w:szCs w:val="24"/>
        </w:rPr>
        <w:footnoteReference w:id="42"/>
      </w:r>
      <w:r w:rsidRPr="0004788F">
        <w:rPr>
          <w:rFonts w:ascii="Times New Roman" w:hAnsi="Times New Roman" w:cs="Times New Roman"/>
          <w:sz w:val="24"/>
          <w:szCs w:val="24"/>
        </w:rPr>
        <w:t xml:space="preserve"> Another concern was the difference in the regulation and supervision of banks and deposit-taking institutions and mobile money providers. While the latter is under the supervision and regulation by the Uganda Communications Commission,</w:t>
      </w:r>
      <w:r w:rsidRPr="0004788F">
        <w:rPr>
          <w:rStyle w:val="FootnoteReference"/>
          <w:rFonts w:ascii="Times New Roman" w:hAnsi="Times New Roman" w:cs="Times New Roman"/>
          <w:sz w:val="24"/>
          <w:szCs w:val="24"/>
        </w:rPr>
        <w:footnoteReference w:id="43"/>
      </w:r>
      <w:r w:rsidRPr="0004788F">
        <w:rPr>
          <w:rFonts w:ascii="Times New Roman" w:hAnsi="Times New Roman" w:cs="Times New Roman"/>
          <w:sz w:val="24"/>
          <w:szCs w:val="24"/>
        </w:rPr>
        <w:t xml:space="preserve"> the former is under the supervision of the </w:t>
      </w:r>
      <w:r w:rsidR="00D62C54">
        <w:rPr>
          <w:rFonts w:ascii="Times New Roman" w:hAnsi="Times New Roman" w:cs="Times New Roman"/>
          <w:sz w:val="24"/>
          <w:szCs w:val="24"/>
        </w:rPr>
        <w:t>c</w:t>
      </w:r>
      <w:r w:rsidRPr="0004788F">
        <w:rPr>
          <w:rFonts w:ascii="Times New Roman" w:hAnsi="Times New Roman" w:cs="Times New Roman"/>
          <w:sz w:val="24"/>
          <w:szCs w:val="24"/>
        </w:rPr>
        <w:t>entral bank of Uganda.</w:t>
      </w:r>
      <w:r w:rsidRPr="0004788F">
        <w:rPr>
          <w:rStyle w:val="FootnoteReference"/>
          <w:rFonts w:ascii="Times New Roman" w:hAnsi="Times New Roman" w:cs="Times New Roman"/>
          <w:sz w:val="24"/>
          <w:szCs w:val="24"/>
        </w:rPr>
        <w:footnoteReference w:id="44"/>
      </w:r>
      <w:r w:rsidRPr="0004788F">
        <w:rPr>
          <w:rFonts w:ascii="Times New Roman" w:hAnsi="Times New Roman" w:cs="Times New Roman"/>
          <w:sz w:val="24"/>
          <w:szCs w:val="24"/>
        </w:rPr>
        <w:t xml:space="preserve"> There was therefore a need to reconcile supervisory and regulatory agencies to safeguard consumers, service providers and at the same time, the financial sector as a whole. </w:t>
      </w:r>
    </w:p>
    <w:p w:rsidR="004C0C63" w:rsidRPr="0004788F" w:rsidRDefault="004C0C63"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lastRenderedPageBreak/>
        <w:t>Therefore, in July 2020, the National Payment Systems Act 2020,</w:t>
      </w:r>
      <w:r w:rsidRPr="0004788F">
        <w:rPr>
          <w:rStyle w:val="FootnoteReference"/>
          <w:rFonts w:ascii="Times New Roman" w:hAnsi="Times New Roman" w:cs="Times New Roman"/>
          <w:sz w:val="24"/>
          <w:szCs w:val="24"/>
        </w:rPr>
        <w:footnoteReference w:id="45"/>
      </w:r>
      <w:r w:rsidRPr="0004788F">
        <w:rPr>
          <w:rFonts w:ascii="Times New Roman" w:hAnsi="Times New Roman" w:cs="Times New Roman"/>
          <w:sz w:val="24"/>
          <w:szCs w:val="24"/>
        </w:rPr>
        <w:t xml:space="preserve"> was </w:t>
      </w:r>
      <w:r w:rsidR="00251AF9" w:rsidRPr="0004788F">
        <w:rPr>
          <w:rFonts w:ascii="Times New Roman" w:hAnsi="Times New Roman" w:cs="Times New Roman"/>
          <w:sz w:val="24"/>
          <w:szCs w:val="24"/>
        </w:rPr>
        <w:t>enacted</w:t>
      </w:r>
      <w:r w:rsidRPr="0004788F">
        <w:rPr>
          <w:rFonts w:ascii="Times New Roman" w:hAnsi="Times New Roman" w:cs="Times New Roman"/>
          <w:sz w:val="24"/>
          <w:szCs w:val="24"/>
        </w:rPr>
        <w:t xml:space="preserve"> and took effect on 4</w:t>
      </w:r>
      <w:r w:rsidRPr="0004788F">
        <w:rPr>
          <w:rFonts w:ascii="Times New Roman" w:hAnsi="Times New Roman" w:cs="Times New Roman"/>
          <w:sz w:val="24"/>
          <w:szCs w:val="24"/>
          <w:vertAlign w:val="superscript"/>
        </w:rPr>
        <w:t>th</w:t>
      </w:r>
      <w:r w:rsidRPr="0004788F">
        <w:rPr>
          <w:rFonts w:ascii="Times New Roman" w:hAnsi="Times New Roman" w:cs="Times New Roman"/>
          <w:sz w:val="24"/>
          <w:szCs w:val="24"/>
        </w:rPr>
        <w:t xml:space="preserve"> September 2020. In addition, the National Payments Systems (Agents) Regulations 2021</w:t>
      </w:r>
      <w:r w:rsidRPr="0004788F">
        <w:rPr>
          <w:rStyle w:val="FootnoteReference"/>
          <w:rFonts w:ascii="Times New Roman" w:hAnsi="Times New Roman" w:cs="Times New Roman"/>
          <w:sz w:val="24"/>
          <w:szCs w:val="24"/>
        </w:rPr>
        <w:footnoteReference w:id="46"/>
      </w:r>
      <w:r w:rsidRPr="0004788F">
        <w:rPr>
          <w:rFonts w:ascii="Times New Roman" w:hAnsi="Times New Roman" w:cs="Times New Roman"/>
          <w:sz w:val="24"/>
          <w:szCs w:val="24"/>
        </w:rPr>
        <w:t xml:space="preserve"> and the National Payments Systems (Sandbox) Regulations 2021 were enacted to supplement the 2020 Act.</w:t>
      </w:r>
      <w:r w:rsidRPr="0004788F">
        <w:rPr>
          <w:rStyle w:val="FootnoteReference"/>
          <w:rFonts w:ascii="Times New Roman" w:hAnsi="Times New Roman" w:cs="Times New Roman"/>
          <w:sz w:val="24"/>
          <w:szCs w:val="24"/>
        </w:rPr>
        <w:footnoteReference w:id="47"/>
      </w:r>
      <w:r w:rsidRPr="0004788F">
        <w:rPr>
          <w:rFonts w:ascii="Times New Roman" w:hAnsi="Times New Roman" w:cs="Times New Roman"/>
          <w:sz w:val="24"/>
          <w:szCs w:val="24"/>
        </w:rPr>
        <w:t xml:space="preserve"> Courtesy of the NPS</w:t>
      </w:r>
      <w:r w:rsidR="00D62C54">
        <w:rPr>
          <w:rFonts w:ascii="Times New Roman" w:hAnsi="Times New Roman" w:cs="Times New Roman"/>
          <w:sz w:val="24"/>
          <w:szCs w:val="24"/>
        </w:rPr>
        <w:t>A</w:t>
      </w:r>
      <w:r w:rsidRPr="0004788F">
        <w:rPr>
          <w:rFonts w:ascii="Times New Roman" w:hAnsi="Times New Roman" w:cs="Times New Roman"/>
          <w:sz w:val="24"/>
          <w:szCs w:val="24"/>
        </w:rPr>
        <w:t xml:space="preserve"> (2020), and the supplementary (2021) Regulations, the </w:t>
      </w:r>
      <w:r w:rsidR="0047594D">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47594D">
        <w:rPr>
          <w:rFonts w:ascii="Times New Roman" w:hAnsi="Times New Roman" w:cs="Times New Roman"/>
          <w:sz w:val="24"/>
          <w:szCs w:val="24"/>
        </w:rPr>
        <w:t>b</w:t>
      </w:r>
      <w:r w:rsidRPr="0004788F">
        <w:rPr>
          <w:rFonts w:ascii="Times New Roman" w:hAnsi="Times New Roman" w:cs="Times New Roman"/>
          <w:sz w:val="24"/>
          <w:szCs w:val="24"/>
        </w:rPr>
        <w:t>ank is mandated with the sole responsibility of regulating and supervising mobile money services in Uganda’s financial sector to ensure safety and efficiency.</w:t>
      </w:r>
      <w:r w:rsidRPr="0004788F">
        <w:rPr>
          <w:rStyle w:val="FootnoteReference"/>
          <w:rFonts w:ascii="Times New Roman" w:hAnsi="Times New Roman" w:cs="Times New Roman"/>
          <w:sz w:val="24"/>
          <w:szCs w:val="24"/>
        </w:rPr>
        <w:footnoteReference w:id="48"/>
      </w:r>
      <w:r w:rsidRPr="0004788F">
        <w:rPr>
          <w:rFonts w:ascii="Times New Roman" w:hAnsi="Times New Roman" w:cs="Times New Roman"/>
          <w:sz w:val="24"/>
          <w:szCs w:val="24"/>
        </w:rPr>
        <w:t xml:space="preserve"> </w:t>
      </w:r>
    </w:p>
    <w:p w:rsidR="004C0C63" w:rsidRPr="0004788F" w:rsidRDefault="004C0C63"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However, neither the NPS</w:t>
      </w:r>
      <w:r w:rsidR="0047594D">
        <w:rPr>
          <w:rFonts w:ascii="Times New Roman" w:hAnsi="Times New Roman" w:cs="Times New Roman"/>
          <w:sz w:val="24"/>
          <w:szCs w:val="24"/>
        </w:rPr>
        <w:t>A</w:t>
      </w:r>
      <w:r w:rsidRPr="0004788F">
        <w:rPr>
          <w:rFonts w:ascii="Times New Roman" w:hAnsi="Times New Roman" w:cs="Times New Roman"/>
          <w:sz w:val="24"/>
          <w:szCs w:val="24"/>
        </w:rPr>
        <w:t xml:space="preserve"> (2020), nor the supplementary NPS</w:t>
      </w:r>
      <w:r w:rsidR="0047594D">
        <w:rPr>
          <w:rFonts w:ascii="Times New Roman" w:hAnsi="Times New Roman" w:cs="Times New Roman"/>
          <w:sz w:val="24"/>
          <w:szCs w:val="24"/>
        </w:rPr>
        <w:t>A</w:t>
      </w:r>
      <w:r w:rsidRPr="0004788F">
        <w:rPr>
          <w:rFonts w:ascii="Times New Roman" w:hAnsi="Times New Roman" w:cs="Times New Roman"/>
          <w:sz w:val="24"/>
          <w:szCs w:val="24"/>
        </w:rPr>
        <w:t xml:space="preserve"> Regulations (2021) mention or prescribe provisions for the protection of customer deposits on their mobile money accounts on the insolvency or </w:t>
      </w:r>
      <w:r w:rsidR="00D62C54">
        <w:rPr>
          <w:rFonts w:ascii="Times New Roman" w:hAnsi="Times New Roman" w:cs="Times New Roman"/>
          <w:sz w:val="24"/>
          <w:szCs w:val="24"/>
        </w:rPr>
        <w:t>liquidation proceedings</w:t>
      </w:r>
      <w:r w:rsidRPr="0004788F">
        <w:rPr>
          <w:rFonts w:ascii="Times New Roman" w:hAnsi="Times New Roman" w:cs="Times New Roman"/>
          <w:sz w:val="24"/>
          <w:szCs w:val="24"/>
        </w:rPr>
        <w:t xml:space="preserve"> of the holding mobile money network or partner bank/financial institution. The objectives of the NPS</w:t>
      </w:r>
      <w:r w:rsidR="00C42F9D">
        <w:rPr>
          <w:rFonts w:ascii="Times New Roman" w:hAnsi="Times New Roman" w:cs="Times New Roman"/>
          <w:sz w:val="24"/>
          <w:szCs w:val="24"/>
        </w:rPr>
        <w:t>A</w:t>
      </w:r>
      <w:r w:rsidRPr="0004788F">
        <w:rPr>
          <w:rFonts w:ascii="Times New Roman" w:hAnsi="Times New Roman" w:cs="Times New Roman"/>
          <w:sz w:val="24"/>
          <w:szCs w:val="24"/>
        </w:rPr>
        <w:t xml:space="preserve"> (2020) under s.3 are</w:t>
      </w:r>
      <w:r w:rsidR="0047594D">
        <w:rPr>
          <w:rFonts w:ascii="Times New Roman" w:hAnsi="Times New Roman" w:cs="Times New Roman"/>
          <w:sz w:val="24"/>
          <w:szCs w:val="24"/>
        </w:rPr>
        <w:t xml:space="preserve"> also silent on this issue.</w:t>
      </w:r>
      <w:r w:rsidRPr="0004788F">
        <w:rPr>
          <w:rStyle w:val="FootnoteReference"/>
          <w:rFonts w:ascii="Times New Roman" w:hAnsi="Times New Roman" w:cs="Times New Roman"/>
          <w:sz w:val="24"/>
          <w:szCs w:val="24"/>
        </w:rPr>
        <w:footnoteReference w:id="49"/>
      </w:r>
    </w:p>
    <w:p w:rsidR="004C0C63" w:rsidRPr="0004788F" w:rsidRDefault="004C0C63" w:rsidP="0004788F">
      <w:pPr>
        <w:spacing w:line="360" w:lineRule="auto"/>
        <w:jc w:val="both"/>
        <w:rPr>
          <w:rFonts w:ascii="Times New Roman" w:hAnsi="Times New Roman" w:cs="Times New Roman"/>
          <w:b/>
          <w:sz w:val="24"/>
          <w:szCs w:val="24"/>
        </w:rPr>
      </w:pPr>
      <w:r w:rsidRPr="0004788F">
        <w:rPr>
          <w:rFonts w:ascii="Times New Roman" w:hAnsi="Times New Roman" w:cs="Times New Roman"/>
          <w:b/>
          <w:sz w:val="24"/>
          <w:szCs w:val="24"/>
        </w:rPr>
        <w:t>Deposit protection in Uganda – The deposit protection fund</w:t>
      </w:r>
    </w:p>
    <w:p w:rsidR="00485EE5" w:rsidRDefault="004C0C63"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The subject of deposit protection is currently under the auspices of the Deposit Protection Fund of Uganda (DPF). The DPF was established and registered as a separate legal entity courtesy of the Financial Institutions (Amendment) Act, 2016.</w:t>
      </w:r>
      <w:r w:rsidRPr="0004788F">
        <w:rPr>
          <w:rStyle w:val="FootnoteReference"/>
          <w:rFonts w:ascii="Times New Roman" w:hAnsi="Times New Roman" w:cs="Times New Roman"/>
          <w:sz w:val="24"/>
          <w:szCs w:val="24"/>
        </w:rPr>
        <w:footnoteReference w:id="50"/>
      </w:r>
      <w:r w:rsidRPr="0004788F">
        <w:rPr>
          <w:rFonts w:ascii="Times New Roman" w:hAnsi="Times New Roman" w:cs="Times New Roman"/>
          <w:sz w:val="24"/>
          <w:szCs w:val="24"/>
        </w:rPr>
        <w:t xml:space="preserve"> The main objective of the DPF is to foster public confidence in the financial system through the protection of depositors in banks and financial institutio</w:t>
      </w:r>
      <w:r w:rsidR="00B86C4B" w:rsidRPr="0004788F">
        <w:rPr>
          <w:rFonts w:ascii="Times New Roman" w:hAnsi="Times New Roman" w:cs="Times New Roman"/>
          <w:sz w:val="24"/>
          <w:szCs w:val="24"/>
        </w:rPr>
        <w:t xml:space="preserve">ns under the regulation of the </w:t>
      </w:r>
      <w:r w:rsidR="00485EE5">
        <w:rPr>
          <w:rFonts w:ascii="Times New Roman" w:hAnsi="Times New Roman" w:cs="Times New Roman"/>
          <w:sz w:val="24"/>
          <w:szCs w:val="24"/>
        </w:rPr>
        <w:t>c</w:t>
      </w:r>
      <w:r w:rsidR="00B86C4B" w:rsidRPr="0004788F">
        <w:rPr>
          <w:rFonts w:ascii="Times New Roman" w:hAnsi="Times New Roman" w:cs="Times New Roman"/>
          <w:sz w:val="24"/>
          <w:szCs w:val="24"/>
        </w:rPr>
        <w:t xml:space="preserve">entral </w:t>
      </w:r>
      <w:r w:rsidR="00485EE5">
        <w:rPr>
          <w:rFonts w:ascii="Times New Roman" w:hAnsi="Times New Roman" w:cs="Times New Roman"/>
          <w:sz w:val="24"/>
          <w:szCs w:val="24"/>
        </w:rPr>
        <w:t>b</w:t>
      </w:r>
      <w:r w:rsidRPr="0004788F">
        <w:rPr>
          <w:rFonts w:ascii="Times New Roman" w:hAnsi="Times New Roman" w:cs="Times New Roman"/>
          <w:sz w:val="24"/>
          <w:szCs w:val="24"/>
        </w:rPr>
        <w:t>ank.</w:t>
      </w:r>
      <w:r w:rsidRPr="0004788F">
        <w:rPr>
          <w:rStyle w:val="FootnoteReference"/>
          <w:rFonts w:ascii="Times New Roman" w:hAnsi="Times New Roman" w:cs="Times New Roman"/>
          <w:sz w:val="24"/>
          <w:szCs w:val="24"/>
        </w:rPr>
        <w:footnoteReference w:id="51"/>
      </w:r>
      <w:r w:rsidRPr="0004788F">
        <w:rPr>
          <w:rFonts w:ascii="Times New Roman" w:hAnsi="Times New Roman" w:cs="Times New Roman"/>
          <w:sz w:val="24"/>
          <w:szCs w:val="24"/>
        </w:rPr>
        <w:t xml:space="preserve"> The DPF is funded by premiums charged to every licensed bank and deposit-taking financial institutions in the country. </w:t>
      </w:r>
    </w:p>
    <w:p w:rsidR="004C0C63" w:rsidRPr="0004788F" w:rsidRDefault="004C0C63"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However, prior to its incorporation as a separate legal entity in 2017, deposit protection in Uganda was undertaken by the </w:t>
      </w:r>
      <w:r w:rsidR="00485EE5">
        <w:rPr>
          <w:rFonts w:ascii="Times New Roman" w:hAnsi="Times New Roman" w:cs="Times New Roman"/>
          <w:sz w:val="24"/>
          <w:szCs w:val="24"/>
        </w:rPr>
        <w:t>c</w:t>
      </w:r>
      <w:r w:rsidRPr="0004788F">
        <w:rPr>
          <w:rFonts w:ascii="Times New Roman" w:hAnsi="Times New Roman" w:cs="Times New Roman"/>
          <w:sz w:val="24"/>
          <w:szCs w:val="24"/>
        </w:rPr>
        <w:t xml:space="preserve">entral bank between 1994 – 2017. A special department within the </w:t>
      </w:r>
      <w:r w:rsidR="00485EE5">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485EE5">
        <w:rPr>
          <w:rFonts w:ascii="Times New Roman" w:hAnsi="Times New Roman" w:cs="Times New Roman"/>
          <w:sz w:val="24"/>
          <w:szCs w:val="24"/>
        </w:rPr>
        <w:t>b</w:t>
      </w:r>
      <w:r w:rsidRPr="0004788F">
        <w:rPr>
          <w:rFonts w:ascii="Times New Roman" w:hAnsi="Times New Roman" w:cs="Times New Roman"/>
          <w:sz w:val="24"/>
          <w:szCs w:val="24"/>
        </w:rPr>
        <w:t xml:space="preserve">ank had been set up to oversee to deposit protection/insurance following the collapse of </w:t>
      </w:r>
      <w:proofErr w:type="spellStart"/>
      <w:r w:rsidRPr="0004788F">
        <w:rPr>
          <w:rFonts w:ascii="Times New Roman" w:hAnsi="Times New Roman" w:cs="Times New Roman"/>
          <w:sz w:val="24"/>
          <w:szCs w:val="24"/>
        </w:rPr>
        <w:t>Teefe</w:t>
      </w:r>
      <w:proofErr w:type="spellEnd"/>
      <w:r w:rsidRPr="0004788F">
        <w:rPr>
          <w:rFonts w:ascii="Times New Roman" w:hAnsi="Times New Roman" w:cs="Times New Roman"/>
          <w:sz w:val="24"/>
          <w:szCs w:val="24"/>
        </w:rPr>
        <w:t xml:space="preserve"> Bank in 1993</w:t>
      </w:r>
      <w:r w:rsidR="00485EE5">
        <w:rPr>
          <w:rFonts w:ascii="Times New Roman" w:hAnsi="Times New Roman" w:cs="Times New Roman"/>
          <w:sz w:val="24"/>
          <w:szCs w:val="24"/>
        </w:rPr>
        <w:t>.</w:t>
      </w:r>
      <w:r w:rsidRPr="0004788F">
        <w:rPr>
          <w:rFonts w:ascii="Times New Roman" w:hAnsi="Times New Roman" w:cs="Times New Roman"/>
          <w:sz w:val="24"/>
          <w:szCs w:val="24"/>
        </w:rPr>
        <w:t xml:space="preserve"> </w:t>
      </w:r>
      <w:r w:rsidR="00485EE5">
        <w:rPr>
          <w:rFonts w:ascii="Times New Roman" w:hAnsi="Times New Roman" w:cs="Times New Roman"/>
          <w:sz w:val="24"/>
          <w:szCs w:val="24"/>
        </w:rPr>
        <w:t>With</w:t>
      </w:r>
      <w:r w:rsidRPr="0004788F">
        <w:rPr>
          <w:rFonts w:ascii="Times New Roman" w:hAnsi="Times New Roman" w:cs="Times New Roman"/>
          <w:sz w:val="24"/>
          <w:szCs w:val="24"/>
        </w:rPr>
        <w:t xml:space="preserve"> no formal deposit insurance scheme</w:t>
      </w:r>
      <w:r w:rsidR="00485EE5">
        <w:rPr>
          <w:rFonts w:ascii="Times New Roman" w:hAnsi="Times New Roman" w:cs="Times New Roman"/>
          <w:sz w:val="24"/>
          <w:szCs w:val="24"/>
        </w:rPr>
        <w:t xml:space="preserve"> on the collapse of </w:t>
      </w:r>
      <w:proofErr w:type="spellStart"/>
      <w:r w:rsidR="00485EE5">
        <w:rPr>
          <w:rFonts w:ascii="Times New Roman" w:hAnsi="Times New Roman" w:cs="Times New Roman"/>
          <w:sz w:val="24"/>
          <w:szCs w:val="24"/>
        </w:rPr>
        <w:lastRenderedPageBreak/>
        <w:t>Teefe</w:t>
      </w:r>
      <w:proofErr w:type="spellEnd"/>
      <w:r w:rsidR="00485EE5">
        <w:rPr>
          <w:rFonts w:ascii="Times New Roman" w:hAnsi="Times New Roman" w:cs="Times New Roman"/>
          <w:sz w:val="24"/>
          <w:szCs w:val="24"/>
        </w:rPr>
        <w:t xml:space="preserve"> Bank</w:t>
      </w:r>
      <w:r w:rsidRPr="0004788F">
        <w:rPr>
          <w:rFonts w:ascii="Times New Roman" w:hAnsi="Times New Roman" w:cs="Times New Roman"/>
          <w:sz w:val="24"/>
          <w:szCs w:val="24"/>
        </w:rPr>
        <w:t xml:space="preserve">, the </w:t>
      </w:r>
      <w:r w:rsidR="00485EE5">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485EE5">
        <w:rPr>
          <w:rFonts w:ascii="Times New Roman" w:hAnsi="Times New Roman" w:cs="Times New Roman"/>
          <w:sz w:val="24"/>
          <w:szCs w:val="24"/>
        </w:rPr>
        <w:t>b</w:t>
      </w:r>
      <w:r w:rsidRPr="0004788F">
        <w:rPr>
          <w:rFonts w:ascii="Times New Roman" w:hAnsi="Times New Roman" w:cs="Times New Roman"/>
          <w:sz w:val="24"/>
          <w:szCs w:val="24"/>
        </w:rPr>
        <w:t>ank had to meet depositor claims out of its own funds.</w:t>
      </w:r>
      <w:r w:rsidRPr="0004788F">
        <w:rPr>
          <w:rStyle w:val="FootnoteReference"/>
          <w:rFonts w:ascii="Times New Roman" w:hAnsi="Times New Roman" w:cs="Times New Roman"/>
          <w:sz w:val="24"/>
          <w:szCs w:val="24"/>
        </w:rPr>
        <w:footnoteReference w:id="52"/>
      </w:r>
      <w:r w:rsidRPr="0004788F">
        <w:rPr>
          <w:rFonts w:ascii="Times New Roman" w:hAnsi="Times New Roman" w:cs="Times New Roman"/>
          <w:sz w:val="24"/>
          <w:szCs w:val="24"/>
        </w:rPr>
        <w:t xml:space="preserve"> Following the collapse and attempted resolution of subsequent local banks during the late 1990s and early 2000s, the need for an effective deposit insurance framework/model was urgently highlighted that led to the incorporation of the current DPF in 2017. </w:t>
      </w:r>
    </w:p>
    <w:p w:rsidR="009F5E9F" w:rsidRDefault="004C0C63" w:rsidP="0004788F">
      <w:pPr>
        <w:spacing w:line="360" w:lineRule="auto"/>
        <w:jc w:val="both"/>
        <w:rPr>
          <w:rFonts w:ascii="Times New Roman" w:hAnsi="Times New Roman" w:cs="Times New Roman"/>
          <w:color w:val="0070C0"/>
          <w:sz w:val="24"/>
          <w:szCs w:val="24"/>
        </w:rPr>
      </w:pPr>
      <w:r w:rsidRPr="0004788F">
        <w:rPr>
          <w:rFonts w:ascii="Times New Roman" w:hAnsi="Times New Roman" w:cs="Times New Roman"/>
          <w:sz w:val="24"/>
          <w:szCs w:val="24"/>
        </w:rPr>
        <w:t xml:space="preserve">During the financial year 2020 – 2021, Uganda’s Deposit Protection Fund’s total assets were recorded at Ush.1 trillion (equiv. $282.95 million) and total income received from banks and other deposit-taking institutions was recorded at Ush.177 billion (equiv. $50 million). </w:t>
      </w:r>
      <w:r w:rsidR="00C42F9D">
        <w:rPr>
          <w:rFonts w:ascii="Times New Roman" w:hAnsi="Times New Roman" w:cs="Times New Roman"/>
          <w:sz w:val="24"/>
          <w:szCs w:val="24"/>
        </w:rPr>
        <w:t xml:space="preserve">In addition, </w:t>
      </w:r>
      <w:r w:rsidRPr="009F5E9F">
        <w:rPr>
          <w:rFonts w:ascii="Times New Roman" w:hAnsi="Times New Roman" w:cs="Times New Roman"/>
          <w:sz w:val="24"/>
          <w:szCs w:val="24"/>
        </w:rPr>
        <w:t>there was a massive increase in customer deposit accounts in the financial year 2020 -2021 as over 16 million more deposits were made by bank depositors.</w:t>
      </w:r>
      <w:r w:rsidR="009F5E9F">
        <w:rPr>
          <w:rStyle w:val="FootnoteReference"/>
          <w:rFonts w:ascii="Times New Roman" w:hAnsi="Times New Roman" w:cs="Times New Roman"/>
          <w:sz w:val="24"/>
          <w:szCs w:val="24"/>
        </w:rPr>
        <w:footnoteReference w:id="53"/>
      </w:r>
    </w:p>
    <w:p w:rsidR="009F5E9F" w:rsidRDefault="009F5E9F" w:rsidP="0004788F">
      <w:pPr>
        <w:spacing w:line="360" w:lineRule="auto"/>
        <w:jc w:val="both"/>
        <w:rPr>
          <w:rFonts w:ascii="Times New Roman" w:hAnsi="Times New Roman" w:cs="Times New Roman"/>
          <w:sz w:val="24"/>
          <w:szCs w:val="24"/>
        </w:rPr>
      </w:pPr>
      <w:r>
        <w:rPr>
          <w:rFonts w:ascii="Times New Roman" w:hAnsi="Times New Roman" w:cs="Times New Roman"/>
          <w:sz w:val="24"/>
          <w:szCs w:val="24"/>
        </w:rPr>
        <w:t>Prior to</w:t>
      </w:r>
      <w:r w:rsidR="004C0C63" w:rsidRPr="0004788F">
        <w:rPr>
          <w:rFonts w:ascii="Times New Roman" w:hAnsi="Times New Roman" w:cs="Times New Roman"/>
          <w:sz w:val="24"/>
          <w:szCs w:val="24"/>
        </w:rPr>
        <w:t xml:space="preserve"> the outbreak of the global COVID19 pandemic in 2019, the Ugandan </w:t>
      </w:r>
      <w:r>
        <w:rPr>
          <w:rFonts w:ascii="Times New Roman" w:hAnsi="Times New Roman" w:cs="Times New Roman"/>
          <w:sz w:val="24"/>
          <w:szCs w:val="24"/>
        </w:rPr>
        <w:t>g</w:t>
      </w:r>
      <w:r w:rsidR="004C0C63" w:rsidRPr="0004788F">
        <w:rPr>
          <w:rFonts w:ascii="Times New Roman" w:hAnsi="Times New Roman" w:cs="Times New Roman"/>
          <w:sz w:val="24"/>
          <w:szCs w:val="24"/>
        </w:rPr>
        <w:t>overnment, through the Minister for Finance increased the insured/guaranteed deposit limit to 10 million shillings from 3 million shillings, whi</w:t>
      </w:r>
      <w:r w:rsidR="00B86C4B" w:rsidRPr="0004788F">
        <w:rPr>
          <w:rFonts w:ascii="Times New Roman" w:hAnsi="Times New Roman" w:cs="Times New Roman"/>
          <w:sz w:val="24"/>
          <w:szCs w:val="24"/>
        </w:rPr>
        <w:t xml:space="preserve">ch is the current limit as of 30 </w:t>
      </w:r>
      <w:r>
        <w:rPr>
          <w:rFonts w:ascii="Times New Roman" w:hAnsi="Times New Roman" w:cs="Times New Roman"/>
          <w:sz w:val="24"/>
          <w:szCs w:val="24"/>
        </w:rPr>
        <w:t>August</w:t>
      </w:r>
      <w:r w:rsidR="004C0C63" w:rsidRPr="0004788F">
        <w:rPr>
          <w:rFonts w:ascii="Times New Roman" w:hAnsi="Times New Roman" w:cs="Times New Roman"/>
          <w:sz w:val="24"/>
          <w:szCs w:val="24"/>
        </w:rPr>
        <w:t xml:space="preserve"> 2022</w:t>
      </w:r>
      <w:r w:rsidR="004C0C63" w:rsidRPr="009F5E9F">
        <w:rPr>
          <w:rFonts w:ascii="Times New Roman" w:hAnsi="Times New Roman" w:cs="Times New Roman"/>
          <w:sz w:val="24"/>
          <w:szCs w:val="24"/>
        </w:rPr>
        <w:t>.</w:t>
      </w:r>
      <w:r w:rsidR="004C0C63" w:rsidRPr="009F5E9F">
        <w:rPr>
          <w:rStyle w:val="FootnoteReference"/>
          <w:rFonts w:ascii="Times New Roman" w:hAnsi="Times New Roman" w:cs="Times New Roman"/>
          <w:sz w:val="24"/>
          <w:szCs w:val="24"/>
        </w:rPr>
        <w:footnoteReference w:id="54"/>
      </w:r>
      <w:r w:rsidR="004C0C63" w:rsidRPr="009F5E9F">
        <w:rPr>
          <w:rFonts w:ascii="Times New Roman" w:hAnsi="Times New Roman" w:cs="Times New Roman"/>
          <w:sz w:val="24"/>
          <w:szCs w:val="24"/>
        </w:rPr>
        <w:t xml:space="preserve"> </w:t>
      </w:r>
      <w:r w:rsidR="004C0C63" w:rsidRPr="0004788F">
        <w:rPr>
          <w:rFonts w:ascii="Times New Roman" w:hAnsi="Times New Roman" w:cs="Times New Roman"/>
          <w:sz w:val="24"/>
          <w:szCs w:val="24"/>
        </w:rPr>
        <w:t>The Minister further reiterated that the decision for the increase in the protected deposit limit was premised on the changing financial environment, inflation,</w:t>
      </w:r>
      <w:r>
        <w:rPr>
          <w:rFonts w:ascii="Times New Roman" w:hAnsi="Times New Roman" w:cs="Times New Roman"/>
          <w:sz w:val="24"/>
          <w:szCs w:val="24"/>
        </w:rPr>
        <w:t xml:space="preserve"> </w:t>
      </w:r>
      <w:r w:rsidR="004C0C63" w:rsidRPr="0004788F">
        <w:rPr>
          <w:rFonts w:ascii="Times New Roman" w:hAnsi="Times New Roman" w:cs="Times New Roman"/>
          <w:sz w:val="24"/>
          <w:szCs w:val="24"/>
        </w:rPr>
        <w:t>exchange rate and growth of deposits in the banks.</w:t>
      </w:r>
      <w:r w:rsidR="004C0C63" w:rsidRPr="0004788F">
        <w:rPr>
          <w:rStyle w:val="FootnoteReference"/>
          <w:rFonts w:ascii="Times New Roman" w:hAnsi="Times New Roman" w:cs="Times New Roman"/>
          <w:sz w:val="24"/>
          <w:szCs w:val="24"/>
        </w:rPr>
        <w:footnoteReference w:id="55"/>
      </w:r>
      <w:r w:rsidR="004C0C63" w:rsidRPr="0004788F">
        <w:rPr>
          <w:rFonts w:ascii="Times New Roman" w:hAnsi="Times New Roman" w:cs="Times New Roman"/>
          <w:sz w:val="24"/>
          <w:szCs w:val="24"/>
        </w:rPr>
        <w:t xml:space="preserve"> According to </w:t>
      </w:r>
      <w:r w:rsidR="004C0C63" w:rsidRPr="0004788F">
        <w:rPr>
          <w:rFonts w:ascii="Times New Roman" w:hAnsi="Times New Roman" w:cs="Times New Roman"/>
          <w:i/>
          <w:sz w:val="24"/>
          <w:szCs w:val="24"/>
        </w:rPr>
        <w:t>then</w:t>
      </w:r>
      <w:r w:rsidR="004C0C63" w:rsidRPr="0004788F">
        <w:rPr>
          <w:rFonts w:ascii="Times New Roman" w:hAnsi="Times New Roman" w:cs="Times New Roman"/>
          <w:sz w:val="24"/>
          <w:szCs w:val="24"/>
        </w:rPr>
        <w:t xml:space="preserve"> governor of the </w:t>
      </w:r>
      <w:r w:rsidR="00C42F9D">
        <w:rPr>
          <w:rFonts w:ascii="Times New Roman" w:hAnsi="Times New Roman" w:cs="Times New Roman"/>
          <w:sz w:val="24"/>
          <w:szCs w:val="24"/>
        </w:rPr>
        <w:t>c</w:t>
      </w:r>
      <w:r w:rsidR="004C0C63" w:rsidRPr="0004788F">
        <w:rPr>
          <w:rFonts w:ascii="Times New Roman" w:hAnsi="Times New Roman" w:cs="Times New Roman"/>
          <w:sz w:val="24"/>
          <w:szCs w:val="24"/>
        </w:rPr>
        <w:t xml:space="preserve">entral </w:t>
      </w:r>
      <w:r w:rsidR="00C42F9D">
        <w:rPr>
          <w:rFonts w:ascii="Times New Roman" w:hAnsi="Times New Roman" w:cs="Times New Roman"/>
          <w:sz w:val="24"/>
          <w:szCs w:val="24"/>
        </w:rPr>
        <w:t>b</w:t>
      </w:r>
      <w:r w:rsidR="004C0C63" w:rsidRPr="0004788F">
        <w:rPr>
          <w:rFonts w:ascii="Times New Roman" w:hAnsi="Times New Roman" w:cs="Times New Roman"/>
          <w:sz w:val="24"/>
          <w:szCs w:val="24"/>
        </w:rPr>
        <w:t>ank of Uganda, the higher threshold of 10 million shillings was likely to enhance public confidence and encourage greater customer deposits, and potential to  expand the funds available for financial intermediation by the banking sector.</w:t>
      </w:r>
      <w:r w:rsidR="004C0C63" w:rsidRPr="0004788F">
        <w:rPr>
          <w:rStyle w:val="FootnoteReference"/>
          <w:rFonts w:ascii="Times New Roman" w:hAnsi="Times New Roman" w:cs="Times New Roman"/>
          <w:sz w:val="24"/>
          <w:szCs w:val="24"/>
        </w:rPr>
        <w:footnoteReference w:id="56"/>
      </w:r>
      <w:r w:rsidR="004C0C63" w:rsidRPr="0004788F">
        <w:rPr>
          <w:rFonts w:ascii="Times New Roman" w:hAnsi="Times New Roman" w:cs="Times New Roman"/>
          <w:sz w:val="24"/>
          <w:szCs w:val="24"/>
        </w:rPr>
        <w:t xml:space="preserve"> </w:t>
      </w:r>
    </w:p>
    <w:p w:rsidR="00AD7806" w:rsidRPr="0004788F" w:rsidRDefault="00AD7806" w:rsidP="0004788F">
      <w:pPr>
        <w:spacing w:line="360" w:lineRule="auto"/>
        <w:jc w:val="both"/>
        <w:rPr>
          <w:rFonts w:ascii="Times New Roman" w:hAnsi="Times New Roman" w:cs="Times New Roman"/>
          <w:b/>
          <w:sz w:val="24"/>
          <w:szCs w:val="24"/>
        </w:rPr>
      </w:pPr>
      <w:r w:rsidRPr="0004788F">
        <w:rPr>
          <w:rFonts w:ascii="Times New Roman" w:hAnsi="Times New Roman" w:cs="Times New Roman"/>
          <w:b/>
          <w:sz w:val="24"/>
          <w:szCs w:val="24"/>
        </w:rPr>
        <w:t>Depositor protection following NPSA (2020)</w:t>
      </w:r>
      <w:r w:rsidR="009F5E9F">
        <w:rPr>
          <w:rFonts w:ascii="Times New Roman" w:hAnsi="Times New Roman" w:cs="Times New Roman"/>
          <w:b/>
          <w:sz w:val="24"/>
          <w:szCs w:val="24"/>
        </w:rPr>
        <w:t xml:space="preserve"> </w:t>
      </w:r>
    </w:p>
    <w:p w:rsidR="00AD7806" w:rsidRPr="0004788F" w:rsidRDefault="00AD7806"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Mobile money users may deposit large amounts of money on their mobile money accounts and this money can stay on their accounts for months or even years. In essence, mobile money accounts have been swapped for traditional bank accounts in most areas of the country, especially, in the rural areas where bank branch presence </w:t>
      </w:r>
      <w:r w:rsidR="002B1251">
        <w:rPr>
          <w:rFonts w:ascii="Times New Roman" w:hAnsi="Times New Roman" w:cs="Times New Roman"/>
          <w:sz w:val="24"/>
          <w:szCs w:val="24"/>
        </w:rPr>
        <w:t>is</w:t>
      </w:r>
      <w:r w:rsidRPr="0004788F">
        <w:rPr>
          <w:rFonts w:ascii="Times New Roman" w:hAnsi="Times New Roman" w:cs="Times New Roman"/>
          <w:sz w:val="24"/>
          <w:szCs w:val="24"/>
        </w:rPr>
        <w:t xml:space="preserve"> relatively low.</w:t>
      </w:r>
      <w:r w:rsidRPr="0004788F">
        <w:rPr>
          <w:rStyle w:val="FootnoteReference"/>
          <w:rFonts w:ascii="Times New Roman" w:hAnsi="Times New Roman" w:cs="Times New Roman"/>
          <w:sz w:val="24"/>
          <w:szCs w:val="24"/>
        </w:rPr>
        <w:footnoteReference w:id="57"/>
      </w:r>
      <w:r w:rsidRPr="0004788F">
        <w:rPr>
          <w:rFonts w:ascii="Times New Roman" w:hAnsi="Times New Roman" w:cs="Times New Roman"/>
          <w:sz w:val="24"/>
          <w:szCs w:val="24"/>
        </w:rPr>
        <w:t xml:space="preserve"> </w:t>
      </w:r>
      <w:r w:rsidRPr="0004788F">
        <w:rPr>
          <w:rFonts w:ascii="Times New Roman" w:hAnsi="Times New Roman" w:cs="Times New Roman"/>
          <w:color w:val="FF0000"/>
          <w:sz w:val="24"/>
          <w:szCs w:val="24"/>
        </w:rPr>
        <w:t xml:space="preserve"> </w:t>
      </w:r>
      <w:r w:rsidRPr="0004788F">
        <w:rPr>
          <w:rFonts w:ascii="Times New Roman" w:hAnsi="Times New Roman" w:cs="Times New Roman"/>
          <w:sz w:val="24"/>
          <w:szCs w:val="24"/>
        </w:rPr>
        <w:t xml:space="preserve">As a result, other </w:t>
      </w:r>
      <w:r w:rsidRPr="0004788F">
        <w:rPr>
          <w:rFonts w:ascii="Times New Roman" w:hAnsi="Times New Roman" w:cs="Times New Roman"/>
          <w:sz w:val="24"/>
          <w:szCs w:val="24"/>
        </w:rPr>
        <w:lastRenderedPageBreak/>
        <w:t>products, such as unsecured/non-collateralised fixed sum loans are offered to mobile money account holders, on terms and durations determined by the holding companies. This raises questions on how interest can be paid to customers on their deposit and how safe are their deposits upon the financial difficulties/insolvency of these holding companies, among other questions.</w:t>
      </w:r>
    </w:p>
    <w:p w:rsidR="00AD7806" w:rsidRPr="0004788F" w:rsidRDefault="00AD7806"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The </w:t>
      </w:r>
      <w:r w:rsidR="002B1251">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2B1251">
        <w:rPr>
          <w:rFonts w:ascii="Times New Roman" w:hAnsi="Times New Roman" w:cs="Times New Roman"/>
          <w:sz w:val="24"/>
          <w:szCs w:val="24"/>
        </w:rPr>
        <w:t>b</w:t>
      </w:r>
      <w:r w:rsidRPr="0004788F">
        <w:rPr>
          <w:rFonts w:ascii="Times New Roman" w:hAnsi="Times New Roman" w:cs="Times New Roman"/>
          <w:sz w:val="24"/>
          <w:szCs w:val="24"/>
        </w:rPr>
        <w:t>ank as the new regulator of mobile money services and the financial sector at large, is expected to ensure that depositor savings on mobile money accounts earn some interest for the depositor. Section 49(6) of the NPSA</w:t>
      </w:r>
      <w:r w:rsidR="00A6705F">
        <w:rPr>
          <w:rFonts w:ascii="Times New Roman" w:hAnsi="Times New Roman" w:cs="Times New Roman"/>
          <w:sz w:val="24"/>
          <w:szCs w:val="24"/>
        </w:rPr>
        <w:t xml:space="preserve"> </w:t>
      </w:r>
      <w:r w:rsidRPr="0004788F">
        <w:rPr>
          <w:rFonts w:ascii="Times New Roman" w:hAnsi="Times New Roman" w:cs="Times New Roman"/>
          <w:sz w:val="24"/>
          <w:szCs w:val="24"/>
        </w:rPr>
        <w:t xml:space="preserve">(2020) and Regulation 14 of the NPS Regulations, (2021) provide for interest to be paid to e-value mobile money account holders. However, a liberalised interest rate system in which lending rates are market-determined operates in Uganda. Therefore, different lending structures and risks and credit-worthiness assessment structures would mean that interest rates may not be the same across the financial sector which may be </w:t>
      </w:r>
      <w:r w:rsidRPr="002B1251">
        <w:rPr>
          <w:rFonts w:ascii="Times New Roman" w:hAnsi="Times New Roman" w:cs="Times New Roman"/>
          <w:sz w:val="24"/>
          <w:szCs w:val="24"/>
        </w:rPr>
        <w:t xml:space="preserve">another forum </w:t>
      </w:r>
      <w:r w:rsidRPr="0004788F">
        <w:rPr>
          <w:rFonts w:ascii="Times New Roman" w:hAnsi="Times New Roman" w:cs="Times New Roman"/>
          <w:sz w:val="24"/>
          <w:szCs w:val="24"/>
        </w:rPr>
        <w:t xml:space="preserve">for </w:t>
      </w:r>
      <w:r w:rsidR="00C42F9D">
        <w:rPr>
          <w:rFonts w:ascii="Times New Roman" w:hAnsi="Times New Roman" w:cs="Times New Roman"/>
          <w:sz w:val="24"/>
          <w:szCs w:val="24"/>
        </w:rPr>
        <w:t>depositor</w:t>
      </w:r>
      <w:r w:rsidRPr="0004788F">
        <w:rPr>
          <w:rFonts w:ascii="Times New Roman" w:hAnsi="Times New Roman" w:cs="Times New Roman"/>
          <w:sz w:val="24"/>
          <w:szCs w:val="24"/>
        </w:rPr>
        <w:t xml:space="preserve"> exploitation.</w:t>
      </w:r>
      <w:r w:rsidRPr="0004788F">
        <w:rPr>
          <w:rStyle w:val="FootnoteReference"/>
          <w:rFonts w:ascii="Times New Roman" w:hAnsi="Times New Roman" w:cs="Times New Roman"/>
          <w:sz w:val="24"/>
          <w:szCs w:val="24"/>
        </w:rPr>
        <w:footnoteReference w:id="58"/>
      </w:r>
      <w:r w:rsidRPr="0004788F">
        <w:rPr>
          <w:rFonts w:ascii="Times New Roman" w:hAnsi="Times New Roman" w:cs="Times New Roman"/>
          <w:sz w:val="24"/>
          <w:szCs w:val="24"/>
        </w:rPr>
        <w:t xml:space="preserve"> </w:t>
      </w:r>
    </w:p>
    <w:p w:rsidR="00AD7806" w:rsidRPr="0004788F" w:rsidRDefault="00AD7806"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Nevertheless, the biggest question and </w:t>
      </w:r>
      <w:r w:rsidR="00B50FF1">
        <w:rPr>
          <w:rFonts w:ascii="Times New Roman" w:hAnsi="Times New Roman" w:cs="Times New Roman"/>
          <w:sz w:val="24"/>
          <w:szCs w:val="24"/>
        </w:rPr>
        <w:t>at the heart of this paper is: h</w:t>
      </w:r>
      <w:r w:rsidRPr="0004788F">
        <w:rPr>
          <w:rFonts w:ascii="Times New Roman" w:hAnsi="Times New Roman" w:cs="Times New Roman"/>
          <w:sz w:val="24"/>
          <w:szCs w:val="24"/>
        </w:rPr>
        <w:t xml:space="preserve">ow safe is the customer deposits on mobile money accounts on the insolvency or </w:t>
      </w:r>
      <w:r w:rsidR="00C42F9D">
        <w:rPr>
          <w:rFonts w:ascii="Times New Roman" w:hAnsi="Times New Roman" w:cs="Times New Roman"/>
          <w:sz w:val="24"/>
          <w:szCs w:val="24"/>
        </w:rPr>
        <w:t>eventual liquidation</w:t>
      </w:r>
      <w:r w:rsidRPr="0004788F">
        <w:rPr>
          <w:rFonts w:ascii="Times New Roman" w:hAnsi="Times New Roman" w:cs="Times New Roman"/>
          <w:sz w:val="24"/>
          <w:szCs w:val="24"/>
        </w:rPr>
        <w:t xml:space="preserve"> of either the mobile phone network provider, the subsidiaries of the mobile network providers</w:t>
      </w:r>
      <w:r w:rsidR="002B1251">
        <w:rPr>
          <w:rFonts w:ascii="Times New Roman" w:hAnsi="Times New Roman" w:cs="Times New Roman"/>
          <w:sz w:val="24"/>
          <w:szCs w:val="24"/>
        </w:rPr>
        <w:t>,</w:t>
      </w:r>
      <w:r w:rsidRPr="0004788F">
        <w:rPr>
          <w:rFonts w:ascii="Times New Roman" w:hAnsi="Times New Roman" w:cs="Times New Roman"/>
          <w:sz w:val="24"/>
          <w:szCs w:val="24"/>
        </w:rPr>
        <w:t xml:space="preserve"> or the corresponding/partner bank/deposit taking institution as the NPSA (2020) and NPS Regulations 2021 are not clear on these lines?  </w:t>
      </w:r>
    </w:p>
    <w:p w:rsidR="00AF5F03" w:rsidRDefault="00AD7806"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To safeguard depositor interests, NPSA (2020) sets in place measures to ensure that depositors are protected in cases of financial crimes or insolvency of the service providers. For instance, a payment service provider, other than a financial institution or deposit-taking institution is required to establish a subsidiary legal entity, which in turn must be licenced by the </w:t>
      </w:r>
      <w:r w:rsidR="002B1251">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2B1251">
        <w:rPr>
          <w:rFonts w:ascii="Times New Roman" w:hAnsi="Times New Roman" w:cs="Times New Roman"/>
          <w:sz w:val="24"/>
          <w:szCs w:val="24"/>
        </w:rPr>
        <w:t>b</w:t>
      </w:r>
      <w:r w:rsidRPr="0004788F">
        <w:rPr>
          <w:rFonts w:ascii="Times New Roman" w:hAnsi="Times New Roman" w:cs="Times New Roman"/>
          <w:sz w:val="24"/>
          <w:szCs w:val="24"/>
        </w:rPr>
        <w:t>ank for the purposes of issuing electronic money services.</w:t>
      </w:r>
      <w:r w:rsidRPr="0004788F">
        <w:rPr>
          <w:rStyle w:val="FootnoteReference"/>
          <w:rFonts w:ascii="Times New Roman" w:hAnsi="Times New Roman" w:cs="Times New Roman"/>
          <w:sz w:val="24"/>
          <w:szCs w:val="24"/>
        </w:rPr>
        <w:footnoteReference w:id="59"/>
      </w:r>
      <w:r w:rsidRPr="0004788F">
        <w:rPr>
          <w:rFonts w:ascii="Times New Roman" w:hAnsi="Times New Roman" w:cs="Times New Roman"/>
          <w:sz w:val="24"/>
          <w:szCs w:val="24"/>
        </w:rPr>
        <w:t xml:space="preserve"> The established subsidiary must then open a trust account in </w:t>
      </w:r>
      <w:r w:rsidR="00B50FF1">
        <w:rPr>
          <w:rFonts w:ascii="Times New Roman" w:hAnsi="Times New Roman" w:cs="Times New Roman"/>
          <w:sz w:val="24"/>
          <w:szCs w:val="24"/>
        </w:rPr>
        <w:t xml:space="preserve">a </w:t>
      </w:r>
      <w:r w:rsidRPr="0004788F">
        <w:rPr>
          <w:rFonts w:ascii="Times New Roman" w:hAnsi="Times New Roman" w:cs="Times New Roman"/>
          <w:sz w:val="24"/>
          <w:szCs w:val="24"/>
        </w:rPr>
        <w:t>bank, financial institution or deposit taking institution to facilitate electronic money services.</w:t>
      </w:r>
      <w:r w:rsidRPr="0004788F">
        <w:rPr>
          <w:rStyle w:val="FootnoteReference"/>
          <w:rFonts w:ascii="Times New Roman" w:hAnsi="Times New Roman" w:cs="Times New Roman"/>
          <w:sz w:val="24"/>
          <w:szCs w:val="24"/>
        </w:rPr>
        <w:footnoteReference w:id="60"/>
      </w:r>
      <w:r w:rsidRPr="0004788F">
        <w:rPr>
          <w:rFonts w:ascii="Times New Roman" w:hAnsi="Times New Roman" w:cs="Times New Roman"/>
          <w:sz w:val="24"/>
          <w:szCs w:val="24"/>
        </w:rPr>
        <w:t xml:space="preserve"> </w:t>
      </w:r>
    </w:p>
    <w:p w:rsidR="00AD7806" w:rsidRPr="0004788F" w:rsidRDefault="00AD7806"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This is to safeguard customers and their deposits on events, such as insolvency</w:t>
      </w:r>
      <w:r w:rsidR="00D76376">
        <w:rPr>
          <w:rFonts w:ascii="Times New Roman" w:hAnsi="Times New Roman" w:cs="Times New Roman"/>
          <w:sz w:val="24"/>
          <w:szCs w:val="24"/>
        </w:rPr>
        <w:t>,</w:t>
      </w:r>
      <w:r w:rsidRPr="0004788F">
        <w:rPr>
          <w:rFonts w:ascii="Times New Roman" w:hAnsi="Times New Roman" w:cs="Times New Roman"/>
          <w:sz w:val="24"/>
          <w:szCs w:val="24"/>
        </w:rPr>
        <w:t xml:space="preserve"> as the balances on the trust account or special account cannot be attached, assigned or transferred for the purposes of satisfying any debts or claims.</w:t>
      </w:r>
      <w:r w:rsidRPr="0004788F">
        <w:rPr>
          <w:rStyle w:val="FootnoteReference"/>
          <w:rFonts w:ascii="Times New Roman" w:hAnsi="Times New Roman" w:cs="Times New Roman"/>
          <w:sz w:val="24"/>
          <w:szCs w:val="24"/>
        </w:rPr>
        <w:footnoteReference w:id="61"/>
      </w:r>
      <w:r w:rsidRPr="0004788F">
        <w:rPr>
          <w:rFonts w:ascii="Times New Roman" w:hAnsi="Times New Roman" w:cs="Times New Roman"/>
          <w:sz w:val="24"/>
          <w:szCs w:val="24"/>
        </w:rPr>
        <w:t xml:space="preserve"> </w:t>
      </w:r>
      <w:r w:rsidRPr="002B1251">
        <w:rPr>
          <w:rFonts w:ascii="Times New Roman" w:hAnsi="Times New Roman" w:cs="Times New Roman"/>
          <w:sz w:val="24"/>
          <w:szCs w:val="24"/>
        </w:rPr>
        <w:t>Under s.4 (1)</w:t>
      </w:r>
      <w:r w:rsidR="002B1251" w:rsidRPr="002B1251">
        <w:rPr>
          <w:rFonts w:ascii="Times New Roman" w:hAnsi="Times New Roman" w:cs="Times New Roman"/>
          <w:sz w:val="24"/>
          <w:szCs w:val="24"/>
        </w:rPr>
        <w:t>, NPSA (2020),</w:t>
      </w:r>
      <w:r w:rsidRPr="0004788F">
        <w:rPr>
          <w:rFonts w:ascii="Times New Roman" w:hAnsi="Times New Roman" w:cs="Times New Roman"/>
          <w:sz w:val="24"/>
          <w:szCs w:val="24"/>
        </w:rPr>
        <w:t xml:space="preserve"> </w:t>
      </w:r>
      <w:r w:rsidR="002B1251">
        <w:rPr>
          <w:rFonts w:ascii="Times New Roman" w:hAnsi="Times New Roman" w:cs="Times New Roman"/>
          <w:sz w:val="24"/>
          <w:szCs w:val="24"/>
        </w:rPr>
        <w:t>t</w:t>
      </w:r>
      <w:r w:rsidRPr="0004788F">
        <w:rPr>
          <w:rFonts w:ascii="Times New Roman" w:hAnsi="Times New Roman" w:cs="Times New Roman"/>
          <w:sz w:val="24"/>
          <w:szCs w:val="24"/>
        </w:rPr>
        <w:t xml:space="preserve">he </w:t>
      </w:r>
      <w:r w:rsidR="002B1251">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2B1251">
        <w:rPr>
          <w:rFonts w:ascii="Times New Roman" w:hAnsi="Times New Roman" w:cs="Times New Roman"/>
          <w:sz w:val="24"/>
          <w:szCs w:val="24"/>
        </w:rPr>
        <w:t>b</w:t>
      </w:r>
      <w:r w:rsidRPr="0004788F">
        <w:rPr>
          <w:rFonts w:ascii="Times New Roman" w:hAnsi="Times New Roman" w:cs="Times New Roman"/>
          <w:sz w:val="24"/>
          <w:szCs w:val="24"/>
        </w:rPr>
        <w:t xml:space="preserve">ank shall </w:t>
      </w:r>
      <w:r w:rsidRPr="0004788F">
        <w:rPr>
          <w:rFonts w:ascii="Times New Roman" w:hAnsi="Times New Roman" w:cs="Times New Roman"/>
          <w:sz w:val="24"/>
          <w:szCs w:val="24"/>
        </w:rPr>
        <w:lastRenderedPageBreak/>
        <w:t xml:space="preserve">regulate, supervise and oversee the operations of the payment systems in order to ensure their safety and efficiency. Therefore, a person or entity cannot operate a systems payment, mobile money services, et cetera, without a licence issued by the </w:t>
      </w:r>
      <w:r w:rsidR="00AF5F03">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AF5F03">
        <w:rPr>
          <w:rFonts w:ascii="Times New Roman" w:hAnsi="Times New Roman" w:cs="Times New Roman"/>
          <w:sz w:val="24"/>
          <w:szCs w:val="24"/>
        </w:rPr>
        <w:t>b</w:t>
      </w:r>
      <w:r w:rsidRPr="0004788F">
        <w:rPr>
          <w:rFonts w:ascii="Times New Roman" w:hAnsi="Times New Roman" w:cs="Times New Roman"/>
          <w:sz w:val="24"/>
          <w:szCs w:val="24"/>
        </w:rPr>
        <w:t>ank.</w:t>
      </w:r>
      <w:r w:rsidRPr="0004788F">
        <w:rPr>
          <w:rStyle w:val="FootnoteReference"/>
          <w:rFonts w:ascii="Times New Roman" w:hAnsi="Times New Roman" w:cs="Times New Roman"/>
          <w:sz w:val="24"/>
          <w:szCs w:val="24"/>
        </w:rPr>
        <w:footnoteReference w:id="62"/>
      </w:r>
    </w:p>
    <w:p w:rsidR="00AD7806" w:rsidRPr="0004788F" w:rsidRDefault="00AD7806"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Under s.26, NPSA (2020), every participant in the payment systems, such as a mobile money provider is mandated to open and maintain a settlement account </w:t>
      </w:r>
      <w:r w:rsidR="00D76376">
        <w:rPr>
          <w:rFonts w:ascii="Times New Roman" w:hAnsi="Times New Roman" w:cs="Times New Roman"/>
          <w:sz w:val="24"/>
          <w:szCs w:val="24"/>
        </w:rPr>
        <w:t>o</w:t>
      </w:r>
      <w:r w:rsidRPr="0004788F">
        <w:rPr>
          <w:rFonts w:ascii="Times New Roman" w:hAnsi="Times New Roman" w:cs="Times New Roman"/>
          <w:sz w:val="24"/>
          <w:szCs w:val="24"/>
        </w:rPr>
        <w:t xml:space="preserve">n the books of the </w:t>
      </w:r>
      <w:r w:rsidR="00AF5F03">
        <w:rPr>
          <w:rFonts w:ascii="Times New Roman" w:hAnsi="Times New Roman" w:cs="Times New Roman"/>
          <w:sz w:val="24"/>
          <w:szCs w:val="24"/>
        </w:rPr>
        <w:t>c</w:t>
      </w:r>
      <w:r w:rsidRPr="0004788F">
        <w:rPr>
          <w:rFonts w:ascii="Times New Roman" w:hAnsi="Times New Roman" w:cs="Times New Roman"/>
          <w:sz w:val="24"/>
          <w:szCs w:val="24"/>
        </w:rPr>
        <w:t xml:space="preserve">entral </w:t>
      </w:r>
      <w:r w:rsidR="00AF5F03">
        <w:rPr>
          <w:rFonts w:ascii="Times New Roman" w:hAnsi="Times New Roman" w:cs="Times New Roman"/>
          <w:sz w:val="24"/>
          <w:szCs w:val="24"/>
        </w:rPr>
        <w:t>b</w:t>
      </w:r>
      <w:r w:rsidRPr="0004788F">
        <w:rPr>
          <w:rFonts w:ascii="Times New Roman" w:hAnsi="Times New Roman" w:cs="Times New Roman"/>
          <w:sz w:val="24"/>
          <w:szCs w:val="24"/>
        </w:rPr>
        <w:t>ank or an authorised settlement agent to maintain the minimum depositor balance. Moreover, on the commencement of insolvency proceedings against the licenced provider of systems payments/mobile money services, such insolvency proceedings are held not</w:t>
      </w:r>
      <w:r w:rsidR="00D76376">
        <w:rPr>
          <w:rFonts w:ascii="Times New Roman" w:hAnsi="Times New Roman" w:cs="Times New Roman"/>
          <w:sz w:val="24"/>
          <w:szCs w:val="24"/>
        </w:rPr>
        <w:t xml:space="preserve"> to</w:t>
      </w:r>
      <w:r w:rsidRPr="0004788F">
        <w:rPr>
          <w:rFonts w:ascii="Times New Roman" w:hAnsi="Times New Roman" w:cs="Times New Roman"/>
          <w:sz w:val="24"/>
          <w:szCs w:val="24"/>
        </w:rPr>
        <w:t xml:space="preserve"> have retrospective effect on the rights and obligations of that licenced provider.</w:t>
      </w:r>
      <w:r w:rsidRPr="0004788F">
        <w:rPr>
          <w:rStyle w:val="FootnoteReference"/>
          <w:rFonts w:ascii="Times New Roman" w:hAnsi="Times New Roman" w:cs="Times New Roman"/>
          <w:sz w:val="24"/>
          <w:szCs w:val="24"/>
        </w:rPr>
        <w:footnoteReference w:id="63"/>
      </w:r>
      <w:r w:rsidRPr="0004788F">
        <w:rPr>
          <w:rFonts w:ascii="Times New Roman" w:hAnsi="Times New Roman" w:cs="Times New Roman"/>
          <w:sz w:val="24"/>
          <w:szCs w:val="24"/>
        </w:rPr>
        <w:t xml:space="preserve"> </w:t>
      </w:r>
    </w:p>
    <w:p w:rsidR="00B86C4B" w:rsidRPr="0004788F" w:rsidRDefault="00D76376" w:rsidP="0004788F">
      <w:pPr>
        <w:spacing w:line="360" w:lineRule="auto"/>
        <w:jc w:val="both"/>
        <w:rPr>
          <w:rFonts w:ascii="Times New Roman" w:hAnsi="Times New Roman" w:cs="Times New Roman"/>
          <w:sz w:val="24"/>
          <w:szCs w:val="24"/>
        </w:rPr>
      </w:pPr>
      <w:r>
        <w:rPr>
          <w:rFonts w:ascii="Times New Roman" w:hAnsi="Times New Roman" w:cs="Times New Roman"/>
          <w:sz w:val="24"/>
          <w:szCs w:val="24"/>
        </w:rPr>
        <w:t>On</w:t>
      </w:r>
      <w:r w:rsidR="00AD7806" w:rsidRPr="0004788F">
        <w:rPr>
          <w:rFonts w:ascii="Times New Roman" w:hAnsi="Times New Roman" w:cs="Times New Roman"/>
          <w:sz w:val="24"/>
          <w:szCs w:val="24"/>
        </w:rPr>
        <w:t xml:space="preserve"> the commencement of insolvency proceedings, cash deposits or securities transfer orders entered into a payment transfer system prior to the commencement of insolvency proceedings </w:t>
      </w:r>
      <w:r>
        <w:rPr>
          <w:rFonts w:ascii="Times New Roman" w:hAnsi="Times New Roman" w:cs="Times New Roman"/>
          <w:sz w:val="24"/>
          <w:szCs w:val="24"/>
        </w:rPr>
        <w:t xml:space="preserve">by the service provider </w:t>
      </w:r>
      <w:r w:rsidR="00AD7806" w:rsidRPr="0004788F">
        <w:rPr>
          <w:rFonts w:ascii="Times New Roman" w:hAnsi="Times New Roman" w:cs="Times New Roman"/>
          <w:sz w:val="24"/>
          <w:szCs w:val="24"/>
        </w:rPr>
        <w:t xml:space="preserve">are valid,  binding and enforceable against the provider, the </w:t>
      </w:r>
      <w:r w:rsidR="00AF5F03">
        <w:rPr>
          <w:rFonts w:ascii="Times New Roman" w:hAnsi="Times New Roman" w:cs="Times New Roman"/>
          <w:sz w:val="24"/>
          <w:szCs w:val="24"/>
        </w:rPr>
        <w:t>c</w:t>
      </w:r>
      <w:r w:rsidR="00AD7806" w:rsidRPr="0004788F">
        <w:rPr>
          <w:rFonts w:ascii="Times New Roman" w:hAnsi="Times New Roman" w:cs="Times New Roman"/>
          <w:sz w:val="24"/>
          <w:szCs w:val="24"/>
        </w:rPr>
        <w:t xml:space="preserve">entral </w:t>
      </w:r>
      <w:r w:rsidR="00AF5F03">
        <w:rPr>
          <w:rFonts w:ascii="Times New Roman" w:hAnsi="Times New Roman" w:cs="Times New Roman"/>
          <w:sz w:val="24"/>
          <w:szCs w:val="24"/>
        </w:rPr>
        <w:t>b</w:t>
      </w:r>
      <w:r w:rsidR="00AD7806" w:rsidRPr="0004788F">
        <w:rPr>
          <w:rFonts w:ascii="Times New Roman" w:hAnsi="Times New Roman" w:cs="Times New Roman"/>
          <w:sz w:val="24"/>
          <w:szCs w:val="24"/>
        </w:rPr>
        <w:t>ank or appointed insolvency practitioner.</w:t>
      </w:r>
      <w:r w:rsidR="00AD7806" w:rsidRPr="0004788F">
        <w:rPr>
          <w:rStyle w:val="FootnoteReference"/>
          <w:rFonts w:ascii="Times New Roman" w:hAnsi="Times New Roman" w:cs="Times New Roman"/>
          <w:sz w:val="24"/>
          <w:szCs w:val="24"/>
        </w:rPr>
        <w:footnoteReference w:id="64"/>
      </w:r>
      <w:r w:rsidR="00AD7806" w:rsidRPr="0004788F">
        <w:rPr>
          <w:rFonts w:ascii="Times New Roman" w:hAnsi="Times New Roman" w:cs="Times New Roman"/>
          <w:sz w:val="24"/>
          <w:szCs w:val="24"/>
        </w:rPr>
        <w:t xml:space="preserve"> However, despite these provisions in </w:t>
      </w:r>
      <w:r w:rsidR="00AF5F03">
        <w:rPr>
          <w:rFonts w:ascii="Times New Roman" w:hAnsi="Times New Roman" w:cs="Times New Roman"/>
          <w:sz w:val="24"/>
          <w:szCs w:val="24"/>
        </w:rPr>
        <w:t>NAPSA</w:t>
      </w:r>
      <w:r w:rsidR="00AD7806" w:rsidRPr="0004788F">
        <w:rPr>
          <w:rFonts w:ascii="Times New Roman" w:hAnsi="Times New Roman" w:cs="Times New Roman"/>
          <w:sz w:val="24"/>
          <w:szCs w:val="24"/>
        </w:rPr>
        <w:t xml:space="preserve"> </w:t>
      </w:r>
      <w:r w:rsidR="00AF5F03">
        <w:rPr>
          <w:rFonts w:ascii="Times New Roman" w:hAnsi="Times New Roman" w:cs="Times New Roman"/>
          <w:sz w:val="24"/>
          <w:szCs w:val="24"/>
        </w:rPr>
        <w:t>(</w:t>
      </w:r>
      <w:r w:rsidR="00AD7806" w:rsidRPr="0004788F">
        <w:rPr>
          <w:rFonts w:ascii="Times New Roman" w:hAnsi="Times New Roman" w:cs="Times New Roman"/>
          <w:sz w:val="24"/>
          <w:szCs w:val="24"/>
        </w:rPr>
        <w:t>2020</w:t>
      </w:r>
      <w:r w:rsidR="00AF5F03">
        <w:rPr>
          <w:rFonts w:ascii="Times New Roman" w:hAnsi="Times New Roman" w:cs="Times New Roman"/>
          <w:sz w:val="24"/>
          <w:szCs w:val="24"/>
        </w:rPr>
        <w:t>)</w:t>
      </w:r>
      <w:r w:rsidR="00AD7806" w:rsidRPr="0004788F">
        <w:rPr>
          <w:rFonts w:ascii="Times New Roman" w:hAnsi="Times New Roman" w:cs="Times New Roman"/>
          <w:sz w:val="24"/>
          <w:szCs w:val="24"/>
        </w:rPr>
        <w:t xml:space="preserve">, the law remained silent/unclear on the nature of enforcement and to </w:t>
      </w:r>
      <w:r w:rsidR="00AF5F03">
        <w:rPr>
          <w:rFonts w:ascii="Times New Roman" w:hAnsi="Times New Roman" w:cs="Times New Roman"/>
          <w:sz w:val="24"/>
          <w:szCs w:val="24"/>
        </w:rPr>
        <w:t xml:space="preserve">the </w:t>
      </w:r>
      <w:r w:rsidR="00AD7806" w:rsidRPr="0004788F">
        <w:rPr>
          <w:rFonts w:ascii="Times New Roman" w:hAnsi="Times New Roman" w:cs="Times New Roman"/>
          <w:sz w:val="24"/>
          <w:szCs w:val="24"/>
        </w:rPr>
        <w:t>rights of the depositor</w:t>
      </w:r>
      <w:r w:rsidR="00AF5F03">
        <w:rPr>
          <w:rFonts w:ascii="Times New Roman" w:hAnsi="Times New Roman" w:cs="Times New Roman"/>
          <w:sz w:val="24"/>
          <w:szCs w:val="24"/>
        </w:rPr>
        <w:t>s</w:t>
      </w:r>
      <w:r w:rsidR="00AD7806" w:rsidRPr="0004788F">
        <w:rPr>
          <w:rFonts w:ascii="Times New Roman" w:hAnsi="Times New Roman" w:cs="Times New Roman"/>
          <w:sz w:val="24"/>
          <w:szCs w:val="24"/>
        </w:rPr>
        <w:t xml:space="preserve"> to recover their deposit</w:t>
      </w:r>
      <w:r w:rsidR="00AF5F03">
        <w:rPr>
          <w:rFonts w:ascii="Times New Roman" w:hAnsi="Times New Roman" w:cs="Times New Roman"/>
          <w:sz w:val="24"/>
          <w:szCs w:val="24"/>
        </w:rPr>
        <w:t>s</w:t>
      </w:r>
      <w:r w:rsidR="00AD7806" w:rsidRPr="0004788F">
        <w:rPr>
          <w:rFonts w:ascii="Times New Roman" w:hAnsi="Times New Roman" w:cs="Times New Roman"/>
          <w:sz w:val="24"/>
          <w:szCs w:val="24"/>
        </w:rPr>
        <w:t xml:space="preserve"> and the amount guaranteed on insolvency, like it is the case with a deposit guarantee scheme under the traditional banking model. In the next section, the concept of ring-fen</w:t>
      </w:r>
      <w:r w:rsidR="00B50FF1">
        <w:rPr>
          <w:rFonts w:ascii="Times New Roman" w:hAnsi="Times New Roman" w:cs="Times New Roman"/>
          <w:sz w:val="24"/>
          <w:szCs w:val="24"/>
        </w:rPr>
        <w:t>cing is analysed as a model/framework that</w:t>
      </w:r>
      <w:r w:rsidR="00AD7806" w:rsidRPr="0004788F">
        <w:rPr>
          <w:rFonts w:ascii="Times New Roman" w:hAnsi="Times New Roman" w:cs="Times New Roman"/>
          <w:sz w:val="24"/>
          <w:szCs w:val="24"/>
        </w:rPr>
        <w:t xml:space="preserve"> could be adopted to enhance depositor protection in </w:t>
      </w:r>
      <w:r w:rsidR="00AF5F03">
        <w:rPr>
          <w:rFonts w:ascii="Times New Roman" w:hAnsi="Times New Roman" w:cs="Times New Roman"/>
          <w:sz w:val="24"/>
          <w:szCs w:val="24"/>
        </w:rPr>
        <w:t xml:space="preserve">Uganda and other </w:t>
      </w:r>
      <w:r w:rsidR="00AD7806" w:rsidRPr="0004788F">
        <w:rPr>
          <w:rFonts w:ascii="Times New Roman" w:hAnsi="Times New Roman" w:cs="Times New Roman"/>
          <w:sz w:val="24"/>
          <w:szCs w:val="24"/>
        </w:rPr>
        <w:t xml:space="preserve">SSA </w:t>
      </w:r>
      <w:r>
        <w:rPr>
          <w:rFonts w:ascii="Times New Roman" w:hAnsi="Times New Roman" w:cs="Times New Roman"/>
          <w:sz w:val="24"/>
          <w:szCs w:val="24"/>
        </w:rPr>
        <w:t>d</w:t>
      </w:r>
      <w:r w:rsidR="00AD7806" w:rsidRPr="0004788F">
        <w:rPr>
          <w:rFonts w:ascii="Times New Roman" w:hAnsi="Times New Roman" w:cs="Times New Roman"/>
          <w:sz w:val="24"/>
          <w:szCs w:val="24"/>
        </w:rPr>
        <w:t>eveloping economies</w:t>
      </w:r>
      <w:r w:rsidR="00AF5F03">
        <w:rPr>
          <w:rFonts w:ascii="Times New Roman" w:hAnsi="Times New Roman" w:cs="Times New Roman"/>
          <w:sz w:val="24"/>
          <w:szCs w:val="24"/>
        </w:rPr>
        <w:t>.</w:t>
      </w:r>
    </w:p>
    <w:p w:rsidR="004E22C0" w:rsidRPr="0004788F" w:rsidRDefault="008C5847" w:rsidP="0004788F">
      <w:pPr>
        <w:spacing w:line="360" w:lineRule="auto"/>
        <w:jc w:val="both"/>
        <w:rPr>
          <w:rFonts w:ascii="Times New Roman" w:hAnsi="Times New Roman" w:cs="Times New Roman"/>
          <w:b/>
          <w:sz w:val="24"/>
          <w:szCs w:val="24"/>
        </w:rPr>
      </w:pPr>
      <w:r w:rsidRPr="0004788F">
        <w:rPr>
          <w:rFonts w:ascii="Times New Roman" w:hAnsi="Times New Roman" w:cs="Times New Roman"/>
          <w:b/>
          <w:sz w:val="24"/>
          <w:szCs w:val="24"/>
        </w:rPr>
        <w:t xml:space="preserve">The concept of ring-fencing </w:t>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Prior to the global financial crisis of 2007/2008, the universal banking model was the most adopted one by banks and financial institutions globally due to its </w:t>
      </w:r>
      <w:r w:rsidRPr="00AF5F03">
        <w:rPr>
          <w:rFonts w:ascii="Times New Roman" w:hAnsi="Times New Roman" w:cs="Times New Roman"/>
          <w:sz w:val="24"/>
          <w:szCs w:val="24"/>
        </w:rPr>
        <w:t>advantages at the time.</w:t>
      </w:r>
      <w:r w:rsidRPr="00AF5F03">
        <w:rPr>
          <w:rStyle w:val="FootnoteReference"/>
          <w:rFonts w:ascii="Times New Roman" w:hAnsi="Times New Roman" w:cs="Times New Roman"/>
          <w:sz w:val="24"/>
          <w:szCs w:val="24"/>
        </w:rPr>
        <w:footnoteReference w:id="65"/>
      </w:r>
      <w:r w:rsidR="008C5847" w:rsidRPr="00AF5F03">
        <w:rPr>
          <w:rFonts w:ascii="Times New Roman" w:hAnsi="Times New Roman" w:cs="Times New Roman"/>
          <w:sz w:val="24"/>
          <w:szCs w:val="24"/>
        </w:rPr>
        <w:t xml:space="preserve"> </w:t>
      </w:r>
      <w:r w:rsidR="00AF5F03">
        <w:rPr>
          <w:rFonts w:ascii="Times New Roman" w:hAnsi="Times New Roman" w:cs="Times New Roman"/>
          <w:sz w:val="24"/>
          <w:szCs w:val="24"/>
        </w:rPr>
        <w:t>The universal banking model is the</w:t>
      </w:r>
      <w:r w:rsidR="00CF4201">
        <w:rPr>
          <w:rFonts w:ascii="Times New Roman" w:hAnsi="Times New Roman" w:cs="Times New Roman"/>
          <w:sz w:val="24"/>
          <w:szCs w:val="24"/>
        </w:rPr>
        <w:t xml:space="preserve"> </w:t>
      </w:r>
      <w:r w:rsidR="004F1707">
        <w:rPr>
          <w:rFonts w:ascii="Times New Roman" w:hAnsi="Times New Roman" w:cs="Times New Roman"/>
          <w:sz w:val="24"/>
          <w:szCs w:val="24"/>
        </w:rPr>
        <w:t>system</w:t>
      </w:r>
      <w:r w:rsidR="00AF5F03">
        <w:rPr>
          <w:rFonts w:ascii="Times New Roman" w:hAnsi="Times New Roman" w:cs="Times New Roman"/>
          <w:sz w:val="24"/>
          <w:szCs w:val="24"/>
        </w:rPr>
        <w:t xml:space="preserve"> where a bank or financial institutions offers/operates a variety of financial products/services, </w:t>
      </w:r>
      <w:r w:rsidR="00A50C89">
        <w:rPr>
          <w:rFonts w:ascii="Times New Roman" w:hAnsi="Times New Roman" w:cs="Times New Roman"/>
          <w:sz w:val="24"/>
          <w:szCs w:val="24"/>
        </w:rPr>
        <w:t>be it</w:t>
      </w:r>
      <w:r w:rsidR="00AF5F03">
        <w:rPr>
          <w:rFonts w:ascii="Times New Roman" w:hAnsi="Times New Roman" w:cs="Times New Roman"/>
          <w:sz w:val="24"/>
          <w:szCs w:val="24"/>
        </w:rPr>
        <w:t xml:space="preserve"> retail, investment </w:t>
      </w:r>
      <w:r w:rsidR="00A50C89">
        <w:rPr>
          <w:rFonts w:ascii="Times New Roman" w:hAnsi="Times New Roman" w:cs="Times New Roman"/>
          <w:sz w:val="24"/>
          <w:szCs w:val="24"/>
        </w:rPr>
        <w:t>or</w:t>
      </w:r>
      <w:r w:rsidR="00AF5F03">
        <w:rPr>
          <w:rFonts w:ascii="Times New Roman" w:hAnsi="Times New Roman" w:cs="Times New Roman"/>
          <w:sz w:val="24"/>
          <w:szCs w:val="24"/>
        </w:rPr>
        <w:t xml:space="preserve"> </w:t>
      </w:r>
      <w:r w:rsidR="00A50C89">
        <w:rPr>
          <w:rFonts w:ascii="Times New Roman" w:hAnsi="Times New Roman" w:cs="Times New Roman"/>
          <w:sz w:val="24"/>
          <w:szCs w:val="24"/>
        </w:rPr>
        <w:t xml:space="preserve">commercial, </w:t>
      </w:r>
      <w:r w:rsidR="00AF5F03">
        <w:rPr>
          <w:rFonts w:ascii="Times New Roman" w:hAnsi="Times New Roman" w:cs="Times New Roman"/>
          <w:sz w:val="24"/>
          <w:szCs w:val="24"/>
        </w:rPr>
        <w:t xml:space="preserve">under </w:t>
      </w:r>
      <w:r w:rsidR="00A50C89">
        <w:rPr>
          <w:rFonts w:ascii="Times New Roman" w:hAnsi="Times New Roman" w:cs="Times New Roman"/>
          <w:sz w:val="24"/>
          <w:szCs w:val="24"/>
        </w:rPr>
        <w:t>the same setting/umbrella.</w:t>
      </w:r>
      <w:r w:rsidR="004F1707">
        <w:rPr>
          <w:rStyle w:val="FootnoteReference"/>
          <w:rFonts w:ascii="Times New Roman" w:hAnsi="Times New Roman" w:cs="Times New Roman"/>
          <w:sz w:val="24"/>
          <w:szCs w:val="24"/>
        </w:rPr>
        <w:footnoteReference w:id="66"/>
      </w:r>
      <w:r w:rsidRPr="0004788F">
        <w:rPr>
          <w:rFonts w:ascii="Times New Roman" w:hAnsi="Times New Roman" w:cs="Times New Roman"/>
          <w:sz w:val="24"/>
          <w:szCs w:val="24"/>
        </w:rPr>
        <w:t xml:space="preserve"> The</w:t>
      </w:r>
      <w:r w:rsidR="004F1707">
        <w:rPr>
          <w:rFonts w:ascii="Times New Roman" w:hAnsi="Times New Roman" w:cs="Times New Roman"/>
          <w:sz w:val="24"/>
          <w:szCs w:val="24"/>
        </w:rPr>
        <w:t xml:space="preserve">refore, this model </w:t>
      </w:r>
      <w:r w:rsidR="000C702B">
        <w:rPr>
          <w:rFonts w:ascii="Times New Roman" w:hAnsi="Times New Roman" w:cs="Times New Roman"/>
          <w:sz w:val="24"/>
          <w:szCs w:val="24"/>
        </w:rPr>
        <w:t xml:space="preserve">is advantageous in a sense that it offers the bank/financial institution, </w:t>
      </w:r>
      <w:r w:rsidRPr="0004788F">
        <w:rPr>
          <w:rFonts w:ascii="Times New Roman" w:hAnsi="Times New Roman" w:cs="Times New Roman"/>
          <w:sz w:val="24"/>
          <w:szCs w:val="24"/>
        </w:rPr>
        <w:t xml:space="preserve">ability to operate its banking and/or financial services, under the </w:t>
      </w:r>
      <w:r w:rsidRPr="0004788F">
        <w:rPr>
          <w:rFonts w:ascii="Times New Roman" w:hAnsi="Times New Roman" w:cs="Times New Roman"/>
          <w:sz w:val="24"/>
          <w:szCs w:val="24"/>
        </w:rPr>
        <w:lastRenderedPageBreak/>
        <w:t xml:space="preserve">same umbrella. </w:t>
      </w:r>
      <w:r w:rsidR="004F1707">
        <w:rPr>
          <w:rFonts w:ascii="Times New Roman" w:hAnsi="Times New Roman" w:cs="Times New Roman"/>
          <w:sz w:val="24"/>
          <w:szCs w:val="24"/>
        </w:rPr>
        <w:t>This would enable</w:t>
      </w:r>
      <w:r w:rsidRPr="0004788F">
        <w:rPr>
          <w:rFonts w:ascii="Times New Roman" w:hAnsi="Times New Roman" w:cs="Times New Roman"/>
          <w:sz w:val="24"/>
          <w:szCs w:val="24"/>
        </w:rPr>
        <w:t xml:space="preserve"> consumers </w:t>
      </w:r>
      <w:r w:rsidR="004F1707">
        <w:rPr>
          <w:rFonts w:ascii="Times New Roman" w:hAnsi="Times New Roman" w:cs="Times New Roman"/>
          <w:sz w:val="24"/>
          <w:szCs w:val="24"/>
        </w:rPr>
        <w:t>to</w:t>
      </w:r>
      <w:r w:rsidRPr="0004788F">
        <w:rPr>
          <w:rFonts w:ascii="Times New Roman" w:hAnsi="Times New Roman" w:cs="Times New Roman"/>
          <w:sz w:val="24"/>
          <w:szCs w:val="24"/>
        </w:rPr>
        <w:t xml:space="preserve"> easily access</w:t>
      </w:r>
      <w:r w:rsidR="004F1707">
        <w:rPr>
          <w:rFonts w:ascii="Times New Roman" w:hAnsi="Times New Roman" w:cs="Times New Roman"/>
          <w:sz w:val="24"/>
          <w:szCs w:val="24"/>
        </w:rPr>
        <w:t xml:space="preserve"> </w:t>
      </w:r>
      <w:r w:rsidRPr="0004788F">
        <w:rPr>
          <w:rFonts w:ascii="Times New Roman" w:hAnsi="Times New Roman" w:cs="Times New Roman"/>
          <w:sz w:val="24"/>
          <w:szCs w:val="24"/>
        </w:rPr>
        <w:t>different products/services at a single “access point” rather than being referred to different sections/departments for different products/services within the bank.</w:t>
      </w:r>
      <w:r w:rsidR="004F1707">
        <w:rPr>
          <w:rStyle w:val="FootnoteReference"/>
          <w:rFonts w:ascii="Times New Roman" w:hAnsi="Times New Roman" w:cs="Times New Roman"/>
          <w:sz w:val="24"/>
          <w:szCs w:val="24"/>
        </w:rPr>
        <w:footnoteReference w:id="67"/>
      </w:r>
      <w:r w:rsidRPr="0004788F">
        <w:rPr>
          <w:rFonts w:ascii="Times New Roman" w:hAnsi="Times New Roman" w:cs="Times New Roman"/>
          <w:sz w:val="24"/>
          <w:szCs w:val="24"/>
        </w:rPr>
        <w:t xml:space="preserve"> </w:t>
      </w:r>
    </w:p>
    <w:p w:rsidR="00D80DCD"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The universal model also enables a bank to maintain its capital under the same umbrella and on the same balance sheet. This has the inherent advantage that capital and liquidity requirements imposed by national regulators, such as national central banks and international regulatory </w:t>
      </w:r>
      <w:r w:rsidR="000C702B">
        <w:rPr>
          <w:rFonts w:ascii="Times New Roman" w:hAnsi="Times New Roman" w:cs="Times New Roman"/>
          <w:sz w:val="24"/>
          <w:szCs w:val="24"/>
        </w:rPr>
        <w:t>agencies</w:t>
      </w:r>
      <w:r w:rsidRPr="0004788F">
        <w:rPr>
          <w:rFonts w:ascii="Times New Roman" w:hAnsi="Times New Roman" w:cs="Times New Roman"/>
          <w:sz w:val="24"/>
          <w:szCs w:val="24"/>
        </w:rPr>
        <w:t xml:space="preserve">, such as those </w:t>
      </w:r>
      <w:r w:rsidRPr="00E60EC5">
        <w:rPr>
          <w:rFonts w:ascii="Times New Roman" w:hAnsi="Times New Roman" w:cs="Times New Roman"/>
          <w:sz w:val="24"/>
          <w:szCs w:val="24"/>
        </w:rPr>
        <w:t>under the Basil Committee</w:t>
      </w:r>
      <w:r w:rsidR="000C702B">
        <w:rPr>
          <w:rFonts w:ascii="Times New Roman" w:hAnsi="Times New Roman" w:cs="Times New Roman"/>
          <w:sz w:val="24"/>
          <w:szCs w:val="24"/>
        </w:rPr>
        <w:t>,</w:t>
      </w:r>
      <w:r w:rsidR="00E60EC5" w:rsidRPr="00E60EC5">
        <w:rPr>
          <w:rStyle w:val="FootnoteReference"/>
          <w:rFonts w:ascii="Times New Roman" w:hAnsi="Times New Roman" w:cs="Times New Roman"/>
          <w:sz w:val="24"/>
          <w:szCs w:val="24"/>
        </w:rPr>
        <w:footnoteReference w:id="68"/>
      </w:r>
      <w:r w:rsidRPr="00E60EC5">
        <w:rPr>
          <w:rFonts w:ascii="Times New Roman" w:hAnsi="Times New Roman" w:cs="Times New Roman"/>
          <w:sz w:val="24"/>
          <w:szCs w:val="24"/>
        </w:rPr>
        <w:t xml:space="preserve"> </w:t>
      </w:r>
      <w:r w:rsidRPr="0004788F">
        <w:rPr>
          <w:rFonts w:ascii="Times New Roman" w:hAnsi="Times New Roman" w:cs="Times New Roman"/>
          <w:sz w:val="24"/>
          <w:szCs w:val="24"/>
        </w:rPr>
        <w:t xml:space="preserve">would be easily met. </w:t>
      </w:r>
      <w:r w:rsidRPr="00CF4201">
        <w:rPr>
          <w:rFonts w:ascii="Times New Roman" w:hAnsi="Times New Roman" w:cs="Times New Roman"/>
          <w:sz w:val="24"/>
          <w:szCs w:val="24"/>
        </w:rPr>
        <w:t>Another advantage is the operational ability by the bank to have a centralised support service/system where both capital and human resources services could be easily sourced, reducing operational and administration costs compared to would be the case under structural</w:t>
      </w:r>
      <w:r w:rsidR="00CF4201">
        <w:rPr>
          <w:rFonts w:ascii="Times New Roman" w:hAnsi="Times New Roman" w:cs="Times New Roman"/>
          <w:sz w:val="24"/>
          <w:szCs w:val="24"/>
        </w:rPr>
        <w:t xml:space="preserve"> and/or branch</w:t>
      </w:r>
      <w:r w:rsidRPr="00CF4201">
        <w:rPr>
          <w:rFonts w:ascii="Times New Roman" w:hAnsi="Times New Roman" w:cs="Times New Roman"/>
          <w:sz w:val="24"/>
          <w:szCs w:val="24"/>
        </w:rPr>
        <w:t xml:space="preserve"> separation, where each branch/section bears its operational and administration costs and risks.</w:t>
      </w:r>
      <w:r w:rsidR="00CF4201" w:rsidRPr="00CF4201">
        <w:rPr>
          <w:rStyle w:val="FootnoteReference"/>
          <w:rFonts w:ascii="Times New Roman" w:hAnsi="Times New Roman" w:cs="Times New Roman"/>
          <w:sz w:val="24"/>
          <w:szCs w:val="24"/>
        </w:rPr>
        <w:footnoteReference w:id="69"/>
      </w:r>
      <w:r w:rsidRPr="00CF4201">
        <w:rPr>
          <w:rFonts w:ascii="Times New Roman" w:hAnsi="Times New Roman" w:cs="Times New Roman"/>
          <w:sz w:val="24"/>
          <w:szCs w:val="24"/>
        </w:rPr>
        <w:t xml:space="preserve"> However, the emergence of </w:t>
      </w:r>
      <w:r w:rsidR="00CF4201">
        <w:rPr>
          <w:rFonts w:ascii="Times New Roman" w:hAnsi="Times New Roman" w:cs="Times New Roman"/>
          <w:sz w:val="24"/>
          <w:szCs w:val="24"/>
        </w:rPr>
        <w:t xml:space="preserve">the concept of </w:t>
      </w:r>
      <w:r w:rsidRPr="00CF4201">
        <w:rPr>
          <w:rFonts w:ascii="Times New Roman" w:hAnsi="Times New Roman" w:cs="Times New Roman"/>
          <w:sz w:val="24"/>
          <w:szCs w:val="24"/>
        </w:rPr>
        <w:t xml:space="preserve">ring-fencing </w:t>
      </w:r>
      <w:r w:rsidR="00CF4201">
        <w:rPr>
          <w:rFonts w:ascii="Times New Roman" w:hAnsi="Times New Roman" w:cs="Times New Roman"/>
          <w:sz w:val="24"/>
          <w:szCs w:val="24"/>
        </w:rPr>
        <w:t xml:space="preserve">(as </w:t>
      </w:r>
      <w:r w:rsidR="00C81ECF">
        <w:rPr>
          <w:rFonts w:ascii="Times New Roman" w:hAnsi="Times New Roman" w:cs="Times New Roman"/>
          <w:sz w:val="24"/>
          <w:szCs w:val="24"/>
        </w:rPr>
        <w:t xml:space="preserve">discussed below) has </w:t>
      </w:r>
      <w:r w:rsidRPr="00CF4201">
        <w:rPr>
          <w:rFonts w:ascii="Times New Roman" w:hAnsi="Times New Roman" w:cs="Times New Roman"/>
          <w:sz w:val="24"/>
          <w:szCs w:val="24"/>
        </w:rPr>
        <w:t>presented a new scope w</w:t>
      </w:r>
      <w:r w:rsidRPr="0004788F">
        <w:rPr>
          <w:rFonts w:ascii="Times New Roman" w:hAnsi="Times New Roman" w:cs="Times New Roman"/>
          <w:sz w:val="24"/>
          <w:szCs w:val="24"/>
        </w:rPr>
        <w:t xml:space="preserve">ithin which a </w:t>
      </w:r>
      <w:r w:rsidR="0054478A">
        <w:rPr>
          <w:rFonts w:ascii="Times New Roman" w:hAnsi="Times New Roman" w:cs="Times New Roman"/>
          <w:sz w:val="24"/>
          <w:szCs w:val="24"/>
        </w:rPr>
        <w:t>“</w:t>
      </w:r>
      <w:r w:rsidRPr="0004788F">
        <w:rPr>
          <w:rFonts w:ascii="Times New Roman" w:hAnsi="Times New Roman" w:cs="Times New Roman"/>
          <w:sz w:val="24"/>
          <w:szCs w:val="24"/>
        </w:rPr>
        <w:t>risk-averse financial approach</w:t>
      </w:r>
      <w:r w:rsidR="0054478A">
        <w:rPr>
          <w:rFonts w:ascii="Times New Roman" w:hAnsi="Times New Roman" w:cs="Times New Roman"/>
          <w:sz w:val="24"/>
          <w:szCs w:val="24"/>
        </w:rPr>
        <w:t>”</w:t>
      </w:r>
      <w:r w:rsidR="0054478A">
        <w:rPr>
          <w:rStyle w:val="FootnoteReference"/>
          <w:rFonts w:ascii="Times New Roman" w:hAnsi="Times New Roman" w:cs="Times New Roman"/>
          <w:sz w:val="24"/>
          <w:szCs w:val="24"/>
        </w:rPr>
        <w:footnoteReference w:id="70"/>
      </w:r>
      <w:r w:rsidRPr="0004788F">
        <w:rPr>
          <w:rFonts w:ascii="Times New Roman" w:hAnsi="Times New Roman" w:cs="Times New Roman"/>
          <w:sz w:val="24"/>
          <w:szCs w:val="24"/>
        </w:rPr>
        <w:t xml:space="preserve"> may be adopted by banks and financial institutions</w:t>
      </w:r>
      <w:r w:rsidR="00C81ECF">
        <w:rPr>
          <w:rFonts w:ascii="Times New Roman" w:hAnsi="Times New Roman" w:cs="Times New Roman"/>
          <w:sz w:val="24"/>
          <w:szCs w:val="24"/>
        </w:rPr>
        <w:t>.</w:t>
      </w:r>
    </w:p>
    <w:p w:rsidR="00D80DCD" w:rsidRPr="0004788F" w:rsidRDefault="00D80DCD" w:rsidP="00CF4201">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Ring-fencing can be explained/defined as the separation of retail banking provisions from wholesale and investment banking sections of the bank/financial institution in an otherwise a universal banking system. </w:t>
      </w:r>
      <w:r w:rsidR="00C81ECF">
        <w:rPr>
          <w:rFonts w:ascii="Times New Roman" w:hAnsi="Times New Roman" w:cs="Times New Roman"/>
          <w:sz w:val="24"/>
          <w:szCs w:val="24"/>
        </w:rPr>
        <w:t>T</w:t>
      </w:r>
      <w:r w:rsidRPr="0004788F">
        <w:rPr>
          <w:rFonts w:ascii="Times New Roman" w:hAnsi="Times New Roman" w:cs="Times New Roman"/>
          <w:sz w:val="24"/>
          <w:szCs w:val="24"/>
        </w:rPr>
        <w:t xml:space="preserve">he </w:t>
      </w:r>
      <w:r w:rsidR="00C81ECF">
        <w:rPr>
          <w:rFonts w:ascii="Times New Roman" w:hAnsi="Times New Roman" w:cs="Times New Roman"/>
          <w:sz w:val="24"/>
          <w:szCs w:val="24"/>
        </w:rPr>
        <w:t>concept of</w:t>
      </w:r>
      <w:r w:rsidRPr="0004788F">
        <w:rPr>
          <w:rFonts w:ascii="Times New Roman" w:hAnsi="Times New Roman" w:cs="Times New Roman"/>
          <w:sz w:val="24"/>
          <w:szCs w:val="24"/>
        </w:rPr>
        <w:t xml:space="preserve"> ring-fencing can be used in many different contexts to denote different approaches/instances. </w:t>
      </w:r>
      <w:r w:rsidR="008C5847" w:rsidRPr="0004788F">
        <w:rPr>
          <w:rFonts w:ascii="Times New Roman" w:hAnsi="Times New Roman" w:cs="Times New Roman"/>
          <w:sz w:val="24"/>
          <w:szCs w:val="24"/>
        </w:rPr>
        <w:t>O</w:t>
      </w:r>
      <w:r w:rsidRPr="0004788F">
        <w:rPr>
          <w:rFonts w:ascii="Times New Roman" w:hAnsi="Times New Roman" w:cs="Times New Roman"/>
          <w:sz w:val="24"/>
          <w:szCs w:val="24"/>
        </w:rPr>
        <w:t xml:space="preserve">ne of the leading academics on this topic – Professor </w:t>
      </w:r>
      <w:proofErr w:type="spellStart"/>
      <w:r w:rsidRPr="0004788F">
        <w:rPr>
          <w:rFonts w:ascii="Times New Roman" w:hAnsi="Times New Roman" w:cs="Times New Roman"/>
          <w:sz w:val="24"/>
          <w:szCs w:val="24"/>
        </w:rPr>
        <w:t>Schwarcz</w:t>
      </w:r>
      <w:proofErr w:type="spellEnd"/>
      <w:r w:rsidRPr="0004788F">
        <w:rPr>
          <w:rFonts w:ascii="Times New Roman" w:hAnsi="Times New Roman" w:cs="Times New Roman"/>
          <w:sz w:val="24"/>
          <w:szCs w:val="24"/>
        </w:rPr>
        <w:t xml:space="preserve">, of Duke University School of Law, USA, </w:t>
      </w:r>
      <w:r w:rsidR="008C5847" w:rsidRPr="0004788F">
        <w:rPr>
          <w:rFonts w:ascii="Times New Roman" w:hAnsi="Times New Roman" w:cs="Times New Roman"/>
          <w:sz w:val="24"/>
          <w:szCs w:val="24"/>
        </w:rPr>
        <w:t xml:space="preserve">is of the view that </w:t>
      </w:r>
      <w:r w:rsidRPr="0004788F">
        <w:rPr>
          <w:rFonts w:ascii="Times New Roman" w:hAnsi="Times New Roman" w:cs="Times New Roman"/>
          <w:sz w:val="24"/>
          <w:szCs w:val="24"/>
        </w:rPr>
        <w:t>the tem ring-fencing can sometimes be defined inconsistently depending on the context in which it is applied.</w:t>
      </w:r>
      <w:r w:rsidRPr="0004788F">
        <w:rPr>
          <w:rStyle w:val="FootnoteReference"/>
          <w:rFonts w:ascii="Times New Roman" w:hAnsi="Times New Roman" w:cs="Times New Roman"/>
          <w:sz w:val="24"/>
          <w:szCs w:val="24"/>
        </w:rPr>
        <w:footnoteReference w:id="71"/>
      </w:r>
      <w:r w:rsidRPr="0004788F">
        <w:rPr>
          <w:rFonts w:ascii="Times New Roman" w:hAnsi="Times New Roman" w:cs="Times New Roman"/>
          <w:sz w:val="24"/>
          <w:szCs w:val="24"/>
        </w:rPr>
        <w:t xml:space="preserve"> Professor </w:t>
      </w:r>
      <w:proofErr w:type="spellStart"/>
      <w:r w:rsidRPr="0004788F">
        <w:rPr>
          <w:rFonts w:ascii="Times New Roman" w:hAnsi="Times New Roman" w:cs="Times New Roman"/>
          <w:sz w:val="24"/>
          <w:szCs w:val="24"/>
        </w:rPr>
        <w:t>Schwarcz</w:t>
      </w:r>
      <w:proofErr w:type="spellEnd"/>
      <w:r w:rsidRPr="0004788F">
        <w:rPr>
          <w:rFonts w:ascii="Times New Roman" w:hAnsi="Times New Roman" w:cs="Times New Roman"/>
          <w:sz w:val="24"/>
          <w:szCs w:val="24"/>
        </w:rPr>
        <w:t xml:space="preserve"> therefore</w:t>
      </w:r>
      <w:r w:rsidR="00C81ECF">
        <w:rPr>
          <w:rFonts w:ascii="Times New Roman" w:hAnsi="Times New Roman" w:cs="Times New Roman"/>
          <w:sz w:val="24"/>
          <w:szCs w:val="24"/>
        </w:rPr>
        <w:t>,</w:t>
      </w:r>
      <w:r w:rsidRPr="0004788F">
        <w:rPr>
          <w:rFonts w:ascii="Times New Roman" w:hAnsi="Times New Roman" w:cs="Times New Roman"/>
          <w:sz w:val="24"/>
          <w:szCs w:val="24"/>
        </w:rPr>
        <w:t xml:space="preserve"> defines ring-fencing as a financial regulatory concept concerned with legally deconstructing a firm’s structure in order to achieve an optimal reallocation and reduction of risks.</w:t>
      </w:r>
      <w:r w:rsidRPr="0004788F">
        <w:rPr>
          <w:rStyle w:val="FootnoteReference"/>
          <w:rFonts w:ascii="Times New Roman" w:hAnsi="Times New Roman" w:cs="Times New Roman"/>
          <w:sz w:val="24"/>
          <w:szCs w:val="24"/>
        </w:rPr>
        <w:footnoteReference w:id="72"/>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Ring-fencing can be approached in two ways. It can be approached from what is categorised as geographical ring-fencing. This is where a banking groups or conglomerate operating in different countries</w:t>
      </w:r>
      <w:r w:rsidR="00BA1AA5">
        <w:rPr>
          <w:rFonts w:ascii="Times New Roman" w:hAnsi="Times New Roman" w:cs="Times New Roman"/>
          <w:sz w:val="24"/>
          <w:szCs w:val="24"/>
        </w:rPr>
        <w:t xml:space="preserve"> or</w:t>
      </w:r>
      <w:r w:rsidRPr="0004788F">
        <w:rPr>
          <w:rFonts w:ascii="Times New Roman" w:hAnsi="Times New Roman" w:cs="Times New Roman"/>
          <w:sz w:val="24"/>
          <w:szCs w:val="24"/>
        </w:rPr>
        <w:t xml:space="preserve"> across borders, takes initiatives to ensure that certain sections/branches </w:t>
      </w:r>
      <w:r w:rsidRPr="0004788F">
        <w:rPr>
          <w:rFonts w:ascii="Times New Roman" w:hAnsi="Times New Roman" w:cs="Times New Roman"/>
          <w:sz w:val="24"/>
          <w:szCs w:val="24"/>
        </w:rPr>
        <w:lastRenderedPageBreak/>
        <w:t>of the banking group are self-reliant and can minimise financial risks and/or sustain systemic shocks even where other sections/branches of the group fail. However, this type of ring-fencing is more applicable to cross-border banking/financial operations and as such, it is premised on a territorial approach and can be more efficient for cross-border banking problems.</w:t>
      </w:r>
      <w:r w:rsidRPr="0004788F">
        <w:rPr>
          <w:rStyle w:val="FootnoteReference"/>
          <w:rFonts w:ascii="Times New Roman" w:hAnsi="Times New Roman" w:cs="Times New Roman"/>
          <w:sz w:val="24"/>
          <w:szCs w:val="24"/>
        </w:rPr>
        <w:footnoteReference w:id="73"/>
      </w:r>
      <w:r w:rsidRPr="0004788F">
        <w:rPr>
          <w:rFonts w:ascii="Times New Roman" w:hAnsi="Times New Roman" w:cs="Times New Roman"/>
          <w:sz w:val="24"/>
          <w:szCs w:val="24"/>
        </w:rPr>
        <w:t xml:space="preserve"> </w:t>
      </w:r>
    </w:p>
    <w:p w:rsidR="009A19C5" w:rsidRPr="008617ED"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The other category of ring-fencing is the structural separation approach. This approach involves the separation of the bank/financial institution’s functions, such as the separation of the bank’s retail section/department that deals with individual depositors and/or small businesses, from the wholesale and investment section/department of the bank. The overall imperative is to reduce financial risks that the retail section of the bank may be exposed to, emanating from other sections/departments of the bank, such as the investment and international banking sections where all banking activities are operated under the same balance sheet.</w:t>
      </w:r>
      <w:r w:rsidRPr="0004788F">
        <w:rPr>
          <w:rStyle w:val="FootnoteReference"/>
          <w:rFonts w:ascii="Times New Roman" w:hAnsi="Times New Roman" w:cs="Times New Roman"/>
          <w:sz w:val="24"/>
          <w:szCs w:val="24"/>
        </w:rPr>
        <w:footnoteReference w:id="74"/>
      </w:r>
      <w:r w:rsidRPr="0004788F">
        <w:rPr>
          <w:rFonts w:ascii="Times New Roman" w:hAnsi="Times New Roman" w:cs="Times New Roman"/>
          <w:sz w:val="24"/>
          <w:szCs w:val="24"/>
        </w:rPr>
        <w:t xml:space="preserve"> </w:t>
      </w:r>
      <w:r w:rsidR="009A19C5" w:rsidRPr="0004788F">
        <w:rPr>
          <w:rFonts w:ascii="Times New Roman" w:hAnsi="Times New Roman" w:cs="Times New Roman"/>
          <w:sz w:val="24"/>
          <w:szCs w:val="24"/>
        </w:rPr>
        <w:t xml:space="preserve">The question </w:t>
      </w:r>
      <w:r w:rsidR="00C81ECF">
        <w:rPr>
          <w:rFonts w:ascii="Times New Roman" w:hAnsi="Times New Roman" w:cs="Times New Roman"/>
          <w:sz w:val="24"/>
          <w:szCs w:val="24"/>
        </w:rPr>
        <w:t xml:space="preserve">therefore, </w:t>
      </w:r>
      <w:r w:rsidR="009A19C5" w:rsidRPr="0004788F">
        <w:rPr>
          <w:rFonts w:ascii="Times New Roman" w:hAnsi="Times New Roman" w:cs="Times New Roman"/>
          <w:sz w:val="24"/>
          <w:szCs w:val="24"/>
        </w:rPr>
        <w:t>is</w:t>
      </w:r>
      <w:r w:rsidR="00C81ECF">
        <w:rPr>
          <w:rFonts w:ascii="Times New Roman" w:hAnsi="Times New Roman" w:cs="Times New Roman"/>
          <w:sz w:val="24"/>
          <w:szCs w:val="24"/>
        </w:rPr>
        <w:t xml:space="preserve"> </w:t>
      </w:r>
      <w:r w:rsidR="009A19C5" w:rsidRPr="0004788F">
        <w:rPr>
          <w:rFonts w:ascii="Times New Roman" w:hAnsi="Times New Roman" w:cs="Times New Roman"/>
          <w:sz w:val="24"/>
          <w:szCs w:val="24"/>
        </w:rPr>
        <w:t xml:space="preserve">how would ring-fencing aid the enhancement of depositor protection in </w:t>
      </w:r>
      <w:r w:rsidR="00C81ECF">
        <w:rPr>
          <w:rFonts w:ascii="Times New Roman" w:hAnsi="Times New Roman" w:cs="Times New Roman"/>
          <w:sz w:val="24"/>
          <w:szCs w:val="24"/>
        </w:rPr>
        <w:t xml:space="preserve">Uganda and other </w:t>
      </w:r>
      <w:r w:rsidR="009A19C5" w:rsidRPr="0004788F">
        <w:rPr>
          <w:rFonts w:ascii="Times New Roman" w:hAnsi="Times New Roman" w:cs="Times New Roman"/>
          <w:sz w:val="24"/>
          <w:szCs w:val="24"/>
        </w:rPr>
        <w:t xml:space="preserve">SSA </w:t>
      </w:r>
      <w:r w:rsidR="0008153B">
        <w:rPr>
          <w:rFonts w:ascii="Times New Roman" w:hAnsi="Times New Roman" w:cs="Times New Roman"/>
          <w:sz w:val="24"/>
          <w:szCs w:val="24"/>
        </w:rPr>
        <w:t>d</w:t>
      </w:r>
      <w:r w:rsidR="009A19C5" w:rsidRPr="0004788F">
        <w:rPr>
          <w:rFonts w:ascii="Times New Roman" w:hAnsi="Times New Roman" w:cs="Times New Roman"/>
          <w:sz w:val="24"/>
          <w:szCs w:val="24"/>
        </w:rPr>
        <w:t xml:space="preserve">eveloping </w:t>
      </w:r>
      <w:r w:rsidR="0008153B">
        <w:rPr>
          <w:rFonts w:ascii="Times New Roman" w:hAnsi="Times New Roman" w:cs="Times New Roman"/>
          <w:sz w:val="24"/>
          <w:szCs w:val="24"/>
        </w:rPr>
        <w:t>e</w:t>
      </w:r>
      <w:r w:rsidR="009A19C5" w:rsidRPr="0004788F">
        <w:rPr>
          <w:rFonts w:ascii="Times New Roman" w:hAnsi="Times New Roman" w:cs="Times New Roman"/>
          <w:sz w:val="24"/>
          <w:szCs w:val="24"/>
        </w:rPr>
        <w:t>conomies if adopted? The answer lies</w:t>
      </w:r>
      <w:r w:rsidR="00C81ECF">
        <w:rPr>
          <w:rFonts w:ascii="Times New Roman" w:hAnsi="Times New Roman" w:cs="Times New Roman"/>
          <w:sz w:val="24"/>
          <w:szCs w:val="24"/>
        </w:rPr>
        <w:t xml:space="preserve"> in</w:t>
      </w:r>
      <w:r w:rsidR="009A19C5" w:rsidRPr="0004788F">
        <w:rPr>
          <w:rFonts w:ascii="Times New Roman" w:hAnsi="Times New Roman" w:cs="Times New Roman"/>
          <w:sz w:val="24"/>
          <w:szCs w:val="24"/>
        </w:rPr>
        <w:t xml:space="preserve"> ring-fencing through structural separation as discussed below.</w:t>
      </w:r>
    </w:p>
    <w:p w:rsidR="00D80DCD" w:rsidRPr="0004788F" w:rsidRDefault="00D80DCD" w:rsidP="0004788F">
      <w:pPr>
        <w:spacing w:line="360" w:lineRule="auto"/>
        <w:jc w:val="both"/>
        <w:rPr>
          <w:rFonts w:ascii="Times New Roman" w:hAnsi="Times New Roman" w:cs="Times New Roman"/>
          <w:b/>
          <w:sz w:val="24"/>
          <w:szCs w:val="24"/>
        </w:rPr>
      </w:pPr>
      <w:r w:rsidRPr="0004788F">
        <w:rPr>
          <w:rFonts w:ascii="Times New Roman" w:hAnsi="Times New Roman" w:cs="Times New Roman"/>
          <w:b/>
          <w:sz w:val="24"/>
          <w:szCs w:val="24"/>
        </w:rPr>
        <w:t>Ring-fencing through structural separation</w:t>
      </w:r>
      <w:r w:rsidRPr="0004788F">
        <w:rPr>
          <w:rFonts w:ascii="Times New Roman" w:hAnsi="Times New Roman" w:cs="Times New Roman"/>
          <w:b/>
          <w:color w:val="FF0000"/>
          <w:sz w:val="24"/>
          <w:szCs w:val="24"/>
        </w:rPr>
        <w:t xml:space="preserve"> </w:t>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According to the Bank for International </w:t>
      </w:r>
      <w:r w:rsidRPr="004342A8">
        <w:rPr>
          <w:rFonts w:ascii="Times New Roman" w:hAnsi="Times New Roman" w:cs="Times New Roman"/>
          <w:sz w:val="24"/>
          <w:szCs w:val="24"/>
        </w:rPr>
        <w:t xml:space="preserve">Settlement </w:t>
      </w:r>
      <w:r w:rsidR="004342A8" w:rsidRPr="004342A8">
        <w:rPr>
          <w:rFonts w:ascii="Times New Roman" w:hAnsi="Times New Roman" w:cs="Times New Roman"/>
          <w:sz w:val="24"/>
          <w:szCs w:val="24"/>
        </w:rPr>
        <w:t>(</w:t>
      </w:r>
      <w:r w:rsidRPr="004342A8">
        <w:rPr>
          <w:rFonts w:ascii="Times New Roman" w:hAnsi="Times New Roman" w:cs="Times New Roman"/>
          <w:sz w:val="24"/>
          <w:szCs w:val="24"/>
        </w:rPr>
        <w:t>BIS</w:t>
      </w:r>
      <w:r w:rsidR="004342A8" w:rsidRPr="004342A8">
        <w:rPr>
          <w:rFonts w:ascii="Times New Roman" w:hAnsi="Times New Roman" w:cs="Times New Roman"/>
          <w:sz w:val="24"/>
          <w:szCs w:val="24"/>
        </w:rPr>
        <w:t>)</w:t>
      </w:r>
      <w:r w:rsidRPr="004342A8">
        <w:rPr>
          <w:rFonts w:ascii="Times New Roman" w:hAnsi="Times New Roman" w:cs="Times New Roman"/>
          <w:sz w:val="24"/>
          <w:szCs w:val="24"/>
        </w:rPr>
        <w:t xml:space="preserve">, </w:t>
      </w:r>
      <w:r w:rsidRPr="0004788F">
        <w:rPr>
          <w:rFonts w:ascii="Times New Roman" w:hAnsi="Times New Roman" w:cs="Times New Roman"/>
          <w:sz w:val="24"/>
          <w:szCs w:val="24"/>
        </w:rPr>
        <w:t xml:space="preserve">structural separation would protect commercial banking directly by shielding the bank from losses incurred elsewhere. This separation would provide an indirect form of protection for commercial banking activities by reducing their complexity and size which makes them easier to manage, supervise and resolve, as well as being more transparent to external </w:t>
      </w:r>
      <w:r w:rsidRPr="006414CF">
        <w:rPr>
          <w:rFonts w:ascii="Times New Roman" w:hAnsi="Times New Roman" w:cs="Times New Roman"/>
          <w:sz w:val="24"/>
          <w:szCs w:val="24"/>
        </w:rPr>
        <w:t>stakeholders, such as mobile banking depositors.</w:t>
      </w:r>
      <w:r w:rsidRPr="006414CF">
        <w:rPr>
          <w:rStyle w:val="FootnoteReference"/>
          <w:rFonts w:ascii="Times New Roman" w:hAnsi="Times New Roman" w:cs="Times New Roman"/>
          <w:sz w:val="24"/>
          <w:szCs w:val="24"/>
        </w:rPr>
        <w:footnoteReference w:id="75"/>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In addition, structural separation may prevent the aggressive risk-taking culture of investment banking from infecting the more utility-like business of commercial banking</w:t>
      </w:r>
      <w:r w:rsidR="006414CF">
        <w:rPr>
          <w:rFonts w:ascii="Times New Roman" w:hAnsi="Times New Roman" w:cs="Times New Roman"/>
          <w:sz w:val="24"/>
          <w:szCs w:val="24"/>
        </w:rPr>
        <w:t xml:space="preserve"> </w:t>
      </w:r>
      <w:r w:rsidRPr="0004788F">
        <w:rPr>
          <w:rFonts w:ascii="Times New Roman" w:hAnsi="Times New Roman" w:cs="Times New Roman"/>
          <w:sz w:val="24"/>
          <w:szCs w:val="24"/>
        </w:rPr>
        <w:t>which can reduce moral hazards. This would prevent public sector support of protected activities, such as (deposit guarantees and central bank lending) from indirectly subsidising other business activities.</w:t>
      </w:r>
      <w:r w:rsidRPr="0004788F">
        <w:rPr>
          <w:rStyle w:val="FootnoteReference"/>
          <w:rFonts w:ascii="Times New Roman" w:hAnsi="Times New Roman" w:cs="Times New Roman"/>
          <w:sz w:val="24"/>
          <w:szCs w:val="24"/>
        </w:rPr>
        <w:footnoteReference w:id="76"/>
      </w:r>
      <w:r w:rsidRPr="0004788F">
        <w:rPr>
          <w:rFonts w:ascii="Times New Roman" w:hAnsi="Times New Roman" w:cs="Times New Roman"/>
          <w:sz w:val="24"/>
          <w:szCs w:val="24"/>
        </w:rPr>
        <w:t xml:space="preserve"> However, the BIS also acknowledges that structural separation reform initiatives are not without challenges. Key amongst these, is the challenge in defining and enforcing the lines that </w:t>
      </w:r>
      <w:r w:rsidRPr="0004788F">
        <w:rPr>
          <w:rFonts w:ascii="Times New Roman" w:hAnsi="Times New Roman" w:cs="Times New Roman"/>
          <w:sz w:val="24"/>
          <w:szCs w:val="24"/>
        </w:rPr>
        <w:lastRenderedPageBreak/>
        <w:t>separate commercial and investment banking activities, especially in an increasingly complex financial marketplace.</w:t>
      </w:r>
      <w:r w:rsidRPr="0004788F">
        <w:rPr>
          <w:rStyle w:val="FootnoteReference"/>
          <w:rFonts w:ascii="Times New Roman" w:hAnsi="Times New Roman" w:cs="Times New Roman"/>
          <w:sz w:val="24"/>
          <w:szCs w:val="24"/>
        </w:rPr>
        <w:footnoteReference w:id="77"/>
      </w:r>
    </w:p>
    <w:p w:rsidR="00D80DCD" w:rsidRPr="006414C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Professors Campbell and Moffatt are of the view that there may be a case where some activities </w:t>
      </w:r>
      <w:r w:rsidRPr="006414CF">
        <w:rPr>
          <w:rFonts w:ascii="Times New Roman" w:hAnsi="Times New Roman" w:cs="Times New Roman"/>
          <w:sz w:val="24"/>
          <w:szCs w:val="24"/>
        </w:rPr>
        <w:t xml:space="preserve">cannot be compartmentalised easily into </w:t>
      </w:r>
      <w:r w:rsidR="006414CF" w:rsidRPr="006414CF">
        <w:rPr>
          <w:rFonts w:ascii="Times New Roman" w:hAnsi="Times New Roman" w:cs="Times New Roman"/>
          <w:sz w:val="24"/>
          <w:szCs w:val="24"/>
        </w:rPr>
        <w:t>“</w:t>
      </w:r>
      <w:r w:rsidRPr="006414CF">
        <w:rPr>
          <w:rFonts w:ascii="Times New Roman" w:hAnsi="Times New Roman" w:cs="Times New Roman"/>
          <w:sz w:val="24"/>
          <w:szCs w:val="24"/>
        </w:rPr>
        <w:t>retail bank functions</w:t>
      </w:r>
      <w:r w:rsidR="006414CF" w:rsidRPr="006414CF">
        <w:rPr>
          <w:rFonts w:ascii="Times New Roman" w:hAnsi="Times New Roman" w:cs="Times New Roman"/>
          <w:sz w:val="24"/>
          <w:szCs w:val="24"/>
        </w:rPr>
        <w:t>”</w:t>
      </w:r>
      <w:r w:rsidRPr="006414CF">
        <w:rPr>
          <w:rFonts w:ascii="Times New Roman" w:hAnsi="Times New Roman" w:cs="Times New Roman"/>
          <w:sz w:val="24"/>
          <w:szCs w:val="24"/>
        </w:rPr>
        <w:t xml:space="preserve"> or </w:t>
      </w:r>
      <w:r w:rsidR="006414CF" w:rsidRPr="006414CF">
        <w:rPr>
          <w:rFonts w:ascii="Times New Roman" w:hAnsi="Times New Roman" w:cs="Times New Roman"/>
          <w:sz w:val="24"/>
          <w:szCs w:val="24"/>
        </w:rPr>
        <w:t>“</w:t>
      </w:r>
      <w:r w:rsidRPr="006414CF">
        <w:rPr>
          <w:rFonts w:ascii="Times New Roman" w:hAnsi="Times New Roman" w:cs="Times New Roman"/>
          <w:sz w:val="24"/>
          <w:szCs w:val="24"/>
        </w:rPr>
        <w:t>investment bank functions</w:t>
      </w:r>
      <w:r w:rsidR="006414CF" w:rsidRPr="006414CF">
        <w:rPr>
          <w:rFonts w:ascii="Times New Roman" w:hAnsi="Times New Roman" w:cs="Times New Roman"/>
          <w:sz w:val="24"/>
          <w:szCs w:val="24"/>
        </w:rPr>
        <w:t>.”</w:t>
      </w:r>
      <w:r w:rsidRPr="006414CF">
        <w:rPr>
          <w:rFonts w:ascii="Times New Roman" w:hAnsi="Times New Roman" w:cs="Times New Roman"/>
          <w:sz w:val="24"/>
          <w:szCs w:val="24"/>
        </w:rPr>
        <w:t xml:space="preserve"> This is where for example, a banking/financial service or product has been designed specifically to protect certain consumers. This may for example, be the case with mobile money banking. It may be the case therefore, that retail customers benefit from investment bank activities specifically designed to protect them from risk, through interest rate or currency hedging arrangements.</w:t>
      </w:r>
      <w:r w:rsidRPr="006414CF">
        <w:rPr>
          <w:rStyle w:val="FootnoteReference"/>
          <w:rFonts w:ascii="Times New Roman" w:hAnsi="Times New Roman" w:cs="Times New Roman"/>
          <w:sz w:val="24"/>
          <w:szCs w:val="24"/>
        </w:rPr>
        <w:footnoteReference w:id="78"/>
      </w:r>
      <w:r w:rsidRPr="006414CF">
        <w:rPr>
          <w:rFonts w:ascii="Times New Roman" w:hAnsi="Times New Roman" w:cs="Times New Roman"/>
          <w:sz w:val="24"/>
          <w:szCs w:val="24"/>
        </w:rPr>
        <w:t xml:space="preserve"> In light of this point of view, ring-fencing initiatives may be designed to purely protect and safeguard mobile money banking customers from an otherwise</w:t>
      </w:r>
      <w:r w:rsidR="00087946" w:rsidRPr="006414CF">
        <w:rPr>
          <w:rFonts w:ascii="Times New Roman" w:hAnsi="Times New Roman" w:cs="Times New Roman"/>
          <w:sz w:val="24"/>
          <w:szCs w:val="24"/>
        </w:rPr>
        <w:t xml:space="preserve"> universal banking model within</w:t>
      </w:r>
      <w:r w:rsidRPr="006414CF">
        <w:rPr>
          <w:rFonts w:ascii="Times New Roman" w:hAnsi="Times New Roman" w:cs="Times New Roman"/>
          <w:sz w:val="24"/>
          <w:szCs w:val="24"/>
        </w:rPr>
        <w:t xml:space="preserve"> financial and banking sectors</w:t>
      </w:r>
      <w:r w:rsidR="006414CF" w:rsidRPr="006414CF">
        <w:rPr>
          <w:rFonts w:ascii="Times New Roman" w:hAnsi="Times New Roman" w:cs="Times New Roman"/>
          <w:sz w:val="24"/>
          <w:szCs w:val="24"/>
        </w:rPr>
        <w:t xml:space="preserve"> of SSA </w:t>
      </w:r>
      <w:r w:rsidR="00011AA5">
        <w:rPr>
          <w:rFonts w:ascii="Times New Roman" w:hAnsi="Times New Roman" w:cs="Times New Roman"/>
          <w:sz w:val="24"/>
          <w:szCs w:val="24"/>
        </w:rPr>
        <w:t>d</w:t>
      </w:r>
      <w:r w:rsidR="006414CF" w:rsidRPr="006414CF">
        <w:rPr>
          <w:rFonts w:ascii="Times New Roman" w:hAnsi="Times New Roman" w:cs="Times New Roman"/>
          <w:sz w:val="24"/>
          <w:szCs w:val="24"/>
        </w:rPr>
        <w:t>eveloping economies.</w:t>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The Independent Commission on Banking of the United Kingdom led by Sir John Vickers,</w:t>
      </w:r>
      <w:r w:rsidRPr="0004788F">
        <w:rPr>
          <w:rStyle w:val="FootnoteReference"/>
          <w:rFonts w:ascii="Times New Roman" w:hAnsi="Times New Roman" w:cs="Times New Roman"/>
          <w:sz w:val="24"/>
          <w:szCs w:val="24"/>
        </w:rPr>
        <w:footnoteReference w:id="79"/>
      </w:r>
      <w:r w:rsidRPr="0004788F">
        <w:rPr>
          <w:rFonts w:ascii="Times New Roman" w:hAnsi="Times New Roman" w:cs="Times New Roman"/>
          <w:sz w:val="24"/>
          <w:szCs w:val="24"/>
        </w:rPr>
        <w:t xml:space="preserve"> in its published final Report of September 2011, made some recommendation that would address some technicalities with ring-fencing, especially under structural separation.</w:t>
      </w:r>
      <w:r w:rsidR="006414CF">
        <w:rPr>
          <w:rStyle w:val="FootnoteReference"/>
          <w:rFonts w:ascii="Times New Roman" w:hAnsi="Times New Roman" w:cs="Times New Roman"/>
          <w:sz w:val="24"/>
          <w:szCs w:val="24"/>
        </w:rPr>
        <w:footnoteReference w:id="80"/>
      </w:r>
      <w:r w:rsidRPr="0004788F">
        <w:rPr>
          <w:rFonts w:ascii="Times New Roman" w:hAnsi="Times New Roman" w:cs="Times New Roman"/>
          <w:sz w:val="24"/>
          <w:szCs w:val="24"/>
        </w:rPr>
        <w:t xml:space="preserve"> </w:t>
      </w:r>
      <w:r w:rsidR="006414CF">
        <w:rPr>
          <w:rFonts w:ascii="Times New Roman" w:hAnsi="Times New Roman" w:cs="Times New Roman"/>
          <w:sz w:val="24"/>
          <w:szCs w:val="24"/>
        </w:rPr>
        <w:t>One</w:t>
      </w:r>
      <w:r w:rsidRPr="0004788F">
        <w:rPr>
          <w:rFonts w:ascii="Times New Roman" w:hAnsi="Times New Roman" w:cs="Times New Roman"/>
          <w:sz w:val="24"/>
          <w:szCs w:val="24"/>
        </w:rPr>
        <w:t xml:space="preserve"> of the key recommendations, and very central to this article was that banks should ring-fence retail banking services/activities from investment banking services/activities in order to safeguard against riskier banking activities. In SSA developing economies, mobile money banking can be seen as a riskier banking activity due to lack</w:t>
      </w:r>
      <w:r w:rsidR="00087946" w:rsidRPr="0004788F">
        <w:rPr>
          <w:rFonts w:ascii="Times New Roman" w:hAnsi="Times New Roman" w:cs="Times New Roman"/>
          <w:sz w:val="24"/>
          <w:szCs w:val="24"/>
        </w:rPr>
        <w:t xml:space="preserve"> of</w:t>
      </w:r>
      <w:r w:rsidRPr="0004788F">
        <w:rPr>
          <w:rFonts w:ascii="Times New Roman" w:hAnsi="Times New Roman" w:cs="Times New Roman"/>
          <w:sz w:val="24"/>
          <w:szCs w:val="24"/>
        </w:rPr>
        <w:t xml:space="preserve"> formal legislative regime for the protection </w:t>
      </w:r>
      <w:r w:rsidR="00087946" w:rsidRPr="0004788F">
        <w:rPr>
          <w:rFonts w:ascii="Times New Roman" w:hAnsi="Times New Roman" w:cs="Times New Roman"/>
          <w:sz w:val="24"/>
          <w:szCs w:val="24"/>
        </w:rPr>
        <w:t xml:space="preserve">of </w:t>
      </w:r>
      <w:r w:rsidRPr="0004788F">
        <w:rPr>
          <w:rFonts w:ascii="Times New Roman" w:hAnsi="Times New Roman" w:cs="Times New Roman"/>
          <w:sz w:val="24"/>
          <w:szCs w:val="24"/>
        </w:rPr>
        <w:t xml:space="preserve">depositors on insolvency of the service provider, other than the protection under general </w:t>
      </w:r>
      <w:r w:rsidR="006414CF">
        <w:rPr>
          <w:rFonts w:ascii="Times New Roman" w:hAnsi="Times New Roman" w:cs="Times New Roman"/>
          <w:sz w:val="24"/>
          <w:szCs w:val="24"/>
        </w:rPr>
        <w:t xml:space="preserve">corporate </w:t>
      </w:r>
      <w:r w:rsidRPr="0004788F">
        <w:rPr>
          <w:rFonts w:ascii="Times New Roman" w:hAnsi="Times New Roman" w:cs="Times New Roman"/>
          <w:sz w:val="24"/>
          <w:szCs w:val="24"/>
        </w:rPr>
        <w:t>insolvency laws.</w:t>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On this point, the Report recommended two avenues on how structural separation in an efficient ring-</w:t>
      </w:r>
      <w:r w:rsidRPr="006414CF">
        <w:rPr>
          <w:rFonts w:ascii="Times New Roman" w:hAnsi="Times New Roman" w:cs="Times New Roman"/>
          <w:sz w:val="24"/>
          <w:szCs w:val="24"/>
        </w:rPr>
        <w:t xml:space="preserve">fencing model </w:t>
      </w:r>
      <w:r w:rsidRPr="0004788F">
        <w:rPr>
          <w:rFonts w:ascii="Times New Roman" w:hAnsi="Times New Roman" w:cs="Times New Roman"/>
          <w:sz w:val="24"/>
          <w:szCs w:val="24"/>
        </w:rPr>
        <w:t xml:space="preserve">could be implemented. The first step was identifying the activities that should be protected/separated through ring-fencing </w:t>
      </w:r>
      <w:r w:rsidR="004342A8" w:rsidRPr="004342A8">
        <w:rPr>
          <w:rFonts w:ascii="Times New Roman" w:hAnsi="Times New Roman" w:cs="Times New Roman"/>
          <w:sz w:val="24"/>
          <w:szCs w:val="24"/>
        </w:rPr>
        <w:t>(</w:t>
      </w:r>
      <w:r w:rsidRPr="004342A8">
        <w:rPr>
          <w:rFonts w:ascii="Times New Roman" w:hAnsi="Times New Roman" w:cs="Times New Roman"/>
          <w:sz w:val="24"/>
          <w:szCs w:val="24"/>
        </w:rPr>
        <w:t>deciding where the fence should be placed</w:t>
      </w:r>
      <w:r w:rsidR="004342A8" w:rsidRPr="004342A8">
        <w:rPr>
          <w:rFonts w:ascii="Times New Roman" w:hAnsi="Times New Roman" w:cs="Times New Roman"/>
          <w:sz w:val="24"/>
          <w:szCs w:val="24"/>
        </w:rPr>
        <w:t>)</w:t>
      </w:r>
      <w:r w:rsidRPr="0004788F">
        <w:rPr>
          <w:rFonts w:ascii="Times New Roman" w:hAnsi="Times New Roman" w:cs="Times New Roman"/>
          <w:sz w:val="24"/>
          <w:szCs w:val="24"/>
        </w:rPr>
        <w:t xml:space="preserve"> and the second was determining the corporate structure – deciding which </w:t>
      </w:r>
      <w:r w:rsidR="004342A8">
        <w:rPr>
          <w:rFonts w:ascii="Times New Roman" w:hAnsi="Times New Roman" w:cs="Times New Roman"/>
          <w:sz w:val="24"/>
          <w:szCs w:val="24"/>
        </w:rPr>
        <w:lastRenderedPageBreak/>
        <w:t>(</w:t>
      </w:r>
      <w:r w:rsidRPr="0004788F">
        <w:rPr>
          <w:rFonts w:ascii="Times New Roman" w:hAnsi="Times New Roman" w:cs="Times New Roman"/>
          <w:sz w:val="24"/>
          <w:szCs w:val="24"/>
        </w:rPr>
        <w:t>services/activities should be inside/outside the fence</w:t>
      </w:r>
      <w:r w:rsidR="004342A8">
        <w:rPr>
          <w:rFonts w:ascii="Times New Roman" w:hAnsi="Times New Roman" w:cs="Times New Roman"/>
          <w:sz w:val="24"/>
          <w:szCs w:val="24"/>
        </w:rPr>
        <w:t>)</w:t>
      </w:r>
      <w:r w:rsidRPr="0004788F">
        <w:rPr>
          <w:rFonts w:ascii="Times New Roman" w:hAnsi="Times New Roman" w:cs="Times New Roman"/>
          <w:sz w:val="24"/>
          <w:szCs w:val="24"/>
        </w:rPr>
        <w:t>.</w:t>
      </w:r>
      <w:r w:rsidRPr="0004788F">
        <w:rPr>
          <w:rStyle w:val="FootnoteReference"/>
          <w:rFonts w:ascii="Times New Roman" w:hAnsi="Times New Roman" w:cs="Times New Roman"/>
          <w:sz w:val="24"/>
          <w:szCs w:val="24"/>
        </w:rPr>
        <w:footnoteReference w:id="81"/>
      </w:r>
      <w:r w:rsidRPr="0004788F">
        <w:rPr>
          <w:rFonts w:ascii="Times New Roman" w:hAnsi="Times New Roman" w:cs="Times New Roman"/>
          <w:sz w:val="24"/>
          <w:szCs w:val="24"/>
        </w:rPr>
        <w:t xml:space="preserve"> These activities/services were further categorised into two tenets – mandated services and prohibited services.</w:t>
      </w:r>
    </w:p>
    <w:p w:rsidR="00D80DCD" w:rsidRPr="0004788F" w:rsidRDefault="00D80DCD" w:rsidP="0004788F">
      <w:pPr>
        <w:spacing w:line="360" w:lineRule="auto"/>
        <w:jc w:val="both"/>
        <w:rPr>
          <w:rFonts w:ascii="Times New Roman" w:hAnsi="Times New Roman" w:cs="Times New Roman"/>
          <w:sz w:val="24"/>
          <w:szCs w:val="24"/>
        </w:rPr>
      </w:pPr>
      <w:r w:rsidRPr="0069317F">
        <w:rPr>
          <w:rFonts w:ascii="Times New Roman" w:hAnsi="Times New Roman" w:cs="Times New Roman"/>
          <w:sz w:val="24"/>
          <w:szCs w:val="24"/>
        </w:rPr>
        <w:t xml:space="preserve">Mandated services would be the kind of services that include deposit taking and the provision of overdrafts to, individual customers and </w:t>
      </w:r>
      <w:r w:rsidR="00087946" w:rsidRPr="0069317F">
        <w:rPr>
          <w:rFonts w:ascii="Times New Roman" w:hAnsi="Times New Roman" w:cs="Times New Roman"/>
          <w:sz w:val="24"/>
          <w:szCs w:val="24"/>
        </w:rPr>
        <w:t>small and medium-sized e</w:t>
      </w:r>
      <w:r w:rsidRPr="0069317F">
        <w:rPr>
          <w:rFonts w:ascii="Times New Roman" w:hAnsi="Times New Roman" w:cs="Times New Roman"/>
          <w:sz w:val="24"/>
          <w:szCs w:val="24"/>
        </w:rPr>
        <w:t xml:space="preserve">nterprises </w:t>
      </w:r>
      <w:r w:rsidR="004342A8" w:rsidRPr="0069317F">
        <w:rPr>
          <w:rFonts w:ascii="Times New Roman" w:hAnsi="Times New Roman" w:cs="Times New Roman"/>
          <w:sz w:val="24"/>
          <w:szCs w:val="24"/>
        </w:rPr>
        <w:t>(</w:t>
      </w:r>
      <w:r w:rsidRPr="0069317F">
        <w:rPr>
          <w:rFonts w:ascii="Times New Roman" w:hAnsi="Times New Roman" w:cs="Times New Roman"/>
          <w:sz w:val="24"/>
          <w:szCs w:val="24"/>
        </w:rPr>
        <w:t>SMEs</w:t>
      </w:r>
      <w:r w:rsidR="004342A8" w:rsidRPr="0069317F">
        <w:rPr>
          <w:rFonts w:ascii="Times New Roman" w:hAnsi="Times New Roman" w:cs="Times New Roman"/>
          <w:sz w:val="24"/>
          <w:szCs w:val="24"/>
        </w:rPr>
        <w:t>)</w:t>
      </w:r>
      <w:r w:rsidRPr="0069317F">
        <w:rPr>
          <w:rFonts w:ascii="Times New Roman" w:hAnsi="Times New Roman" w:cs="Times New Roman"/>
          <w:sz w:val="24"/>
          <w:szCs w:val="24"/>
        </w:rPr>
        <w:t>.</w:t>
      </w:r>
      <w:r w:rsidRPr="0069317F">
        <w:rPr>
          <w:rStyle w:val="FootnoteReference"/>
          <w:rFonts w:ascii="Times New Roman" w:hAnsi="Times New Roman" w:cs="Times New Roman"/>
          <w:sz w:val="24"/>
          <w:szCs w:val="24"/>
        </w:rPr>
        <w:footnoteReference w:id="82"/>
      </w:r>
      <w:r w:rsidRPr="0069317F">
        <w:rPr>
          <w:rFonts w:ascii="Times New Roman" w:hAnsi="Times New Roman" w:cs="Times New Roman"/>
          <w:sz w:val="24"/>
          <w:szCs w:val="24"/>
        </w:rPr>
        <w:t xml:space="preserve"> The premise is that even the slightest and/or temporary interruption to the provision of such services resulting from the bank’s failure would present significant economic costs to these consumers and where such customers are not well equipped to bear the consequences of such interruptions.</w:t>
      </w:r>
      <w:r w:rsidRPr="0069317F">
        <w:rPr>
          <w:rStyle w:val="FootnoteReference"/>
          <w:rFonts w:ascii="Times New Roman" w:hAnsi="Times New Roman" w:cs="Times New Roman"/>
          <w:sz w:val="24"/>
          <w:szCs w:val="24"/>
        </w:rPr>
        <w:footnoteReference w:id="83"/>
      </w:r>
      <w:r w:rsidRPr="0069317F">
        <w:rPr>
          <w:rFonts w:ascii="Times New Roman" w:hAnsi="Times New Roman" w:cs="Times New Roman"/>
          <w:sz w:val="24"/>
          <w:szCs w:val="24"/>
        </w:rPr>
        <w:t xml:space="preserve"> </w:t>
      </w:r>
      <w:r w:rsidRPr="0004788F">
        <w:rPr>
          <w:rFonts w:ascii="Times New Roman" w:hAnsi="Times New Roman" w:cs="Times New Roman"/>
          <w:sz w:val="24"/>
          <w:szCs w:val="24"/>
        </w:rPr>
        <w:t>Therefore, these services should only be provided by ring-fenced banks/companies and not all banks/financial institutions within the financial sector.</w:t>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Prohibited services would be the type that are not integral to the provision of payments services to customers, or the direct intermediation of funds between savers and borrowers within both the financial and the non-financial sector.</w:t>
      </w:r>
      <w:r w:rsidRPr="0004788F">
        <w:rPr>
          <w:rStyle w:val="FootnoteReference"/>
          <w:rFonts w:ascii="Times New Roman" w:hAnsi="Times New Roman" w:cs="Times New Roman"/>
          <w:sz w:val="24"/>
          <w:szCs w:val="24"/>
        </w:rPr>
        <w:footnoteReference w:id="84"/>
      </w:r>
      <w:r w:rsidRPr="0004788F">
        <w:rPr>
          <w:rFonts w:ascii="Times New Roman" w:hAnsi="Times New Roman" w:cs="Times New Roman"/>
          <w:sz w:val="24"/>
          <w:szCs w:val="24"/>
        </w:rPr>
        <w:t xml:space="preserve"> Such services would directly increase the exposure </w:t>
      </w:r>
      <w:r w:rsidRPr="0069317F">
        <w:rPr>
          <w:rFonts w:ascii="Times New Roman" w:hAnsi="Times New Roman" w:cs="Times New Roman"/>
          <w:sz w:val="24"/>
          <w:szCs w:val="24"/>
        </w:rPr>
        <w:t xml:space="preserve">of the ring-fenced bank to global financial market risks. In a nutshell, the overall aim of structural separation via ring-fencing would be to isolate essential small-scale/retail banking activities </w:t>
      </w:r>
      <w:r w:rsidR="0069317F" w:rsidRPr="0069317F">
        <w:rPr>
          <w:rFonts w:ascii="Times New Roman" w:hAnsi="Times New Roman" w:cs="Times New Roman"/>
          <w:sz w:val="24"/>
          <w:szCs w:val="24"/>
        </w:rPr>
        <w:t>(</w:t>
      </w:r>
      <w:r w:rsidRPr="0069317F">
        <w:rPr>
          <w:rFonts w:ascii="Times New Roman" w:hAnsi="Times New Roman" w:cs="Times New Roman"/>
          <w:sz w:val="24"/>
          <w:szCs w:val="24"/>
        </w:rPr>
        <w:t>mandated services</w:t>
      </w:r>
      <w:r w:rsidR="0069317F" w:rsidRPr="0069317F">
        <w:rPr>
          <w:rFonts w:ascii="Times New Roman" w:hAnsi="Times New Roman" w:cs="Times New Roman"/>
          <w:sz w:val="24"/>
          <w:szCs w:val="24"/>
        </w:rPr>
        <w:t>)</w:t>
      </w:r>
      <w:r w:rsidRPr="0069317F">
        <w:rPr>
          <w:rFonts w:ascii="Times New Roman" w:hAnsi="Times New Roman" w:cs="Times New Roman"/>
          <w:sz w:val="24"/>
          <w:szCs w:val="24"/>
        </w:rPr>
        <w:t xml:space="preserve"> and safeguard them against systemic shocks within the financial system so that these essential services are maintained even where the bank/financial institution experiences financial difficulties/crisis. It </w:t>
      </w:r>
      <w:r w:rsidR="00087946" w:rsidRPr="0069317F">
        <w:rPr>
          <w:rFonts w:ascii="Times New Roman" w:hAnsi="Times New Roman" w:cs="Times New Roman"/>
          <w:sz w:val="24"/>
          <w:szCs w:val="24"/>
        </w:rPr>
        <w:t xml:space="preserve">is </w:t>
      </w:r>
      <w:r w:rsidRPr="0069317F">
        <w:rPr>
          <w:rFonts w:ascii="Times New Roman" w:hAnsi="Times New Roman" w:cs="Times New Roman"/>
          <w:sz w:val="24"/>
          <w:szCs w:val="24"/>
        </w:rPr>
        <w:t>my argument therefore, that mobile money banking in SSA developing economies would benefit from this model of protection.</w:t>
      </w:r>
    </w:p>
    <w:p w:rsidR="00D80DCD" w:rsidRPr="0004788F" w:rsidRDefault="00D80DCD" w:rsidP="0004788F">
      <w:pPr>
        <w:spacing w:line="360" w:lineRule="auto"/>
        <w:jc w:val="both"/>
        <w:rPr>
          <w:rFonts w:ascii="Times New Roman" w:hAnsi="Times New Roman" w:cs="Times New Roman"/>
          <w:b/>
          <w:sz w:val="24"/>
          <w:szCs w:val="24"/>
        </w:rPr>
      </w:pPr>
      <w:r w:rsidRPr="0004788F">
        <w:rPr>
          <w:rFonts w:ascii="Times New Roman" w:hAnsi="Times New Roman" w:cs="Times New Roman"/>
          <w:b/>
          <w:sz w:val="24"/>
          <w:szCs w:val="24"/>
        </w:rPr>
        <w:t>Benefits of ring-fencing on enhancing depositor protection</w:t>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Like any other regulatory tool and/or policy framework, ring-fencing may present some challenges if adopted, especially in </w:t>
      </w:r>
      <w:r w:rsidR="00E54E00">
        <w:rPr>
          <w:rFonts w:ascii="Times New Roman" w:hAnsi="Times New Roman" w:cs="Times New Roman"/>
          <w:sz w:val="24"/>
          <w:szCs w:val="24"/>
        </w:rPr>
        <w:t xml:space="preserve">SSA </w:t>
      </w:r>
      <w:r w:rsidR="00011AA5">
        <w:rPr>
          <w:rFonts w:ascii="Times New Roman" w:hAnsi="Times New Roman" w:cs="Times New Roman"/>
          <w:sz w:val="24"/>
          <w:szCs w:val="24"/>
        </w:rPr>
        <w:t>d</w:t>
      </w:r>
      <w:r w:rsidR="00E54E00">
        <w:rPr>
          <w:rFonts w:ascii="Times New Roman" w:hAnsi="Times New Roman" w:cs="Times New Roman"/>
          <w:sz w:val="24"/>
          <w:szCs w:val="24"/>
        </w:rPr>
        <w:t xml:space="preserve">eveloping </w:t>
      </w:r>
      <w:r w:rsidR="00011AA5">
        <w:rPr>
          <w:rFonts w:ascii="Times New Roman" w:hAnsi="Times New Roman" w:cs="Times New Roman"/>
          <w:sz w:val="24"/>
          <w:szCs w:val="24"/>
        </w:rPr>
        <w:t>e</w:t>
      </w:r>
      <w:r w:rsidRPr="0004788F">
        <w:rPr>
          <w:rFonts w:ascii="Times New Roman" w:hAnsi="Times New Roman" w:cs="Times New Roman"/>
          <w:sz w:val="24"/>
          <w:szCs w:val="24"/>
        </w:rPr>
        <w:t xml:space="preserve">conomies where financial know-how, expertise </w:t>
      </w:r>
      <w:r w:rsidRPr="00E54E00">
        <w:rPr>
          <w:rFonts w:ascii="Times New Roman" w:hAnsi="Times New Roman" w:cs="Times New Roman"/>
          <w:sz w:val="24"/>
          <w:szCs w:val="24"/>
        </w:rPr>
        <w:t xml:space="preserve">and technologies </w:t>
      </w:r>
      <w:r w:rsidR="0069317F">
        <w:rPr>
          <w:rFonts w:ascii="Times New Roman" w:hAnsi="Times New Roman" w:cs="Times New Roman"/>
          <w:sz w:val="24"/>
          <w:szCs w:val="24"/>
        </w:rPr>
        <w:t>are</w:t>
      </w:r>
      <w:r w:rsidRPr="0004788F">
        <w:rPr>
          <w:rFonts w:ascii="Times New Roman" w:hAnsi="Times New Roman" w:cs="Times New Roman"/>
          <w:sz w:val="24"/>
          <w:szCs w:val="24"/>
        </w:rPr>
        <w:t xml:space="preserve"> in infancy stages compared to other developed jurisdictions like the UK or the US. For example, in the UK, the challenges highlighted by the Financial Stability Board (FSB) Report in 2014 prior to the implementation of ring-</w:t>
      </w:r>
      <w:r w:rsidRPr="00E54E00">
        <w:rPr>
          <w:rFonts w:ascii="Times New Roman" w:hAnsi="Times New Roman" w:cs="Times New Roman"/>
          <w:sz w:val="24"/>
          <w:szCs w:val="24"/>
        </w:rPr>
        <w:t>fencing in the UK included</w:t>
      </w:r>
      <w:r w:rsidR="0069317F">
        <w:rPr>
          <w:rFonts w:ascii="Times New Roman" w:hAnsi="Times New Roman" w:cs="Times New Roman"/>
          <w:sz w:val="24"/>
          <w:szCs w:val="24"/>
        </w:rPr>
        <w:t xml:space="preserve"> </w:t>
      </w:r>
      <w:r w:rsidR="0069317F" w:rsidRPr="0069317F">
        <w:rPr>
          <w:rFonts w:ascii="Times New Roman" w:hAnsi="Times New Roman" w:cs="Times New Roman"/>
          <w:i/>
          <w:sz w:val="24"/>
          <w:szCs w:val="24"/>
        </w:rPr>
        <w:t>inter alia</w:t>
      </w:r>
      <w:r w:rsidR="0069317F">
        <w:rPr>
          <w:rFonts w:ascii="Times New Roman" w:hAnsi="Times New Roman" w:cs="Times New Roman"/>
          <w:sz w:val="24"/>
          <w:szCs w:val="24"/>
        </w:rPr>
        <w:t xml:space="preserve">, </w:t>
      </w:r>
      <w:r w:rsidRPr="00E54E00">
        <w:rPr>
          <w:rFonts w:ascii="Times New Roman" w:hAnsi="Times New Roman" w:cs="Times New Roman"/>
          <w:sz w:val="24"/>
          <w:szCs w:val="24"/>
        </w:rPr>
        <w:t xml:space="preserve"> the high cost of its introduction and implementation within the financial </w:t>
      </w:r>
      <w:r w:rsidRPr="0004788F">
        <w:rPr>
          <w:rFonts w:ascii="Times New Roman" w:hAnsi="Times New Roman" w:cs="Times New Roman"/>
          <w:sz w:val="24"/>
          <w:szCs w:val="24"/>
        </w:rPr>
        <w:t>system, potential interruptions to free-flow of capital within the domestic financial sector and cross-border banking</w:t>
      </w:r>
      <w:r w:rsidR="0069317F">
        <w:rPr>
          <w:rFonts w:ascii="Times New Roman" w:hAnsi="Times New Roman" w:cs="Times New Roman"/>
          <w:sz w:val="24"/>
          <w:szCs w:val="24"/>
        </w:rPr>
        <w:t>,</w:t>
      </w:r>
      <w:r w:rsidRPr="0004788F">
        <w:rPr>
          <w:rFonts w:ascii="Times New Roman" w:hAnsi="Times New Roman" w:cs="Times New Roman"/>
          <w:sz w:val="24"/>
          <w:szCs w:val="24"/>
        </w:rPr>
        <w:t xml:space="preserve"> and potential complications to crisis management and resolvability initiatives </w:t>
      </w:r>
      <w:r w:rsidRPr="0004788F">
        <w:rPr>
          <w:rFonts w:ascii="Times New Roman" w:hAnsi="Times New Roman" w:cs="Times New Roman"/>
          <w:sz w:val="24"/>
          <w:szCs w:val="24"/>
        </w:rPr>
        <w:lastRenderedPageBreak/>
        <w:t>in place.</w:t>
      </w:r>
      <w:r w:rsidRPr="0004788F">
        <w:rPr>
          <w:rStyle w:val="FootnoteReference"/>
          <w:rFonts w:ascii="Times New Roman" w:hAnsi="Times New Roman" w:cs="Times New Roman"/>
          <w:sz w:val="24"/>
          <w:szCs w:val="24"/>
        </w:rPr>
        <w:footnoteReference w:id="85"/>
      </w:r>
      <w:r w:rsidRPr="0004788F">
        <w:rPr>
          <w:rFonts w:ascii="Times New Roman" w:hAnsi="Times New Roman" w:cs="Times New Roman"/>
          <w:sz w:val="24"/>
          <w:szCs w:val="24"/>
        </w:rPr>
        <w:t xml:space="preserve"> However, the Report also indicated that there had been no specific instances where structural banking reforms being implemented elsewhere had had material adverse impact on their domestic financial systems.</w:t>
      </w:r>
      <w:r w:rsidRPr="0004788F">
        <w:rPr>
          <w:rStyle w:val="FootnoteReference"/>
          <w:rFonts w:ascii="Times New Roman" w:hAnsi="Times New Roman" w:cs="Times New Roman"/>
          <w:sz w:val="24"/>
          <w:szCs w:val="24"/>
        </w:rPr>
        <w:footnoteReference w:id="86"/>
      </w:r>
      <w:r w:rsidRPr="0004788F">
        <w:rPr>
          <w:rFonts w:ascii="Times New Roman" w:hAnsi="Times New Roman" w:cs="Times New Roman"/>
          <w:sz w:val="24"/>
          <w:szCs w:val="24"/>
        </w:rPr>
        <w:t xml:space="preserve"> </w:t>
      </w:r>
    </w:p>
    <w:p w:rsidR="00D80DCD" w:rsidRPr="0004788F" w:rsidRDefault="00D80DCD" w:rsidP="0004788F">
      <w:pPr>
        <w:spacing w:line="360" w:lineRule="auto"/>
        <w:jc w:val="both"/>
        <w:rPr>
          <w:rFonts w:ascii="Times New Roman" w:hAnsi="Times New Roman" w:cs="Times New Roman"/>
          <w:sz w:val="24"/>
          <w:szCs w:val="24"/>
        </w:rPr>
      </w:pPr>
      <w:r w:rsidRPr="0004788F">
        <w:rPr>
          <w:rFonts w:ascii="Times New Roman" w:hAnsi="Times New Roman" w:cs="Times New Roman"/>
          <w:sz w:val="24"/>
          <w:szCs w:val="24"/>
        </w:rPr>
        <w:t xml:space="preserve">Among the many advantages that ring-fencing may bear on a bank’s financial stability and consequential depositor protection is the contention that if adopted and implemented, it can </w:t>
      </w:r>
      <w:r w:rsidRPr="0069317F">
        <w:rPr>
          <w:rFonts w:ascii="Times New Roman" w:hAnsi="Times New Roman" w:cs="Times New Roman"/>
          <w:sz w:val="24"/>
          <w:szCs w:val="24"/>
        </w:rPr>
        <w:t>facilitate that bank/financial institution</w:t>
      </w:r>
      <w:r w:rsidR="0069317F" w:rsidRPr="0069317F">
        <w:rPr>
          <w:rFonts w:ascii="Times New Roman" w:hAnsi="Times New Roman" w:cs="Times New Roman"/>
          <w:sz w:val="24"/>
          <w:szCs w:val="24"/>
        </w:rPr>
        <w:t>,</w:t>
      </w:r>
      <w:r w:rsidR="00087946" w:rsidRPr="0069317F">
        <w:rPr>
          <w:rFonts w:ascii="Times New Roman" w:hAnsi="Times New Roman" w:cs="Times New Roman"/>
          <w:sz w:val="24"/>
          <w:szCs w:val="24"/>
        </w:rPr>
        <w:t xml:space="preserve"> or mobile </w:t>
      </w:r>
      <w:r w:rsidR="0069317F" w:rsidRPr="0069317F">
        <w:rPr>
          <w:rFonts w:ascii="Times New Roman" w:hAnsi="Times New Roman" w:cs="Times New Roman"/>
          <w:sz w:val="24"/>
          <w:szCs w:val="24"/>
        </w:rPr>
        <w:t>money</w:t>
      </w:r>
      <w:r w:rsidR="00087946" w:rsidRPr="0069317F">
        <w:rPr>
          <w:rFonts w:ascii="Times New Roman" w:hAnsi="Times New Roman" w:cs="Times New Roman"/>
          <w:sz w:val="24"/>
          <w:szCs w:val="24"/>
        </w:rPr>
        <w:t xml:space="preserve"> provider</w:t>
      </w:r>
      <w:r w:rsidRPr="0069317F">
        <w:rPr>
          <w:rFonts w:ascii="Times New Roman" w:hAnsi="Times New Roman" w:cs="Times New Roman"/>
          <w:sz w:val="24"/>
          <w:szCs w:val="24"/>
        </w:rPr>
        <w:t xml:space="preserve"> to structure and then operate its business affairs on a stand-alone basis. For example, </w:t>
      </w:r>
      <w:r w:rsidR="00087946" w:rsidRPr="0069317F">
        <w:rPr>
          <w:rFonts w:ascii="Times New Roman" w:hAnsi="Times New Roman" w:cs="Times New Roman"/>
          <w:sz w:val="24"/>
          <w:szCs w:val="24"/>
        </w:rPr>
        <w:t xml:space="preserve">mobile money banking services </w:t>
      </w:r>
      <w:r w:rsidRPr="0069317F">
        <w:rPr>
          <w:rFonts w:ascii="Times New Roman" w:hAnsi="Times New Roman" w:cs="Times New Roman"/>
          <w:sz w:val="24"/>
          <w:szCs w:val="24"/>
        </w:rPr>
        <w:t xml:space="preserve">may be run separately from </w:t>
      </w:r>
      <w:r w:rsidR="00087946" w:rsidRPr="0069317F">
        <w:rPr>
          <w:rFonts w:ascii="Times New Roman" w:hAnsi="Times New Roman" w:cs="Times New Roman"/>
          <w:sz w:val="24"/>
          <w:szCs w:val="24"/>
        </w:rPr>
        <w:t xml:space="preserve">other banking/financial services/products offered by the bank or </w:t>
      </w:r>
      <w:r w:rsidR="00E54E00" w:rsidRPr="0069317F">
        <w:rPr>
          <w:rFonts w:ascii="Times New Roman" w:hAnsi="Times New Roman" w:cs="Times New Roman"/>
          <w:sz w:val="24"/>
          <w:szCs w:val="24"/>
        </w:rPr>
        <w:t>ne</w:t>
      </w:r>
      <w:r w:rsidR="00087946" w:rsidRPr="0069317F">
        <w:rPr>
          <w:rFonts w:ascii="Times New Roman" w:hAnsi="Times New Roman" w:cs="Times New Roman"/>
          <w:sz w:val="24"/>
          <w:szCs w:val="24"/>
        </w:rPr>
        <w:t>twork provider</w:t>
      </w:r>
      <w:r w:rsidRPr="0069317F">
        <w:rPr>
          <w:rFonts w:ascii="Times New Roman" w:hAnsi="Times New Roman" w:cs="Times New Roman"/>
          <w:sz w:val="24"/>
          <w:szCs w:val="24"/>
        </w:rPr>
        <w:t xml:space="preserve">. This has an advantage that high risks, financial struggles or failures of other arms of the bank, or other associated/interlinked entities may not adversely impact the </w:t>
      </w:r>
      <w:r w:rsidR="00087946" w:rsidRPr="0069317F">
        <w:rPr>
          <w:rFonts w:ascii="Times New Roman" w:hAnsi="Times New Roman" w:cs="Times New Roman"/>
          <w:sz w:val="24"/>
          <w:szCs w:val="24"/>
        </w:rPr>
        <w:t>mobile money customers</w:t>
      </w:r>
      <w:r w:rsidRPr="0069317F">
        <w:rPr>
          <w:rFonts w:ascii="Times New Roman" w:hAnsi="Times New Roman" w:cs="Times New Roman"/>
          <w:sz w:val="24"/>
          <w:szCs w:val="24"/>
        </w:rPr>
        <w:t xml:space="preserve"> or even worse, spreading the knock-on impact which may trigger its own collapse.</w:t>
      </w:r>
      <w:r w:rsidR="004342A8" w:rsidRPr="0069317F">
        <w:rPr>
          <w:rStyle w:val="FootnoteReference"/>
          <w:rFonts w:ascii="Times New Roman" w:hAnsi="Times New Roman" w:cs="Times New Roman"/>
          <w:sz w:val="24"/>
          <w:szCs w:val="24"/>
        </w:rPr>
        <w:footnoteReference w:id="87"/>
      </w:r>
      <w:r w:rsidRPr="0069317F">
        <w:rPr>
          <w:rFonts w:ascii="Times New Roman" w:hAnsi="Times New Roman" w:cs="Times New Roman"/>
          <w:sz w:val="24"/>
          <w:szCs w:val="24"/>
        </w:rPr>
        <w:t xml:space="preserve"> </w:t>
      </w:r>
    </w:p>
    <w:p w:rsidR="00087946" w:rsidRPr="0004788F" w:rsidRDefault="00087946" w:rsidP="0004788F">
      <w:pPr>
        <w:spacing w:line="360" w:lineRule="auto"/>
        <w:jc w:val="both"/>
        <w:rPr>
          <w:rFonts w:ascii="Times New Roman" w:hAnsi="Times New Roman" w:cs="Times New Roman"/>
          <w:b/>
          <w:sz w:val="24"/>
          <w:szCs w:val="24"/>
        </w:rPr>
      </w:pPr>
      <w:r w:rsidRPr="0004788F">
        <w:rPr>
          <w:rFonts w:ascii="Times New Roman" w:hAnsi="Times New Roman" w:cs="Times New Roman"/>
          <w:b/>
          <w:sz w:val="24"/>
          <w:szCs w:val="24"/>
        </w:rPr>
        <w:t>Conclusion</w:t>
      </w:r>
    </w:p>
    <w:p w:rsidR="00C62B91" w:rsidRPr="00917D17" w:rsidRDefault="00563C14" w:rsidP="0004788F">
      <w:pPr>
        <w:spacing w:line="360" w:lineRule="auto"/>
        <w:jc w:val="both"/>
        <w:rPr>
          <w:rFonts w:ascii="Times New Roman" w:hAnsi="Times New Roman" w:cs="Times New Roman"/>
          <w:sz w:val="24"/>
          <w:szCs w:val="24"/>
        </w:rPr>
      </w:pPr>
      <w:r w:rsidRPr="00336187">
        <w:rPr>
          <w:rFonts w:ascii="Times New Roman" w:hAnsi="Times New Roman" w:cs="Times New Roman"/>
          <w:sz w:val="24"/>
          <w:szCs w:val="24"/>
        </w:rPr>
        <w:t>One of the key functions of an efficient economic regulatory framework is the prevention of financial market failures within a financial system. This may be achieved through sustainable systemic risk control and/or reductions.</w:t>
      </w:r>
      <w:r w:rsidRPr="00336187">
        <w:rPr>
          <w:rStyle w:val="FootnoteReference"/>
          <w:rFonts w:ascii="Times New Roman" w:hAnsi="Times New Roman" w:cs="Times New Roman"/>
          <w:sz w:val="24"/>
          <w:szCs w:val="24"/>
        </w:rPr>
        <w:footnoteReference w:id="88"/>
      </w:r>
      <w:r w:rsidRPr="00336187">
        <w:rPr>
          <w:rFonts w:ascii="Times New Roman" w:hAnsi="Times New Roman" w:cs="Times New Roman"/>
          <w:sz w:val="24"/>
          <w:szCs w:val="24"/>
        </w:rPr>
        <w:t xml:space="preserve"> Following the global financial crisis of 2007/08 and the subsequent financial crisis in Cyprus in 2013 most sovereign States, especially the developed ones, such as th</w:t>
      </w:r>
      <w:r w:rsidR="003A3178">
        <w:rPr>
          <w:rFonts w:ascii="Times New Roman" w:hAnsi="Times New Roman" w:cs="Times New Roman"/>
          <w:sz w:val="24"/>
          <w:szCs w:val="24"/>
        </w:rPr>
        <w:t>e</w:t>
      </w:r>
      <w:r w:rsidRPr="00336187">
        <w:rPr>
          <w:rFonts w:ascii="Times New Roman" w:hAnsi="Times New Roman" w:cs="Times New Roman"/>
          <w:sz w:val="24"/>
          <w:szCs w:val="24"/>
        </w:rPr>
        <w:t xml:space="preserve"> UK undertook legislative, policy and procedural </w:t>
      </w:r>
      <w:r w:rsidRPr="0004788F">
        <w:rPr>
          <w:rFonts w:ascii="Times New Roman" w:hAnsi="Times New Roman" w:cs="Times New Roman"/>
          <w:sz w:val="24"/>
          <w:szCs w:val="24"/>
        </w:rPr>
        <w:t>efforts to put in place safeguards that could enhance depositor protection and also, detect and/or prevent subsequent financial crises within the banking and financial sectors.</w:t>
      </w:r>
      <w:r w:rsidR="00336187">
        <w:rPr>
          <w:rStyle w:val="FootnoteReference"/>
          <w:rFonts w:ascii="Times New Roman" w:hAnsi="Times New Roman" w:cs="Times New Roman"/>
          <w:sz w:val="24"/>
          <w:szCs w:val="24"/>
        </w:rPr>
        <w:footnoteReference w:id="89"/>
      </w:r>
      <w:r w:rsidR="00336187">
        <w:rPr>
          <w:rFonts w:ascii="Times New Roman" w:hAnsi="Times New Roman" w:cs="Times New Roman"/>
          <w:sz w:val="24"/>
          <w:szCs w:val="24"/>
        </w:rPr>
        <w:t xml:space="preserve"> </w:t>
      </w:r>
      <w:r w:rsidRPr="0004788F">
        <w:rPr>
          <w:rFonts w:ascii="Times New Roman" w:hAnsi="Times New Roman" w:cs="Times New Roman"/>
          <w:sz w:val="24"/>
          <w:szCs w:val="24"/>
        </w:rPr>
        <w:t>Among the legislative and policy moves undertaken by the UK, was the introduction of ring-fencing provisions for deposit-taking banks and financial institutions through the enactment of the Financial Services (Banking Reform) Act 2013 (FSBRA 2013),</w:t>
      </w:r>
      <w:r w:rsidRPr="0004788F">
        <w:rPr>
          <w:rStyle w:val="FootnoteReference"/>
          <w:rFonts w:ascii="Times New Roman" w:hAnsi="Times New Roman" w:cs="Times New Roman"/>
          <w:sz w:val="24"/>
          <w:szCs w:val="24"/>
        </w:rPr>
        <w:footnoteReference w:id="90"/>
      </w:r>
      <w:r w:rsidRPr="0004788F">
        <w:rPr>
          <w:rFonts w:ascii="Times New Roman" w:hAnsi="Times New Roman" w:cs="Times New Roman"/>
          <w:sz w:val="24"/>
          <w:szCs w:val="24"/>
        </w:rPr>
        <w:t xml:space="preserve"> that amended the Financial Services and </w:t>
      </w:r>
      <w:r w:rsidRPr="00917D17">
        <w:rPr>
          <w:rFonts w:ascii="Times New Roman" w:hAnsi="Times New Roman" w:cs="Times New Roman"/>
          <w:sz w:val="24"/>
          <w:szCs w:val="24"/>
        </w:rPr>
        <w:lastRenderedPageBreak/>
        <w:t>Markets Act 2000 (FSBRA 2013)</w:t>
      </w:r>
      <w:r w:rsidRPr="00917D17">
        <w:rPr>
          <w:rStyle w:val="FootnoteReference"/>
          <w:rFonts w:ascii="Times New Roman" w:hAnsi="Times New Roman" w:cs="Times New Roman"/>
          <w:sz w:val="24"/>
          <w:szCs w:val="24"/>
        </w:rPr>
        <w:footnoteReference w:id="91"/>
      </w:r>
      <w:r w:rsidRPr="00917D17">
        <w:rPr>
          <w:rFonts w:ascii="Times New Roman" w:hAnsi="Times New Roman" w:cs="Times New Roman"/>
          <w:sz w:val="24"/>
          <w:szCs w:val="24"/>
        </w:rPr>
        <w:t xml:space="preserve"> to incorporate the ring-fencing provisions</w:t>
      </w:r>
      <w:r w:rsidRPr="00917D17">
        <w:rPr>
          <w:rStyle w:val="FootnoteReference"/>
          <w:rFonts w:ascii="Times New Roman" w:hAnsi="Times New Roman" w:cs="Times New Roman"/>
          <w:sz w:val="24"/>
          <w:szCs w:val="24"/>
        </w:rPr>
        <w:footnoteReference w:id="92"/>
      </w:r>
      <w:r w:rsidRPr="00917D17">
        <w:rPr>
          <w:rFonts w:ascii="Times New Roman" w:hAnsi="Times New Roman" w:cs="Times New Roman"/>
          <w:sz w:val="24"/>
          <w:szCs w:val="24"/>
        </w:rPr>
        <w:t xml:space="preserve"> with effect from January 2019.</w:t>
      </w:r>
    </w:p>
    <w:p w:rsidR="00AE7513" w:rsidRPr="00917D17" w:rsidRDefault="003A3178" w:rsidP="0004788F">
      <w:pPr>
        <w:spacing w:line="360" w:lineRule="auto"/>
        <w:jc w:val="both"/>
        <w:rPr>
          <w:rFonts w:ascii="Times New Roman" w:hAnsi="Times New Roman" w:cs="Times New Roman"/>
          <w:sz w:val="24"/>
          <w:szCs w:val="24"/>
        </w:rPr>
      </w:pPr>
      <w:r w:rsidRPr="00917D17">
        <w:rPr>
          <w:rFonts w:ascii="Times New Roman" w:hAnsi="Times New Roman" w:cs="Times New Roman"/>
          <w:sz w:val="24"/>
          <w:szCs w:val="24"/>
        </w:rPr>
        <w:t>In Sub-Saharan African developing economies, t</w:t>
      </w:r>
      <w:r w:rsidR="00AE7513" w:rsidRPr="00917D17">
        <w:rPr>
          <w:rFonts w:ascii="Times New Roman" w:hAnsi="Times New Roman" w:cs="Times New Roman"/>
          <w:sz w:val="24"/>
          <w:szCs w:val="24"/>
        </w:rPr>
        <w:t>he emergence</w:t>
      </w:r>
      <w:r w:rsidR="00336187" w:rsidRPr="00917D17">
        <w:rPr>
          <w:rFonts w:ascii="Times New Roman" w:hAnsi="Times New Roman" w:cs="Times New Roman"/>
          <w:sz w:val="24"/>
          <w:szCs w:val="24"/>
        </w:rPr>
        <w:t xml:space="preserve"> and rapid growth</w:t>
      </w:r>
      <w:r w:rsidR="00AE7513" w:rsidRPr="00917D17">
        <w:rPr>
          <w:rFonts w:ascii="Times New Roman" w:hAnsi="Times New Roman" w:cs="Times New Roman"/>
          <w:sz w:val="24"/>
          <w:szCs w:val="24"/>
        </w:rPr>
        <w:t xml:space="preserve"> of mobile money /digital banking </w:t>
      </w:r>
      <w:r w:rsidR="00336187" w:rsidRPr="00917D17">
        <w:rPr>
          <w:rFonts w:ascii="Times New Roman" w:hAnsi="Times New Roman" w:cs="Times New Roman"/>
          <w:sz w:val="24"/>
          <w:szCs w:val="24"/>
        </w:rPr>
        <w:t>has further highlighted the need for enhanced depositor protection especially</w:t>
      </w:r>
      <w:r w:rsidR="00E22160" w:rsidRPr="00917D17">
        <w:rPr>
          <w:rFonts w:ascii="Times New Roman" w:hAnsi="Times New Roman" w:cs="Times New Roman"/>
          <w:sz w:val="24"/>
          <w:szCs w:val="24"/>
        </w:rPr>
        <w:t>,</w:t>
      </w:r>
      <w:r w:rsidR="00336187" w:rsidRPr="00917D17">
        <w:rPr>
          <w:rFonts w:ascii="Times New Roman" w:hAnsi="Times New Roman" w:cs="Times New Roman"/>
          <w:sz w:val="24"/>
          <w:szCs w:val="24"/>
        </w:rPr>
        <w:t xml:space="preserve"> in the mobile money banking sector</w:t>
      </w:r>
      <w:r w:rsidRPr="00917D17">
        <w:rPr>
          <w:rFonts w:ascii="Times New Roman" w:hAnsi="Times New Roman" w:cs="Times New Roman"/>
          <w:sz w:val="24"/>
          <w:szCs w:val="24"/>
        </w:rPr>
        <w:t xml:space="preserve">s, at a time where financial inclusion is </w:t>
      </w:r>
      <w:r w:rsidR="00E22160" w:rsidRPr="00917D17">
        <w:rPr>
          <w:rFonts w:ascii="Times New Roman" w:hAnsi="Times New Roman" w:cs="Times New Roman"/>
          <w:sz w:val="24"/>
          <w:szCs w:val="24"/>
        </w:rPr>
        <w:t xml:space="preserve">a </w:t>
      </w:r>
      <w:r w:rsidRPr="00917D17">
        <w:rPr>
          <w:rFonts w:ascii="Times New Roman" w:hAnsi="Times New Roman" w:cs="Times New Roman"/>
          <w:sz w:val="24"/>
          <w:szCs w:val="24"/>
        </w:rPr>
        <w:t>key step to commanding meaningful lifestyles. In most of these developing economies, mobile money banking has provided a platform for a majority of unbanked adult consumers to access the financial/banking sectors for economic and financial integration.</w:t>
      </w:r>
      <w:r w:rsidR="008A2F5B">
        <w:rPr>
          <w:rStyle w:val="FootnoteReference"/>
          <w:rFonts w:ascii="Times New Roman" w:hAnsi="Times New Roman" w:cs="Times New Roman"/>
          <w:sz w:val="24"/>
          <w:szCs w:val="24"/>
        </w:rPr>
        <w:footnoteReference w:id="93"/>
      </w:r>
      <w:r w:rsidRPr="00917D17">
        <w:rPr>
          <w:rFonts w:ascii="Times New Roman" w:hAnsi="Times New Roman" w:cs="Times New Roman"/>
          <w:sz w:val="24"/>
          <w:szCs w:val="24"/>
        </w:rPr>
        <w:t xml:space="preserve"> However, the absence of formal legislation for the protection of mobile banking depositors on the insolvency of the service provider or partner agencies, threatens the financial/economic integration </w:t>
      </w:r>
      <w:r w:rsidR="00E22160" w:rsidRPr="00917D17">
        <w:rPr>
          <w:rFonts w:ascii="Times New Roman" w:hAnsi="Times New Roman" w:cs="Times New Roman"/>
          <w:sz w:val="24"/>
          <w:szCs w:val="24"/>
        </w:rPr>
        <w:t xml:space="preserve">achieved to date. </w:t>
      </w:r>
      <w:r w:rsidR="00336187" w:rsidRPr="00917D17">
        <w:rPr>
          <w:rFonts w:ascii="Times New Roman" w:hAnsi="Times New Roman" w:cs="Times New Roman"/>
          <w:sz w:val="24"/>
          <w:szCs w:val="24"/>
        </w:rPr>
        <w:t>Although there some provisions in mainstream banking and insolvency laws on the treatment of creditor interests on insolvency, there is lack of formal legislative provisions dedicated to the treatment</w:t>
      </w:r>
      <w:r w:rsidR="00E22160" w:rsidRPr="00917D17">
        <w:rPr>
          <w:rFonts w:ascii="Times New Roman" w:hAnsi="Times New Roman" w:cs="Times New Roman"/>
          <w:sz w:val="24"/>
          <w:szCs w:val="24"/>
        </w:rPr>
        <w:t xml:space="preserve"> of customer deposits on the insolvency of the service provider.</w:t>
      </w:r>
    </w:p>
    <w:p w:rsidR="00917D17" w:rsidRPr="00917D17" w:rsidRDefault="00AE7513" w:rsidP="00AE7513">
      <w:pPr>
        <w:spacing w:line="360" w:lineRule="auto"/>
        <w:jc w:val="both"/>
        <w:rPr>
          <w:rFonts w:ascii="Times New Roman" w:hAnsi="Times New Roman" w:cs="Times New Roman"/>
          <w:sz w:val="24"/>
          <w:szCs w:val="24"/>
        </w:rPr>
      </w:pPr>
      <w:r w:rsidRPr="00917D17">
        <w:rPr>
          <w:rFonts w:ascii="Times New Roman" w:hAnsi="Times New Roman" w:cs="Times New Roman"/>
          <w:sz w:val="24"/>
          <w:szCs w:val="24"/>
        </w:rPr>
        <w:t xml:space="preserve">In Tanzania for example, on winding-up or placing into judicial or statutory management, of the payment systems provider, such as a bank or mobile network provider, any outstanding payments, or customer deposits due before the coming into force of the </w:t>
      </w:r>
      <w:r w:rsidR="00E22160" w:rsidRPr="00917D17">
        <w:rPr>
          <w:rFonts w:ascii="Times New Roman" w:hAnsi="Times New Roman" w:cs="Times New Roman"/>
          <w:sz w:val="24"/>
          <w:szCs w:val="24"/>
        </w:rPr>
        <w:t>insolvency/</w:t>
      </w:r>
      <w:r w:rsidRPr="00917D17">
        <w:rPr>
          <w:rFonts w:ascii="Times New Roman" w:hAnsi="Times New Roman" w:cs="Times New Roman"/>
          <w:sz w:val="24"/>
          <w:szCs w:val="24"/>
        </w:rPr>
        <w:t>winding-up order are only binding on the provider’s liquidator, judicial or statutory manager.</w:t>
      </w:r>
      <w:r w:rsidRPr="00917D17">
        <w:rPr>
          <w:rFonts w:ascii="Times New Roman" w:hAnsi="Times New Roman" w:cs="Times New Roman"/>
          <w:sz w:val="24"/>
          <w:szCs w:val="24"/>
          <w:vertAlign w:val="superscript"/>
        </w:rPr>
        <w:footnoteReference w:id="94"/>
      </w:r>
      <w:r w:rsidRPr="00917D17">
        <w:rPr>
          <w:rFonts w:ascii="Times New Roman" w:hAnsi="Times New Roman" w:cs="Times New Roman"/>
          <w:sz w:val="24"/>
          <w:szCs w:val="24"/>
        </w:rPr>
        <w:t xml:space="preserve"> The main legislation, that is; the</w:t>
      </w:r>
      <w:r w:rsidR="00E22160" w:rsidRPr="00917D17">
        <w:rPr>
          <w:rFonts w:ascii="Times New Roman" w:hAnsi="Times New Roman" w:cs="Times New Roman"/>
          <w:sz w:val="24"/>
          <w:szCs w:val="24"/>
        </w:rPr>
        <w:t xml:space="preserve"> National Payments Systems Act</w:t>
      </w:r>
      <w:r w:rsidRPr="00917D17">
        <w:rPr>
          <w:rFonts w:ascii="Times New Roman" w:hAnsi="Times New Roman" w:cs="Times New Roman"/>
          <w:sz w:val="24"/>
          <w:szCs w:val="24"/>
        </w:rPr>
        <w:t xml:space="preserve"> 2015, the Payment System Licensing and Approval Regulations, 2015 and the Electronic Money Regulations, 2015 that were enacted to regulate payment systems, such as e-payments and mobile money banking services are silent on the treatment of outstanding customer deposits at the time of winding-up, the priority of payment of the deposits or the amount of such deposits that ought to be safeguarded. </w:t>
      </w:r>
    </w:p>
    <w:p w:rsidR="00E22160" w:rsidRPr="00917D17" w:rsidRDefault="00AE7513" w:rsidP="00AE7513">
      <w:pPr>
        <w:spacing w:line="360" w:lineRule="auto"/>
        <w:jc w:val="both"/>
        <w:rPr>
          <w:rFonts w:ascii="Times New Roman" w:hAnsi="Times New Roman" w:cs="Times New Roman"/>
          <w:sz w:val="24"/>
          <w:szCs w:val="24"/>
        </w:rPr>
      </w:pPr>
      <w:r w:rsidRPr="00917D17">
        <w:rPr>
          <w:rFonts w:ascii="Times New Roman" w:hAnsi="Times New Roman" w:cs="Times New Roman"/>
          <w:sz w:val="24"/>
          <w:szCs w:val="24"/>
        </w:rPr>
        <w:t xml:space="preserve">Under s.42, </w:t>
      </w:r>
      <w:r w:rsidR="00917D17" w:rsidRPr="00917D17">
        <w:rPr>
          <w:rFonts w:ascii="Times New Roman" w:hAnsi="Times New Roman" w:cs="Times New Roman"/>
          <w:sz w:val="24"/>
          <w:szCs w:val="24"/>
        </w:rPr>
        <w:t>National Payments Systems Act 2015</w:t>
      </w:r>
      <w:r w:rsidR="00E22160" w:rsidRPr="00917D17">
        <w:rPr>
          <w:rFonts w:ascii="Times New Roman" w:hAnsi="Times New Roman" w:cs="Times New Roman"/>
          <w:sz w:val="24"/>
          <w:szCs w:val="24"/>
        </w:rPr>
        <w:t>,</w:t>
      </w:r>
      <w:r w:rsidRPr="00917D17">
        <w:rPr>
          <w:rFonts w:ascii="Times New Roman" w:hAnsi="Times New Roman" w:cs="Times New Roman"/>
          <w:sz w:val="24"/>
          <w:szCs w:val="24"/>
        </w:rPr>
        <w:t xml:space="preserve"> a payment systems provider </w:t>
      </w:r>
      <w:r w:rsidR="00E22160" w:rsidRPr="00917D17">
        <w:rPr>
          <w:rFonts w:ascii="Times New Roman" w:hAnsi="Times New Roman" w:cs="Times New Roman"/>
          <w:sz w:val="24"/>
          <w:szCs w:val="24"/>
        </w:rPr>
        <w:t xml:space="preserve">is only required to </w:t>
      </w:r>
      <w:r w:rsidRPr="00917D17">
        <w:rPr>
          <w:rFonts w:ascii="Times New Roman" w:hAnsi="Times New Roman" w:cs="Times New Roman"/>
          <w:sz w:val="24"/>
          <w:szCs w:val="24"/>
        </w:rPr>
        <w:t xml:space="preserve">put in place documented failure-to-settle arrangements that prescribe the manner to which payments failures shall be mitigated but again, this provision fails to categorically provide a clear-cut strategy on </w:t>
      </w:r>
      <w:r w:rsidR="00E22160" w:rsidRPr="00917D17">
        <w:rPr>
          <w:rFonts w:ascii="Times New Roman" w:hAnsi="Times New Roman" w:cs="Times New Roman"/>
          <w:sz w:val="24"/>
          <w:szCs w:val="24"/>
        </w:rPr>
        <w:t xml:space="preserve">the treatment of </w:t>
      </w:r>
      <w:r w:rsidRPr="00917D17">
        <w:rPr>
          <w:rFonts w:ascii="Times New Roman" w:hAnsi="Times New Roman" w:cs="Times New Roman"/>
          <w:sz w:val="24"/>
          <w:szCs w:val="24"/>
        </w:rPr>
        <w:t xml:space="preserve">customer deposits </w:t>
      </w:r>
      <w:r w:rsidR="00E22160" w:rsidRPr="00917D17">
        <w:rPr>
          <w:rFonts w:ascii="Times New Roman" w:hAnsi="Times New Roman" w:cs="Times New Roman"/>
          <w:sz w:val="24"/>
          <w:szCs w:val="24"/>
        </w:rPr>
        <w:t>by</w:t>
      </w:r>
      <w:r w:rsidRPr="00917D17">
        <w:rPr>
          <w:rFonts w:ascii="Times New Roman" w:hAnsi="Times New Roman" w:cs="Times New Roman"/>
          <w:sz w:val="24"/>
          <w:szCs w:val="24"/>
        </w:rPr>
        <w:t xml:space="preserve"> the failed service provider.</w:t>
      </w:r>
      <w:r w:rsidR="00917D17" w:rsidRPr="00917D17">
        <w:rPr>
          <w:rFonts w:ascii="Times New Roman" w:hAnsi="Times New Roman" w:cs="Times New Roman"/>
          <w:sz w:val="24"/>
          <w:szCs w:val="24"/>
        </w:rPr>
        <w:t xml:space="preserve"> The </w:t>
      </w:r>
      <w:r w:rsidR="00917D17" w:rsidRPr="00917D17">
        <w:rPr>
          <w:rFonts w:ascii="Times New Roman" w:hAnsi="Times New Roman" w:cs="Times New Roman"/>
          <w:sz w:val="24"/>
          <w:szCs w:val="24"/>
        </w:rPr>
        <w:lastRenderedPageBreak/>
        <w:t>same approach applies i</w:t>
      </w:r>
      <w:r w:rsidR="00E22160" w:rsidRPr="00917D17">
        <w:rPr>
          <w:rFonts w:ascii="Times New Roman" w:hAnsi="Times New Roman" w:cs="Times New Roman"/>
          <w:sz w:val="24"/>
          <w:szCs w:val="24"/>
        </w:rPr>
        <w:t>n Uganda</w:t>
      </w:r>
      <w:r w:rsidR="00917D17" w:rsidRPr="00917D17">
        <w:rPr>
          <w:rFonts w:ascii="Times New Roman" w:hAnsi="Times New Roman" w:cs="Times New Roman"/>
          <w:sz w:val="24"/>
          <w:szCs w:val="24"/>
        </w:rPr>
        <w:t xml:space="preserve"> where</w:t>
      </w:r>
      <w:r w:rsidR="00E22160" w:rsidRPr="00917D17">
        <w:rPr>
          <w:rFonts w:ascii="Times New Roman" w:hAnsi="Times New Roman" w:cs="Times New Roman"/>
          <w:sz w:val="24"/>
          <w:szCs w:val="24"/>
        </w:rPr>
        <w:t xml:space="preserve"> the NAPSA 2020 fails to prescribe a protective regime for customer deposits on the insolvency of the service provider</w:t>
      </w:r>
      <w:r w:rsidR="00917D17" w:rsidRPr="00917D17">
        <w:rPr>
          <w:rFonts w:ascii="Times New Roman" w:hAnsi="Times New Roman" w:cs="Times New Roman"/>
          <w:sz w:val="24"/>
          <w:szCs w:val="24"/>
        </w:rPr>
        <w:t>.</w:t>
      </w:r>
      <w:r w:rsidR="00E22160" w:rsidRPr="00917D17">
        <w:rPr>
          <w:rFonts w:ascii="Times New Roman" w:hAnsi="Times New Roman" w:cs="Times New Roman"/>
          <w:sz w:val="24"/>
          <w:szCs w:val="24"/>
        </w:rPr>
        <w:t xml:space="preserve"> </w:t>
      </w:r>
    </w:p>
    <w:p w:rsidR="00917D17" w:rsidRPr="00917D17" w:rsidRDefault="008A2F5B" w:rsidP="00AE7513">
      <w:pPr>
        <w:spacing w:line="360" w:lineRule="auto"/>
        <w:jc w:val="both"/>
        <w:rPr>
          <w:rFonts w:ascii="Times New Roman" w:hAnsi="Times New Roman" w:cs="Times New Roman"/>
          <w:sz w:val="24"/>
          <w:szCs w:val="24"/>
        </w:rPr>
      </w:pPr>
      <w:r>
        <w:rPr>
          <w:rFonts w:ascii="Times New Roman" w:hAnsi="Times New Roman" w:cs="Times New Roman"/>
          <w:sz w:val="24"/>
          <w:szCs w:val="24"/>
        </w:rPr>
        <w:t>It</w:t>
      </w:r>
      <w:r w:rsidR="00917D17" w:rsidRPr="00917D17">
        <w:rPr>
          <w:rFonts w:ascii="Times New Roman" w:hAnsi="Times New Roman" w:cs="Times New Roman"/>
          <w:sz w:val="24"/>
          <w:szCs w:val="24"/>
        </w:rPr>
        <w:t xml:space="preserve"> is </w:t>
      </w:r>
      <w:r>
        <w:rPr>
          <w:rFonts w:ascii="Times New Roman" w:hAnsi="Times New Roman" w:cs="Times New Roman"/>
          <w:sz w:val="24"/>
          <w:szCs w:val="24"/>
        </w:rPr>
        <w:t xml:space="preserve">therefore, </w:t>
      </w:r>
      <w:r w:rsidR="00917D17" w:rsidRPr="00917D17">
        <w:rPr>
          <w:rFonts w:ascii="Times New Roman" w:hAnsi="Times New Roman" w:cs="Times New Roman"/>
          <w:sz w:val="24"/>
          <w:szCs w:val="24"/>
        </w:rPr>
        <w:t>the central theme of this paper that ring-fencing through structural separation to protect mobile money banking as a mandated service from the general banking/financial operations of the bank or service provider, will enhance depositor protection on the insolvency of the service provider in SSA developing economies.</w:t>
      </w:r>
    </w:p>
    <w:p w:rsidR="00917D17" w:rsidRPr="00AE7513" w:rsidRDefault="00917D17" w:rsidP="00AE7513">
      <w:pPr>
        <w:spacing w:line="360" w:lineRule="auto"/>
        <w:jc w:val="both"/>
        <w:rPr>
          <w:rFonts w:ascii="Times New Roman" w:hAnsi="Times New Roman" w:cs="Times New Roman"/>
          <w:color w:val="7030A0"/>
          <w:sz w:val="24"/>
          <w:szCs w:val="24"/>
        </w:rPr>
      </w:pPr>
    </w:p>
    <w:p w:rsidR="00AE7513" w:rsidRPr="004342A8" w:rsidRDefault="00AE7513" w:rsidP="0004788F">
      <w:pPr>
        <w:spacing w:line="360" w:lineRule="auto"/>
        <w:jc w:val="both"/>
        <w:rPr>
          <w:rFonts w:ascii="Times New Roman" w:hAnsi="Times New Roman" w:cs="Times New Roman"/>
          <w:color w:val="7030A0"/>
          <w:sz w:val="24"/>
          <w:szCs w:val="24"/>
        </w:rPr>
      </w:pPr>
    </w:p>
    <w:sectPr w:rsidR="00AE7513" w:rsidRPr="004342A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309" w:rsidRDefault="00027309" w:rsidP="006C6F30">
      <w:pPr>
        <w:spacing w:after="0" w:line="240" w:lineRule="auto"/>
      </w:pPr>
      <w:r>
        <w:separator/>
      </w:r>
    </w:p>
  </w:endnote>
  <w:endnote w:type="continuationSeparator" w:id="0">
    <w:p w:rsidR="00027309" w:rsidRDefault="00027309" w:rsidP="006C6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827918"/>
      <w:docPartObj>
        <w:docPartGallery w:val="Page Numbers (Bottom of Page)"/>
        <w:docPartUnique/>
      </w:docPartObj>
    </w:sdtPr>
    <w:sdtEndPr>
      <w:rPr>
        <w:noProof/>
      </w:rPr>
    </w:sdtEndPr>
    <w:sdtContent>
      <w:p w:rsidR="00AC625D" w:rsidRDefault="00AC625D">
        <w:pPr>
          <w:pStyle w:val="Footer"/>
          <w:jc w:val="right"/>
        </w:pPr>
        <w:r>
          <w:fldChar w:fldCharType="begin"/>
        </w:r>
        <w:r>
          <w:instrText xml:space="preserve"> PAGE   \* MERGEFORMAT </w:instrText>
        </w:r>
        <w:r>
          <w:fldChar w:fldCharType="separate"/>
        </w:r>
        <w:r w:rsidR="00E54E00">
          <w:rPr>
            <w:noProof/>
          </w:rPr>
          <w:t>20</w:t>
        </w:r>
        <w:r>
          <w:rPr>
            <w:noProof/>
          </w:rPr>
          <w:fldChar w:fldCharType="end"/>
        </w:r>
      </w:p>
    </w:sdtContent>
  </w:sdt>
  <w:p w:rsidR="00AC625D" w:rsidRDefault="00AC6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309" w:rsidRDefault="00027309" w:rsidP="006C6F30">
      <w:pPr>
        <w:spacing w:after="0" w:line="240" w:lineRule="auto"/>
      </w:pPr>
      <w:r>
        <w:separator/>
      </w:r>
    </w:p>
  </w:footnote>
  <w:footnote w:type="continuationSeparator" w:id="0">
    <w:p w:rsidR="00027309" w:rsidRDefault="00027309" w:rsidP="006C6F30">
      <w:pPr>
        <w:spacing w:after="0" w:line="240" w:lineRule="auto"/>
      </w:pPr>
      <w:r>
        <w:continuationSeparator/>
      </w:r>
    </w:p>
  </w:footnote>
  <w:footnote w:id="1">
    <w:p w:rsidR="003D5DE7" w:rsidRDefault="003D5DE7" w:rsidP="0004788F">
      <w:pPr>
        <w:pStyle w:val="FootnoteText"/>
        <w:jc w:val="both"/>
        <w:rPr>
          <w:rFonts w:ascii="Times New Roman" w:hAnsi="Times New Roman" w:cs="Times New Roman"/>
        </w:rPr>
      </w:pPr>
      <w:r>
        <w:rPr>
          <w:rFonts w:ascii="Times New Roman" w:hAnsi="Times New Roman" w:cs="Times New Roman"/>
          <w:lang w:val="en-US"/>
        </w:rPr>
        <w:t>*</w:t>
      </w:r>
      <w:r w:rsidRPr="00C6350B">
        <w:rPr>
          <w:rFonts w:ascii="Times New Roman" w:hAnsi="Times New Roman" w:cs="Times New Roman"/>
          <w:lang w:val="en-US"/>
        </w:rPr>
        <w:t xml:space="preserve">PhD (Law), LLM, MA, LLB (Hons), FHEA. </w:t>
      </w:r>
      <w:r>
        <w:rPr>
          <w:rFonts w:ascii="Times New Roman" w:hAnsi="Times New Roman" w:cs="Times New Roman"/>
          <w:lang w:val="en-US"/>
        </w:rPr>
        <w:t xml:space="preserve">Senior </w:t>
      </w:r>
      <w:r w:rsidRPr="00C6350B">
        <w:rPr>
          <w:rFonts w:ascii="Times New Roman" w:hAnsi="Times New Roman" w:cs="Times New Roman"/>
          <w:lang w:val="en-US"/>
        </w:rPr>
        <w:t>Lecturer in Law, School of Law, Middlesex University London, UK.</w:t>
      </w:r>
    </w:p>
    <w:p w:rsidR="00027B41" w:rsidRPr="0004788F" w:rsidRDefault="00027B41" w:rsidP="0004788F">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w:t>
      </w:r>
      <w:r w:rsidRPr="0004788F">
        <w:rPr>
          <w:rFonts w:ascii="Times New Roman" w:hAnsi="Times New Roman" w:cs="Times New Roman"/>
          <w:bCs/>
        </w:rPr>
        <w:t>D. S. Evans, and A. </w:t>
      </w:r>
      <w:proofErr w:type="spellStart"/>
      <w:r w:rsidRPr="0004788F">
        <w:rPr>
          <w:rFonts w:ascii="Times New Roman" w:hAnsi="Times New Roman" w:cs="Times New Roman"/>
          <w:bCs/>
        </w:rPr>
        <w:t>Pirchio</w:t>
      </w:r>
      <w:proofErr w:type="spellEnd"/>
      <w:r w:rsidRPr="0004788F">
        <w:rPr>
          <w:rFonts w:ascii="Times New Roman" w:hAnsi="Times New Roman" w:cs="Times New Roman"/>
          <w:bCs/>
        </w:rPr>
        <w:t xml:space="preserve"> “An Empirical Examination of Why Mobile Money Schemes Ignite in Some Developing Countries but Flounder in Most” (2015) 3 (4) </w:t>
      </w:r>
      <w:r w:rsidRPr="0004788F">
        <w:rPr>
          <w:rFonts w:ascii="Times New Roman" w:hAnsi="Times New Roman" w:cs="Times New Roman"/>
          <w:bCs/>
          <w:i/>
          <w:iCs/>
        </w:rPr>
        <w:t>Review of Network Economics</w:t>
      </w:r>
      <w:r w:rsidRPr="0004788F">
        <w:rPr>
          <w:rFonts w:ascii="Times New Roman" w:hAnsi="Times New Roman" w:cs="Times New Roman"/>
          <w:bCs/>
        </w:rPr>
        <w:t> 397–451</w:t>
      </w:r>
      <w:r w:rsidR="00894B29">
        <w:rPr>
          <w:rFonts w:ascii="Times New Roman" w:hAnsi="Times New Roman" w:cs="Times New Roman"/>
          <w:bCs/>
        </w:rPr>
        <w:t>.</w:t>
      </w:r>
    </w:p>
  </w:footnote>
  <w:footnote w:id="2">
    <w:p w:rsidR="00027B41" w:rsidRPr="0004788F" w:rsidRDefault="00027B41" w:rsidP="0004788F">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B. Maurer, “AFTERWORD: Mobile Money, Money Magic, Purse Limits and Pins: Tracing Monetary Pragmatics” </w:t>
      </w:r>
      <w:r w:rsidRPr="0004788F">
        <w:rPr>
          <w:rFonts w:ascii="Times New Roman" w:hAnsi="Times New Roman" w:cs="Times New Roman"/>
          <w:bCs/>
        </w:rPr>
        <w:t xml:space="preserve">(2011) 4 (3) </w:t>
      </w:r>
      <w:r w:rsidRPr="0004788F">
        <w:rPr>
          <w:rFonts w:ascii="Times New Roman" w:hAnsi="Times New Roman" w:cs="Times New Roman"/>
          <w:i/>
          <w:iCs/>
        </w:rPr>
        <w:t>Journal of Cultural Economy</w:t>
      </w:r>
      <w:r w:rsidRPr="0004788F">
        <w:rPr>
          <w:rFonts w:ascii="Times New Roman" w:hAnsi="Times New Roman" w:cs="Times New Roman"/>
          <w:iCs/>
        </w:rPr>
        <w:t>,</w:t>
      </w:r>
      <w:r w:rsidRPr="0004788F">
        <w:rPr>
          <w:rFonts w:ascii="Times New Roman" w:hAnsi="Times New Roman" w:cs="Times New Roman"/>
        </w:rPr>
        <w:t> 349–359</w:t>
      </w:r>
      <w:r w:rsidR="00894B29">
        <w:rPr>
          <w:rFonts w:ascii="Times New Roman" w:hAnsi="Times New Roman" w:cs="Times New Roman"/>
        </w:rPr>
        <w:t>.</w:t>
      </w:r>
    </w:p>
  </w:footnote>
  <w:footnote w:id="3">
    <w:p w:rsidR="00027B41" w:rsidRPr="00340676" w:rsidRDefault="00027B41" w:rsidP="00340676">
      <w:pPr>
        <w:pStyle w:val="FootnoteText"/>
        <w:jc w:val="both"/>
        <w:rPr>
          <w:rFonts w:ascii="Times New Roman" w:hAnsi="Times New Roman" w:cs="Times New Roman"/>
        </w:rPr>
      </w:pPr>
      <w:r w:rsidRPr="00340676">
        <w:rPr>
          <w:rStyle w:val="FootnoteReference"/>
          <w:rFonts w:ascii="Times New Roman" w:hAnsi="Times New Roman" w:cs="Times New Roman"/>
        </w:rPr>
        <w:footnoteRef/>
      </w:r>
      <w:r w:rsidRPr="00340676">
        <w:rPr>
          <w:rFonts w:ascii="Times New Roman" w:hAnsi="Times New Roman" w:cs="Times New Roman"/>
        </w:rPr>
        <w:t xml:space="preserve"> M. D. </w:t>
      </w:r>
      <w:proofErr w:type="spellStart"/>
      <w:r w:rsidRPr="00340676">
        <w:rPr>
          <w:rFonts w:ascii="Times New Roman" w:hAnsi="Times New Roman" w:cs="Times New Roman"/>
        </w:rPr>
        <w:t>Peruta</w:t>
      </w:r>
      <w:proofErr w:type="spellEnd"/>
      <w:r w:rsidRPr="00340676">
        <w:rPr>
          <w:rFonts w:ascii="Times New Roman" w:hAnsi="Times New Roman" w:cs="Times New Roman"/>
        </w:rPr>
        <w:t>, “</w:t>
      </w:r>
      <w:r w:rsidRPr="00340676">
        <w:rPr>
          <w:rFonts w:ascii="Times New Roman" w:hAnsi="Times New Roman" w:cs="Times New Roman"/>
          <w:bCs/>
        </w:rPr>
        <w:t xml:space="preserve">Adoption of mobile money and financial inclusion: a macroeconomic approach through cluster analysis” (2018) 27 (2) </w:t>
      </w:r>
      <w:r w:rsidRPr="00340676">
        <w:rPr>
          <w:rFonts w:ascii="Times New Roman" w:hAnsi="Times New Roman" w:cs="Times New Roman"/>
          <w:bCs/>
          <w:i/>
        </w:rPr>
        <w:t>Economics of Innovation and New Technology</w:t>
      </w:r>
      <w:r w:rsidRPr="00340676">
        <w:rPr>
          <w:rFonts w:ascii="Times New Roman" w:hAnsi="Times New Roman" w:cs="Times New Roman"/>
          <w:bCs/>
        </w:rPr>
        <w:t>, 154-173.</w:t>
      </w:r>
    </w:p>
  </w:footnote>
  <w:footnote w:id="4">
    <w:p w:rsidR="009F0195" w:rsidRPr="00340676" w:rsidRDefault="009F0195" w:rsidP="00340676">
      <w:pPr>
        <w:pStyle w:val="FootnoteText"/>
        <w:jc w:val="both"/>
        <w:rPr>
          <w:rFonts w:ascii="Times New Roman" w:hAnsi="Times New Roman" w:cs="Times New Roman"/>
        </w:rPr>
      </w:pPr>
      <w:r w:rsidRPr="00340676">
        <w:rPr>
          <w:rStyle w:val="FootnoteReference"/>
          <w:rFonts w:ascii="Times New Roman" w:hAnsi="Times New Roman" w:cs="Times New Roman"/>
        </w:rPr>
        <w:footnoteRef/>
      </w:r>
      <w:r w:rsidRPr="00340676">
        <w:rPr>
          <w:rFonts w:ascii="Times New Roman" w:hAnsi="Times New Roman" w:cs="Times New Roman"/>
        </w:rPr>
        <w:t xml:space="preserve"> Hereafter, </w:t>
      </w:r>
      <w:r w:rsidRPr="00340676">
        <w:rPr>
          <w:rFonts w:ascii="Times New Roman" w:hAnsi="Times New Roman" w:cs="Times New Roman"/>
          <w:bCs/>
        </w:rPr>
        <w:t>(</w:t>
      </w:r>
      <w:r w:rsidRPr="00340676">
        <w:rPr>
          <w:rFonts w:ascii="Times New Roman" w:hAnsi="Times New Roman" w:cs="Times New Roman"/>
        </w:rPr>
        <w:t>SSA Developing Economies</w:t>
      </w:r>
      <w:r w:rsidRPr="00340676">
        <w:rPr>
          <w:rFonts w:ascii="Times New Roman" w:hAnsi="Times New Roman" w:cs="Times New Roman"/>
          <w:bCs/>
        </w:rPr>
        <w:t>)</w:t>
      </w:r>
      <w:r w:rsidRPr="00340676">
        <w:rPr>
          <w:rFonts w:ascii="Times New Roman" w:hAnsi="Times New Roman" w:cs="Times New Roman"/>
        </w:rPr>
        <w:t>.</w:t>
      </w:r>
    </w:p>
  </w:footnote>
  <w:footnote w:id="5">
    <w:p w:rsidR="00027B41" w:rsidRPr="001464CB" w:rsidRDefault="00027B41" w:rsidP="001464CB">
      <w:pPr>
        <w:pStyle w:val="FootnoteText"/>
        <w:jc w:val="both"/>
        <w:rPr>
          <w:rFonts w:ascii="Times New Roman" w:hAnsi="Times New Roman" w:cs="Times New Roman"/>
          <w:bCs/>
          <w:iCs/>
        </w:rPr>
      </w:pPr>
      <w:r w:rsidRPr="001464CB">
        <w:rPr>
          <w:rStyle w:val="FootnoteReference"/>
          <w:rFonts w:ascii="Times New Roman" w:hAnsi="Times New Roman" w:cs="Times New Roman"/>
        </w:rPr>
        <w:footnoteRef/>
      </w:r>
      <w:r w:rsidRPr="001464CB">
        <w:rPr>
          <w:rFonts w:ascii="Times New Roman" w:hAnsi="Times New Roman" w:cs="Times New Roman"/>
        </w:rPr>
        <w:t xml:space="preserve"> World Bank, </w:t>
      </w:r>
      <w:r w:rsidRPr="001464CB">
        <w:rPr>
          <w:rFonts w:ascii="Times New Roman" w:hAnsi="Times New Roman" w:cs="Times New Roman"/>
          <w:i/>
        </w:rPr>
        <w:t xml:space="preserve">Africa’s Pulse: </w:t>
      </w:r>
      <w:r w:rsidRPr="001464CB">
        <w:rPr>
          <w:rFonts w:ascii="Times New Roman" w:hAnsi="Times New Roman" w:cs="Times New Roman"/>
          <w:i/>
          <w:iCs/>
        </w:rPr>
        <w:t>Assessing the economic impact of COVID-19 and policy responses in sub-Saharan Africa</w:t>
      </w:r>
      <w:r w:rsidRPr="001464CB">
        <w:rPr>
          <w:rFonts w:ascii="Times New Roman" w:hAnsi="Times New Roman" w:cs="Times New Roman"/>
          <w:iCs/>
        </w:rPr>
        <w:t xml:space="preserve">. </w:t>
      </w:r>
      <w:r w:rsidRPr="001464CB">
        <w:rPr>
          <w:rFonts w:ascii="Times New Roman" w:hAnsi="Times New Roman" w:cs="Times New Roman"/>
          <w:bCs/>
          <w:iCs/>
        </w:rPr>
        <w:t>(World Bank, Washington DC, 2020) &lt;</w:t>
      </w:r>
      <w:hyperlink r:id="rId1" w:history="1">
        <w:r w:rsidR="00146853" w:rsidRPr="001464CB">
          <w:rPr>
            <w:rStyle w:val="Hyperlink"/>
            <w:rFonts w:ascii="Times New Roman" w:hAnsi="Times New Roman" w:cs="Times New Roman"/>
            <w:bCs/>
            <w:iCs/>
          </w:rPr>
          <w:t>https://olc.worldbank.org/content/africas-pulse-assessing-economic-impact-covid-19-and-policy-responses-sub-saharan-africa</w:t>
        </w:r>
      </w:hyperlink>
      <w:r w:rsidRPr="001464CB">
        <w:rPr>
          <w:rFonts w:ascii="Times New Roman" w:hAnsi="Times New Roman" w:cs="Times New Roman"/>
          <w:bCs/>
          <w:iCs/>
        </w:rPr>
        <w:t xml:space="preserve">&gt; (accessed 15 </w:t>
      </w:r>
      <w:r w:rsidR="00614C42" w:rsidRPr="001464CB">
        <w:rPr>
          <w:rFonts w:ascii="Times New Roman" w:hAnsi="Times New Roman" w:cs="Times New Roman"/>
          <w:bCs/>
          <w:iCs/>
        </w:rPr>
        <w:t>August</w:t>
      </w:r>
      <w:r w:rsidRPr="001464CB">
        <w:rPr>
          <w:rFonts w:ascii="Times New Roman" w:hAnsi="Times New Roman" w:cs="Times New Roman"/>
          <w:bCs/>
          <w:iCs/>
        </w:rPr>
        <w:t xml:space="preserve"> 2022).  </w:t>
      </w:r>
    </w:p>
  </w:footnote>
  <w:footnote w:id="6">
    <w:p w:rsidR="00340676" w:rsidRPr="001464CB" w:rsidRDefault="00340676" w:rsidP="001464CB">
      <w:pPr>
        <w:pStyle w:val="FootnoteText"/>
        <w:jc w:val="both"/>
        <w:rPr>
          <w:rFonts w:ascii="Times New Roman" w:hAnsi="Times New Roman" w:cs="Times New Roman"/>
        </w:rPr>
      </w:pPr>
      <w:r w:rsidRPr="001464CB">
        <w:rPr>
          <w:rStyle w:val="FootnoteReference"/>
          <w:rFonts w:ascii="Times New Roman" w:hAnsi="Times New Roman" w:cs="Times New Roman"/>
        </w:rPr>
        <w:footnoteRef/>
      </w:r>
      <w:r w:rsidRPr="001464CB">
        <w:rPr>
          <w:rFonts w:ascii="Times New Roman" w:hAnsi="Times New Roman" w:cs="Times New Roman"/>
        </w:rPr>
        <w:t xml:space="preserve"> </w:t>
      </w:r>
      <w:r w:rsidR="00146853" w:rsidRPr="001464CB">
        <w:rPr>
          <w:rFonts w:ascii="Times New Roman" w:hAnsi="Times New Roman" w:cs="Times New Roman"/>
        </w:rPr>
        <w:t xml:space="preserve">M. Klein, and C. Mayer, “Mobile banking and financial inclusion: The regulatory lessons”, </w:t>
      </w:r>
      <w:r w:rsidR="00146853" w:rsidRPr="001464CB">
        <w:rPr>
          <w:rFonts w:ascii="Times New Roman" w:hAnsi="Times New Roman" w:cs="Times New Roman"/>
          <w:i/>
        </w:rPr>
        <w:t>World Bank Policy Research Working Paper</w:t>
      </w:r>
      <w:r w:rsidR="00146853" w:rsidRPr="001464CB">
        <w:rPr>
          <w:rFonts w:ascii="Times New Roman" w:hAnsi="Times New Roman" w:cs="Times New Roman"/>
        </w:rPr>
        <w:t xml:space="preserve"> No.  5664. (</w:t>
      </w:r>
      <w:r w:rsidR="00146853" w:rsidRPr="001464CB">
        <w:rPr>
          <w:rFonts w:ascii="Times New Roman" w:hAnsi="Times New Roman" w:cs="Times New Roman"/>
          <w:i/>
        </w:rPr>
        <w:t>The World Bank</w:t>
      </w:r>
      <w:r w:rsidR="00146853" w:rsidRPr="001464CB">
        <w:rPr>
          <w:rFonts w:ascii="Times New Roman" w:hAnsi="Times New Roman" w:cs="Times New Roman"/>
        </w:rPr>
        <w:t>, Washington DC, 2011) &lt;</w:t>
      </w:r>
      <w:hyperlink r:id="rId2" w:history="1">
        <w:r w:rsidR="00146853" w:rsidRPr="001464CB">
          <w:rPr>
            <w:rStyle w:val="Hyperlink"/>
            <w:rFonts w:ascii="Times New Roman" w:hAnsi="Times New Roman" w:cs="Times New Roman"/>
          </w:rPr>
          <w:t>https://www.worldbank.org/en/topic/financialinclusion/overview</w:t>
        </w:r>
      </w:hyperlink>
      <w:r w:rsidR="00146853" w:rsidRPr="001464CB">
        <w:rPr>
          <w:rFonts w:ascii="Times New Roman" w:hAnsi="Times New Roman" w:cs="Times New Roman"/>
        </w:rPr>
        <w:t>&gt; (accessed 28 July 2022).</w:t>
      </w:r>
    </w:p>
  </w:footnote>
  <w:footnote w:id="7">
    <w:p w:rsidR="00146853" w:rsidRPr="001464CB" w:rsidRDefault="00146853" w:rsidP="001464CB">
      <w:pPr>
        <w:pStyle w:val="FootnoteText"/>
        <w:jc w:val="both"/>
        <w:rPr>
          <w:rFonts w:ascii="Times New Roman" w:hAnsi="Times New Roman" w:cs="Times New Roman"/>
          <w:bCs/>
        </w:rPr>
      </w:pPr>
      <w:r w:rsidRPr="001464CB">
        <w:rPr>
          <w:rStyle w:val="FootnoteReference"/>
          <w:rFonts w:ascii="Times New Roman" w:hAnsi="Times New Roman" w:cs="Times New Roman"/>
        </w:rPr>
        <w:footnoteRef/>
      </w:r>
      <w:r w:rsidRPr="001464CB">
        <w:rPr>
          <w:rFonts w:ascii="Times New Roman" w:hAnsi="Times New Roman" w:cs="Times New Roman"/>
        </w:rPr>
        <w:t xml:space="preserve"> J. G. </w:t>
      </w:r>
      <w:proofErr w:type="spellStart"/>
      <w:r w:rsidRPr="001464CB">
        <w:rPr>
          <w:rFonts w:ascii="Times New Roman" w:hAnsi="Times New Roman" w:cs="Times New Roman"/>
        </w:rPr>
        <w:t>Blechman</w:t>
      </w:r>
      <w:proofErr w:type="spellEnd"/>
      <w:r w:rsidRPr="001464CB">
        <w:rPr>
          <w:rFonts w:ascii="Times New Roman" w:hAnsi="Times New Roman" w:cs="Times New Roman"/>
        </w:rPr>
        <w:t xml:space="preserve">, “Mobile credit in Kenya and Tanzania: Emerging regulatory challenges in consumer protection, credit reporting and use of customer transactional data” (2016) 17 </w:t>
      </w:r>
      <w:r w:rsidRPr="001464CB">
        <w:rPr>
          <w:rFonts w:ascii="Times New Roman" w:hAnsi="Times New Roman" w:cs="Times New Roman"/>
          <w:i/>
        </w:rPr>
        <w:t>African Journal of Information and Communication</w:t>
      </w:r>
      <w:r w:rsidRPr="001464CB">
        <w:rPr>
          <w:rFonts w:ascii="Times New Roman" w:hAnsi="Times New Roman" w:cs="Times New Roman"/>
        </w:rPr>
        <w:t>, 61, 88</w:t>
      </w:r>
      <w:r w:rsidR="001464CB" w:rsidRPr="001464CB">
        <w:rPr>
          <w:rFonts w:ascii="Times New Roman" w:hAnsi="Times New Roman" w:cs="Times New Roman"/>
        </w:rPr>
        <w:t xml:space="preserve">; </w:t>
      </w:r>
      <w:r w:rsidR="001464CB" w:rsidRPr="001464CB">
        <w:rPr>
          <w:rFonts w:ascii="Times New Roman" w:hAnsi="Times New Roman" w:cs="Times New Roman"/>
          <w:bCs/>
        </w:rPr>
        <w:t xml:space="preserve">G. Robb and T. </w:t>
      </w:r>
      <w:proofErr w:type="spellStart"/>
      <w:r w:rsidR="001464CB" w:rsidRPr="001464CB">
        <w:rPr>
          <w:rFonts w:ascii="Times New Roman" w:hAnsi="Times New Roman" w:cs="Times New Roman"/>
          <w:bCs/>
        </w:rPr>
        <w:t>Vilakazi</w:t>
      </w:r>
      <w:proofErr w:type="spellEnd"/>
      <w:r w:rsidR="001464CB" w:rsidRPr="001464CB">
        <w:rPr>
          <w:rFonts w:ascii="Times New Roman" w:hAnsi="Times New Roman" w:cs="Times New Roman"/>
          <w:bCs/>
        </w:rPr>
        <w:t xml:space="preserve">, “Mobile Payments Markets in Kenya, Tanzania and Zimbabwe: A Comparative Study of Competitive Dynamics and Outcomes” (2016) 17 </w:t>
      </w:r>
      <w:r w:rsidR="001464CB" w:rsidRPr="001464CB">
        <w:rPr>
          <w:rFonts w:ascii="Times New Roman" w:hAnsi="Times New Roman" w:cs="Times New Roman"/>
          <w:bCs/>
          <w:i/>
        </w:rPr>
        <w:t>African Journal of Information and Communication</w:t>
      </w:r>
      <w:r w:rsidR="001464CB" w:rsidRPr="001464CB">
        <w:rPr>
          <w:rFonts w:ascii="Times New Roman" w:hAnsi="Times New Roman" w:cs="Times New Roman"/>
          <w:bCs/>
        </w:rPr>
        <w:t>, 9 – 37.</w:t>
      </w:r>
    </w:p>
  </w:footnote>
  <w:footnote w:id="8">
    <w:p w:rsidR="00146853" w:rsidRPr="001464CB" w:rsidRDefault="00146853" w:rsidP="001464CB">
      <w:pPr>
        <w:pStyle w:val="FootnoteText"/>
        <w:jc w:val="both"/>
        <w:rPr>
          <w:rFonts w:ascii="Times New Roman" w:hAnsi="Times New Roman" w:cs="Times New Roman"/>
        </w:rPr>
      </w:pPr>
      <w:r w:rsidRPr="008A2F5B">
        <w:rPr>
          <w:rStyle w:val="FootnoteReference"/>
          <w:rFonts w:ascii="Times New Roman" w:hAnsi="Times New Roman" w:cs="Times New Roman"/>
        </w:rPr>
        <w:footnoteRef/>
      </w:r>
      <w:r w:rsidRPr="008A2F5B">
        <w:rPr>
          <w:rFonts w:ascii="Times New Roman" w:hAnsi="Times New Roman" w:cs="Times New Roman"/>
        </w:rPr>
        <w:t xml:space="preserve"> Kline and Mayer (n 6).</w:t>
      </w:r>
    </w:p>
  </w:footnote>
  <w:footnote w:id="9">
    <w:p w:rsidR="00F60777" w:rsidRPr="001464CB" w:rsidRDefault="00F60777" w:rsidP="001464CB">
      <w:pPr>
        <w:spacing w:after="0" w:line="240" w:lineRule="auto"/>
        <w:jc w:val="both"/>
        <w:rPr>
          <w:rFonts w:ascii="Times New Roman" w:hAnsi="Times New Roman" w:cs="Times New Roman"/>
          <w:bCs/>
          <w:sz w:val="20"/>
          <w:szCs w:val="20"/>
        </w:rPr>
      </w:pPr>
      <w:r w:rsidRPr="001464CB">
        <w:rPr>
          <w:rStyle w:val="FootnoteReference"/>
          <w:rFonts w:ascii="Times New Roman" w:hAnsi="Times New Roman" w:cs="Times New Roman"/>
          <w:sz w:val="20"/>
          <w:szCs w:val="20"/>
        </w:rPr>
        <w:footnoteRef/>
      </w:r>
      <w:r w:rsidRPr="001464CB">
        <w:rPr>
          <w:rFonts w:ascii="Times New Roman" w:hAnsi="Times New Roman" w:cs="Times New Roman"/>
          <w:sz w:val="20"/>
          <w:szCs w:val="20"/>
        </w:rPr>
        <w:t xml:space="preserve"> Mercy </w:t>
      </w:r>
      <w:proofErr w:type="spellStart"/>
      <w:r w:rsidRPr="001464CB">
        <w:rPr>
          <w:rFonts w:ascii="Times New Roman" w:hAnsi="Times New Roman" w:cs="Times New Roman"/>
          <w:sz w:val="20"/>
          <w:szCs w:val="20"/>
        </w:rPr>
        <w:t>Muendo</w:t>
      </w:r>
      <w:proofErr w:type="spellEnd"/>
      <w:r w:rsidRPr="001464CB">
        <w:rPr>
          <w:rFonts w:ascii="Times New Roman" w:hAnsi="Times New Roman" w:cs="Times New Roman"/>
          <w:sz w:val="20"/>
          <w:szCs w:val="20"/>
        </w:rPr>
        <w:t xml:space="preserve">, </w:t>
      </w:r>
      <w:r w:rsidRPr="001464CB">
        <w:rPr>
          <w:rFonts w:ascii="Times New Roman" w:hAnsi="Times New Roman" w:cs="Times New Roman"/>
          <w:bCs/>
          <w:sz w:val="20"/>
          <w:szCs w:val="20"/>
        </w:rPr>
        <w:t xml:space="preserve">“Uganda takes another step on e-payments path: five things you should know”, </w:t>
      </w:r>
      <w:r w:rsidRPr="001464CB">
        <w:rPr>
          <w:rFonts w:ascii="Times New Roman" w:hAnsi="Times New Roman" w:cs="Times New Roman"/>
          <w:bCs/>
          <w:i/>
          <w:sz w:val="20"/>
          <w:szCs w:val="20"/>
        </w:rPr>
        <w:t>The Conversation</w:t>
      </w:r>
      <w:r w:rsidRPr="001464CB">
        <w:rPr>
          <w:rFonts w:ascii="Times New Roman" w:hAnsi="Times New Roman" w:cs="Times New Roman"/>
          <w:bCs/>
          <w:sz w:val="20"/>
          <w:szCs w:val="20"/>
        </w:rPr>
        <w:t>, (London, United Kingdom, 22 February, 2022) &lt;</w:t>
      </w:r>
      <w:hyperlink r:id="rId3" w:history="1">
        <w:r w:rsidR="00340676" w:rsidRPr="001464CB">
          <w:rPr>
            <w:rStyle w:val="Hyperlink"/>
            <w:rFonts w:ascii="Times New Roman" w:hAnsi="Times New Roman" w:cs="Times New Roman"/>
            <w:bCs/>
            <w:sz w:val="20"/>
            <w:szCs w:val="20"/>
          </w:rPr>
          <w:t>https://theconversation.com/uganda-takes-another-step-on-e-payments-path-five-things-you-should-know-175605</w:t>
        </w:r>
      </w:hyperlink>
      <w:r w:rsidRPr="001464CB">
        <w:rPr>
          <w:rFonts w:ascii="Times New Roman" w:hAnsi="Times New Roman" w:cs="Times New Roman"/>
          <w:bCs/>
          <w:sz w:val="20"/>
          <w:szCs w:val="20"/>
        </w:rPr>
        <w:t>&gt; (accessed 11Ju</w:t>
      </w:r>
      <w:r w:rsidR="00614C42" w:rsidRPr="001464CB">
        <w:rPr>
          <w:rFonts w:ascii="Times New Roman" w:hAnsi="Times New Roman" w:cs="Times New Roman"/>
          <w:bCs/>
          <w:sz w:val="20"/>
          <w:szCs w:val="20"/>
        </w:rPr>
        <w:t>ly</w:t>
      </w:r>
      <w:r w:rsidRPr="001464CB">
        <w:rPr>
          <w:rFonts w:ascii="Times New Roman" w:hAnsi="Times New Roman" w:cs="Times New Roman"/>
          <w:bCs/>
          <w:sz w:val="20"/>
          <w:szCs w:val="20"/>
        </w:rPr>
        <w:t xml:space="preserve"> 2022).</w:t>
      </w:r>
    </w:p>
  </w:footnote>
  <w:footnote w:id="10">
    <w:p w:rsidR="00F60777" w:rsidRPr="0004788F" w:rsidRDefault="00F60777" w:rsidP="001464CB">
      <w:pPr>
        <w:spacing w:after="0" w:line="240" w:lineRule="auto"/>
        <w:jc w:val="both"/>
        <w:rPr>
          <w:rFonts w:ascii="Times New Roman" w:hAnsi="Times New Roman" w:cs="Times New Roman"/>
          <w:sz w:val="20"/>
          <w:szCs w:val="20"/>
        </w:rPr>
      </w:pPr>
      <w:r w:rsidRPr="001464CB">
        <w:rPr>
          <w:rStyle w:val="FootnoteReference"/>
          <w:rFonts w:ascii="Times New Roman" w:hAnsi="Times New Roman" w:cs="Times New Roman"/>
          <w:sz w:val="20"/>
          <w:szCs w:val="20"/>
        </w:rPr>
        <w:footnoteRef/>
      </w:r>
      <w:r w:rsidRPr="001464CB">
        <w:rPr>
          <w:rFonts w:ascii="Times New Roman" w:hAnsi="Times New Roman" w:cs="Times New Roman"/>
          <w:sz w:val="20"/>
          <w:szCs w:val="20"/>
        </w:rPr>
        <w:t xml:space="preserve"> Central Bank of Kenya, </w:t>
      </w:r>
      <w:r w:rsidRPr="001464CB">
        <w:rPr>
          <w:rFonts w:ascii="Times New Roman" w:hAnsi="Times New Roman" w:cs="Times New Roman"/>
          <w:i/>
          <w:sz w:val="20"/>
          <w:szCs w:val="20"/>
        </w:rPr>
        <w:t xml:space="preserve">2021 </w:t>
      </w:r>
      <w:proofErr w:type="spellStart"/>
      <w:r w:rsidRPr="001464CB">
        <w:rPr>
          <w:rFonts w:ascii="Times New Roman" w:hAnsi="Times New Roman" w:cs="Times New Roman"/>
          <w:i/>
          <w:sz w:val="20"/>
          <w:szCs w:val="20"/>
        </w:rPr>
        <w:t>FinAccess</w:t>
      </w:r>
      <w:proofErr w:type="spellEnd"/>
      <w:r w:rsidRPr="001464CB">
        <w:rPr>
          <w:rFonts w:ascii="Times New Roman" w:hAnsi="Times New Roman" w:cs="Times New Roman"/>
          <w:i/>
          <w:sz w:val="20"/>
          <w:szCs w:val="20"/>
        </w:rPr>
        <w:t xml:space="preserve"> Household Survey Report</w:t>
      </w:r>
      <w:r w:rsidRPr="001464CB">
        <w:rPr>
          <w:rFonts w:ascii="Times New Roman" w:hAnsi="Times New Roman" w:cs="Times New Roman"/>
          <w:sz w:val="20"/>
          <w:szCs w:val="20"/>
        </w:rPr>
        <w:t xml:space="preserve">, </w:t>
      </w:r>
      <w:r w:rsidRPr="001464CB">
        <w:rPr>
          <w:rFonts w:ascii="Times New Roman" w:hAnsi="Times New Roman" w:cs="Times New Roman"/>
          <w:bCs/>
          <w:sz w:val="20"/>
          <w:szCs w:val="20"/>
        </w:rPr>
        <w:t xml:space="preserve">(Nairobi, Kenya, </w:t>
      </w:r>
      <w:r w:rsidRPr="001464CB">
        <w:rPr>
          <w:rFonts w:ascii="Times New Roman" w:hAnsi="Times New Roman" w:cs="Times New Roman"/>
          <w:sz w:val="20"/>
          <w:szCs w:val="20"/>
        </w:rPr>
        <w:t>December 2021</w:t>
      </w:r>
      <w:r w:rsidRPr="001464CB">
        <w:rPr>
          <w:rFonts w:ascii="Times New Roman" w:hAnsi="Times New Roman" w:cs="Times New Roman"/>
          <w:bCs/>
          <w:sz w:val="20"/>
          <w:szCs w:val="20"/>
        </w:rPr>
        <w:t>)</w:t>
      </w:r>
      <w:r w:rsidRPr="001464CB">
        <w:rPr>
          <w:rFonts w:ascii="Times New Roman" w:hAnsi="Times New Roman" w:cs="Times New Roman"/>
          <w:sz w:val="20"/>
          <w:szCs w:val="20"/>
        </w:rPr>
        <w:t>,</w:t>
      </w:r>
      <w:r w:rsidR="00614C42" w:rsidRPr="001464CB">
        <w:rPr>
          <w:rFonts w:ascii="Times New Roman" w:hAnsi="Times New Roman" w:cs="Times New Roman"/>
          <w:sz w:val="20"/>
          <w:szCs w:val="20"/>
        </w:rPr>
        <w:t xml:space="preserve"> </w:t>
      </w:r>
      <w:r w:rsidRPr="001464CB">
        <w:rPr>
          <w:rFonts w:ascii="Times New Roman" w:hAnsi="Times New Roman" w:cs="Times New Roman"/>
          <w:sz w:val="20"/>
          <w:szCs w:val="20"/>
        </w:rPr>
        <w:t>&lt;</w:t>
      </w:r>
      <w:hyperlink r:id="rId4" w:history="1">
        <w:r w:rsidR="00614C42" w:rsidRPr="001464CB">
          <w:rPr>
            <w:rStyle w:val="Hyperlink"/>
            <w:rFonts w:ascii="Times New Roman" w:hAnsi="Times New Roman" w:cs="Times New Roman"/>
            <w:sz w:val="20"/>
            <w:szCs w:val="20"/>
          </w:rPr>
          <w:t>2064908903_2021 FinAccess Survey Report Launched_15 Dec 2021.pdf)</w:t>
        </w:r>
      </w:hyperlink>
      <w:r w:rsidRPr="001464CB">
        <w:rPr>
          <w:rFonts w:ascii="Times New Roman" w:hAnsi="Times New Roman" w:cs="Times New Roman"/>
          <w:sz w:val="20"/>
          <w:szCs w:val="20"/>
        </w:rPr>
        <w:t xml:space="preserve">&gt; </w:t>
      </w:r>
      <w:r w:rsidRPr="001464CB">
        <w:rPr>
          <w:rFonts w:ascii="Times New Roman" w:hAnsi="Times New Roman" w:cs="Times New Roman"/>
          <w:bCs/>
          <w:sz w:val="20"/>
          <w:szCs w:val="20"/>
        </w:rPr>
        <w:t>(</w:t>
      </w:r>
      <w:r w:rsidRPr="001464CB">
        <w:rPr>
          <w:rFonts w:ascii="Times New Roman" w:hAnsi="Times New Roman" w:cs="Times New Roman"/>
          <w:sz w:val="20"/>
          <w:szCs w:val="20"/>
        </w:rPr>
        <w:t xml:space="preserve">accessed </w:t>
      </w:r>
      <w:r w:rsidR="00614C42" w:rsidRPr="001464CB">
        <w:rPr>
          <w:rFonts w:ascii="Times New Roman" w:hAnsi="Times New Roman" w:cs="Times New Roman"/>
          <w:sz w:val="20"/>
          <w:szCs w:val="20"/>
        </w:rPr>
        <w:t>05 August</w:t>
      </w:r>
      <w:r w:rsidRPr="001464CB">
        <w:rPr>
          <w:rFonts w:ascii="Times New Roman" w:hAnsi="Times New Roman" w:cs="Times New Roman"/>
          <w:sz w:val="20"/>
          <w:szCs w:val="20"/>
        </w:rPr>
        <w:t xml:space="preserve"> 2022</w:t>
      </w:r>
      <w:r w:rsidRPr="001464CB">
        <w:rPr>
          <w:rFonts w:ascii="Times New Roman" w:hAnsi="Times New Roman" w:cs="Times New Roman"/>
          <w:bCs/>
          <w:sz w:val="20"/>
          <w:szCs w:val="20"/>
        </w:rPr>
        <w:t>)</w:t>
      </w:r>
      <w:r w:rsidRPr="001464CB">
        <w:rPr>
          <w:rFonts w:ascii="Times New Roman" w:hAnsi="Times New Roman" w:cs="Times New Roman"/>
          <w:sz w:val="20"/>
          <w:szCs w:val="20"/>
        </w:rPr>
        <w:t>.</w:t>
      </w:r>
    </w:p>
  </w:footnote>
  <w:footnote w:id="11">
    <w:p w:rsidR="00F60777" w:rsidRPr="00E748A0" w:rsidRDefault="00F60777" w:rsidP="00E748A0">
      <w:pPr>
        <w:spacing w:after="0"/>
        <w:jc w:val="both"/>
        <w:rPr>
          <w:rFonts w:ascii="Times New Roman" w:hAnsi="Times New Roman" w:cs="Times New Roman"/>
          <w:bCs/>
          <w:sz w:val="20"/>
          <w:szCs w:val="20"/>
        </w:rPr>
      </w:pPr>
      <w:r w:rsidRPr="00E748A0">
        <w:rPr>
          <w:rStyle w:val="FootnoteReference"/>
          <w:rFonts w:ascii="Times New Roman" w:hAnsi="Times New Roman" w:cs="Times New Roman"/>
          <w:sz w:val="20"/>
          <w:szCs w:val="20"/>
        </w:rPr>
        <w:footnoteRef/>
      </w:r>
      <w:r w:rsidRPr="00E748A0">
        <w:rPr>
          <w:rFonts w:ascii="Times New Roman" w:hAnsi="Times New Roman" w:cs="Times New Roman"/>
          <w:sz w:val="20"/>
          <w:szCs w:val="20"/>
        </w:rPr>
        <w:t xml:space="preserve"> National Bank of Rwanda, </w:t>
      </w:r>
      <w:r w:rsidRPr="00E748A0">
        <w:rPr>
          <w:rFonts w:ascii="Times New Roman" w:hAnsi="Times New Roman" w:cs="Times New Roman"/>
          <w:bCs/>
          <w:i/>
          <w:sz w:val="20"/>
          <w:szCs w:val="20"/>
        </w:rPr>
        <w:t>Rwanda Payment System Strategy: Towards a cashless Rwanda 2018-2024</w:t>
      </w:r>
      <w:r w:rsidRPr="00E748A0">
        <w:rPr>
          <w:rFonts w:ascii="Times New Roman" w:hAnsi="Times New Roman" w:cs="Times New Roman"/>
          <w:bCs/>
          <w:sz w:val="20"/>
          <w:szCs w:val="20"/>
        </w:rPr>
        <w:t>, (Kigali, Rwanda, 31 December 2017) &lt;</w:t>
      </w:r>
      <w:hyperlink r:id="rId5" w:history="1">
        <w:r w:rsidR="00411E1C" w:rsidRPr="00E748A0">
          <w:rPr>
            <w:rStyle w:val="Hyperlink"/>
            <w:rFonts w:ascii="Times New Roman" w:hAnsi="Times New Roman" w:cs="Times New Roman"/>
            <w:bCs/>
            <w:sz w:val="20"/>
            <w:szCs w:val="20"/>
          </w:rPr>
          <w:t>https://www.mfw4a.org/publication/rwanda-payment-system-strategy-towards-cashless-rwanda-2018-2024</w:t>
        </w:r>
      </w:hyperlink>
      <w:r w:rsidRPr="00E748A0">
        <w:rPr>
          <w:rFonts w:ascii="Times New Roman" w:hAnsi="Times New Roman" w:cs="Times New Roman"/>
          <w:bCs/>
          <w:sz w:val="20"/>
          <w:szCs w:val="20"/>
        </w:rPr>
        <w:t>&gt;</w:t>
      </w:r>
      <w:r w:rsidRPr="00E748A0">
        <w:rPr>
          <w:rFonts w:ascii="Times New Roman" w:hAnsi="Times New Roman" w:cs="Times New Roman"/>
          <w:bCs/>
          <w:color w:val="FF0000"/>
          <w:sz w:val="20"/>
          <w:szCs w:val="20"/>
        </w:rPr>
        <w:t xml:space="preserve"> </w:t>
      </w:r>
      <w:r w:rsidRPr="00E748A0">
        <w:rPr>
          <w:rFonts w:ascii="Times New Roman" w:hAnsi="Times New Roman" w:cs="Times New Roman"/>
          <w:bCs/>
          <w:sz w:val="20"/>
          <w:szCs w:val="20"/>
        </w:rPr>
        <w:t xml:space="preserve">(accessed 10 </w:t>
      </w:r>
      <w:r w:rsidR="00614C42" w:rsidRPr="00E748A0">
        <w:rPr>
          <w:rFonts w:ascii="Times New Roman" w:hAnsi="Times New Roman" w:cs="Times New Roman"/>
          <w:bCs/>
          <w:sz w:val="20"/>
          <w:szCs w:val="20"/>
        </w:rPr>
        <w:t>August</w:t>
      </w:r>
      <w:r w:rsidRPr="00E748A0">
        <w:rPr>
          <w:rFonts w:ascii="Times New Roman" w:hAnsi="Times New Roman" w:cs="Times New Roman"/>
          <w:bCs/>
          <w:sz w:val="20"/>
          <w:szCs w:val="20"/>
        </w:rPr>
        <w:t xml:space="preserve"> 2022).</w:t>
      </w:r>
    </w:p>
  </w:footnote>
  <w:footnote w:id="12">
    <w:p w:rsidR="00411E1C" w:rsidRPr="00E748A0" w:rsidRDefault="00411E1C" w:rsidP="00E748A0">
      <w:pPr>
        <w:pStyle w:val="FootnoteText"/>
        <w:jc w:val="both"/>
        <w:rPr>
          <w:rFonts w:ascii="Times New Roman" w:hAnsi="Times New Roman" w:cs="Times New Roman"/>
        </w:rPr>
      </w:pPr>
      <w:r w:rsidRPr="00E748A0">
        <w:rPr>
          <w:rStyle w:val="FootnoteReference"/>
          <w:rFonts w:ascii="Times New Roman" w:hAnsi="Times New Roman" w:cs="Times New Roman"/>
        </w:rPr>
        <w:footnoteRef/>
      </w:r>
      <w:r w:rsidRPr="00E748A0">
        <w:rPr>
          <w:rFonts w:ascii="Times New Roman" w:hAnsi="Times New Roman" w:cs="Times New Roman"/>
        </w:rPr>
        <w:t xml:space="preserve"> National Payment Systems Act, 2015 (Act 4 of 2015).</w:t>
      </w:r>
    </w:p>
  </w:footnote>
  <w:footnote w:id="13">
    <w:p w:rsidR="00E748A0" w:rsidRPr="00E748A0" w:rsidRDefault="00E748A0" w:rsidP="00E748A0">
      <w:pPr>
        <w:pStyle w:val="FootnoteText"/>
        <w:jc w:val="both"/>
        <w:rPr>
          <w:rFonts w:ascii="Times New Roman" w:hAnsi="Times New Roman" w:cs="Times New Roman"/>
        </w:rPr>
      </w:pPr>
      <w:r w:rsidRPr="00E748A0">
        <w:rPr>
          <w:rStyle w:val="FootnoteReference"/>
          <w:rFonts w:ascii="Times New Roman" w:hAnsi="Times New Roman" w:cs="Times New Roman"/>
        </w:rPr>
        <w:footnoteRef/>
      </w:r>
      <w:r w:rsidRPr="00E748A0">
        <w:rPr>
          <w:rFonts w:ascii="Times New Roman" w:hAnsi="Times New Roman" w:cs="Times New Roman"/>
        </w:rPr>
        <w:t xml:space="preserve"> J. G. </w:t>
      </w:r>
      <w:proofErr w:type="spellStart"/>
      <w:r w:rsidRPr="00E748A0">
        <w:rPr>
          <w:rFonts w:ascii="Times New Roman" w:hAnsi="Times New Roman" w:cs="Times New Roman"/>
        </w:rPr>
        <w:t>Blechman</w:t>
      </w:r>
      <w:proofErr w:type="spellEnd"/>
      <w:r w:rsidRPr="00E748A0">
        <w:rPr>
          <w:rFonts w:ascii="Times New Roman" w:hAnsi="Times New Roman" w:cs="Times New Roman"/>
        </w:rPr>
        <w:t xml:space="preserve">, “Mobile credit in Kenya and Tanzania: Emerging regulatory challenges in consumer protection, credit reporting and use of customer transactional data” (2016) 17 </w:t>
      </w:r>
      <w:r w:rsidRPr="00E748A0">
        <w:rPr>
          <w:rFonts w:ascii="Times New Roman" w:hAnsi="Times New Roman" w:cs="Times New Roman"/>
          <w:i/>
        </w:rPr>
        <w:t>African Journal of Information and Communication</w:t>
      </w:r>
      <w:r w:rsidRPr="00E748A0">
        <w:rPr>
          <w:rFonts w:ascii="Times New Roman" w:hAnsi="Times New Roman" w:cs="Times New Roman"/>
        </w:rPr>
        <w:t>, 61, 88.</w:t>
      </w:r>
    </w:p>
  </w:footnote>
  <w:footnote w:id="14">
    <w:p w:rsidR="00F60777" w:rsidRPr="00E748A0" w:rsidRDefault="00F60777" w:rsidP="00E748A0">
      <w:pPr>
        <w:spacing w:after="0"/>
        <w:jc w:val="both"/>
        <w:rPr>
          <w:rFonts w:ascii="Times New Roman" w:hAnsi="Times New Roman" w:cs="Times New Roman"/>
          <w:bCs/>
          <w:sz w:val="20"/>
          <w:szCs w:val="20"/>
        </w:rPr>
      </w:pPr>
      <w:r w:rsidRPr="00E748A0">
        <w:rPr>
          <w:rStyle w:val="FootnoteReference"/>
          <w:rFonts w:ascii="Times New Roman" w:hAnsi="Times New Roman" w:cs="Times New Roman"/>
          <w:sz w:val="20"/>
          <w:szCs w:val="20"/>
        </w:rPr>
        <w:footnoteRef/>
      </w:r>
      <w:r w:rsidRPr="00E748A0">
        <w:rPr>
          <w:rFonts w:ascii="Times New Roman" w:hAnsi="Times New Roman" w:cs="Times New Roman"/>
          <w:sz w:val="20"/>
          <w:szCs w:val="20"/>
        </w:rPr>
        <w:t xml:space="preserve"> </w:t>
      </w:r>
      <w:r w:rsidR="00E30035" w:rsidRPr="00E748A0">
        <w:rPr>
          <w:rFonts w:ascii="Times New Roman" w:hAnsi="Times New Roman" w:cs="Times New Roman"/>
          <w:sz w:val="20"/>
          <w:szCs w:val="20"/>
        </w:rPr>
        <w:t xml:space="preserve"> </w:t>
      </w:r>
      <w:r w:rsidR="00E30035" w:rsidRPr="00E748A0">
        <w:rPr>
          <w:rFonts w:ascii="Times New Roman" w:hAnsi="Times New Roman" w:cs="Times New Roman"/>
          <w:bCs/>
          <w:sz w:val="20"/>
          <w:szCs w:val="20"/>
        </w:rPr>
        <w:t xml:space="preserve">G. Robb and T. </w:t>
      </w:r>
      <w:proofErr w:type="spellStart"/>
      <w:r w:rsidR="00E30035" w:rsidRPr="00E748A0">
        <w:rPr>
          <w:rFonts w:ascii="Times New Roman" w:hAnsi="Times New Roman" w:cs="Times New Roman"/>
          <w:bCs/>
          <w:sz w:val="20"/>
          <w:szCs w:val="20"/>
        </w:rPr>
        <w:t>Vilakazi</w:t>
      </w:r>
      <w:proofErr w:type="spellEnd"/>
      <w:r w:rsidR="00E30035" w:rsidRPr="00E748A0">
        <w:rPr>
          <w:rFonts w:ascii="Times New Roman" w:hAnsi="Times New Roman" w:cs="Times New Roman"/>
          <w:bCs/>
          <w:sz w:val="20"/>
          <w:szCs w:val="20"/>
        </w:rPr>
        <w:t xml:space="preserve">, “Mobile Payments Markets in Kenya, Tanzania and Zimbabwe: A Comparative Study of Competitive Dynamics and Outcomes” (2016) 17 </w:t>
      </w:r>
      <w:r w:rsidR="00E30035" w:rsidRPr="00E748A0">
        <w:rPr>
          <w:rFonts w:ascii="Times New Roman" w:hAnsi="Times New Roman" w:cs="Times New Roman"/>
          <w:bCs/>
          <w:i/>
          <w:sz w:val="20"/>
          <w:szCs w:val="20"/>
        </w:rPr>
        <w:t>African Journal of Information and Communication</w:t>
      </w:r>
      <w:r w:rsidR="00E30035" w:rsidRPr="00E748A0">
        <w:rPr>
          <w:rFonts w:ascii="Times New Roman" w:hAnsi="Times New Roman" w:cs="Times New Roman"/>
          <w:bCs/>
          <w:sz w:val="20"/>
          <w:szCs w:val="20"/>
        </w:rPr>
        <w:t>, 9 – 37.</w:t>
      </w:r>
    </w:p>
  </w:footnote>
  <w:footnote w:id="15">
    <w:p w:rsidR="003902E2" w:rsidRPr="00E748A0" w:rsidRDefault="003902E2" w:rsidP="00E748A0">
      <w:pPr>
        <w:pStyle w:val="FootnoteText"/>
        <w:jc w:val="both"/>
        <w:rPr>
          <w:rFonts w:ascii="Times New Roman" w:hAnsi="Times New Roman" w:cs="Times New Roman"/>
        </w:rPr>
      </w:pPr>
      <w:r w:rsidRPr="00E748A0">
        <w:rPr>
          <w:rStyle w:val="FootnoteReference"/>
          <w:rFonts w:ascii="Times New Roman" w:hAnsi="Times New Roman" w:cs="Times New Roman"/>
        </w:rPr>
        <w:footnoteRef/>
      </w:r>
      <w:r w:rsidRPr="00E748A0">
        <w:rPr>
          <w:rFonts w:ascii="Times New Roman" w:hAnsi="Times New Roman" w:cs="Times New Roman"/>
        </w:rPr>
        <w:t xml:space="preserve"> </w:t>
      </w:r>
      <w:r w:rsidR="00FE7C73" w:rsidRPr="00E748A0">
        <w:rPr>
          <w:rFonts w:ascii="Times New Roman" w:hAnsi="Times New Roman" w:cs="Times New Roman"/>
        </w:rPr>
        <w:t>Act No.15 of 2020. (Hereafter, NPSA 2020).</w:t>
      </w:r>
    </w:p>
  </w:footnote>
  <w:footnote w:id="16">
    <w:p w:rsidR="00F60777" w:rsidRPr="00E748A0" w:rsidRDefault="00F60777" w:rsidP="00E748A0">
      <w:pPr>
        <w:pStyle w:val="FootnoteText"/>
        <w:jc w:val="both"/>
        <w:rPr>
          <w:rFonts w:ascii="Times New Roman" w:hAnsi="Times New Roman" w:cs="Times New Roman"/>
        </w:rPr>
      </w:pPr>
      <w:r w:rsidRPr="00E748A0">
        <w:rPr>
          <w:rStyle w:val="FootnoteReference"/>
          <w:rFonts w:ascii="Times New Roman" w:hAnsi="Times New Roman" w:cs="Times New Roman"/>
        </w:rPr>
        <w:footnoteRef/>
      </w:r>
      <w:r w:rsidRPr="00E748A0">
        <w:rPr>
          <w:rFonts w:ascii="Times New Roman" w:hAnsi="Times New Roman" w:cs="Times New Roman"/>
        </w:rPr>
        <w:t xml:space="preserve"> SI No.19 of 2021. Mandated under s. 17 (4) and 72, NPS</w:t>
      </w:r>
      <w:r w:rsidR="008A2F5B">
        <w:rPr>
          <w:rFonts w:ascii="Times New Roman" w:hAnsi="Times New Roman" w:cs="Times New Roman"/>
        </w:rPr>
        <w:t>A</w:t>
      </w:r>
      <w:r w:rsidRPr="00E748A0">
        <w:rPr>
          <w:rFonts w:ascii="Times New Roman" w:hAnsi="Times New Roman" w:cs="Times New Roman"/>
        </w:rPr>
        <w:t>, (2020). (Hereafter NPS</w:t>
      </w:r>
      <w:r w:rsidR="00411E1C" w:rsidRPr="00E748A0">
        <w:rPr>
          <w:rFonts w:ascii="Times New Roman" w:hAnsi="Times New Roman" w:cs="Times New Roman"/>
        </w:rPr>
        <w:t>A</w:t>
      </w:r>
      <w:r w:rsidRPr="00E748A0">
        <w:rPr>
          <w:rFonts w:ascii="Times New Roman" w:hAnsi="Times New Roman" w:cs="Times New Roman"/>
        </w:rPr>
        <w:t xml:space="preserve"> Regulations,</w:t>
      </w:r>
      <w:r w:rsidRPr="00E748A0">
        <w:rPr>
          <w:rFonts w:ascii="Times New Roman" w:hAnsi="Times New Roman" w:cs="Times New Roman"/>
          <w:color w:val="FF0000"/>
        </w:rPr>
        <w:t xml:space="preserve"> </w:t>
      </w:r>
      <w:r w:rsidRPr="00E748A0">
        <w:rPr>
          <w:rFonts w:ascii="Times New Roman" w:hAnsi="Times New Roman" w:cs="Times New Roman"/>
        </w:rPr>
        <w:t>(2021)).</w:t>
      </w:r>
    </w:p>
  </w:footnote>
  <w:footnote w:id="17">
    <w:p w:rsidR="00F60777" w:rsidRPr="0004788F" w:rsidRDefault="00F60777" w:rsidP="00E748A0">
      <w:pPr>
        <w:pStyle w:val="FootnoteText"/>
        <w:jc w:val="both"/>
        <w:rPr>
          <w:rFonts w:ascii="Times New Roman" w:hAnsi="Times New Roman" w:cs="Times New Roman"/>
        </w:rPr>
      </w:pPr>
      <w:r w:rsidRPr="00E748A0">
        <w:rPr>
          <w:rStyle w:val="FootnoteReference"/>
          <w:rFonts w:ascii="Times New Roman" w:hAnsi="Times New Roman" w:cs="Times New Roman"/>
        </w:rPr>
        <w:footnoteRef/>
      </w:r>
      <w:r w:rsidRPr="00E748A0">
        <w:rPr>
          <w:rFonts w:ascii="Times New Roman" w:hAnsi="Times New Roman" w:cs="Times New Roman"/>
        </w:rPr>
        <w:t xml:space="preserve"> SI No.20 of 2021. A “sandbox” means a temporary experiment of innovative financial products, services, business models or delivery mechanisms in the payment systems ecosystem.</w:t>
      </w:r>
    </w:p>
  </w:footnote>
  <w:footnote w:id="18">
    <w:p w:rsidR="00780B7E" w:rsidRPr="0004788F" w:rsidRDefault="00780B7E" w:rsidP="00B87435">
      <w:pPr>
        <w:pStyle w:val="FootnoteText"/>
        <w:jc w:val="both"/>
        <w:rPr>
          <w:rFonts w:ascii="Times New Roman" w:hAnsi="Times New Roman" w:cs="Times New Roman"/>
        </w:rPr>
      </w:pPr>
      <w:r w:rsidRPr="00411E1C">
        <w:rPr>
          <w:rStyle w:val="FootnoteReference"/>
          <w:rFonts w:ascii="Times New Roman" w:hAnsi="Times New Roman" w:cs="Times New Roman"/>
        </w:rPr>
        <w:footnoteRef/>
      </w:r>
      <w:r w:rsidRPr="00411E1C">
        <w:rPr>
          <w:rFonts w:ascii="Times New Roman" w:hAnsi="Times New Roman" w:cs="Times New Roman"/>
        </w:rPr>
        <w:t xml:space="preserve"> </w:t>
      </w:r>
      <w:r w:rsidR="004A2950">
        <w:rPr>
          <w:rFonts w:ascii="Times New Roman" w:hAnsi="Times New Roman" w:cs="Times New Roman"/>
        </w:rPr>
        <w:t xml:space="preserve">F. K. </w:t>
      </w:r>
      <w:proofErr w:type="spellStart"/>
      <w:r w:rsidR="004A2950">
        <w:rPr>
          <w:rFonts w:ascii="Times New Roman" w:hAnsi="Times New Roman" w:cs="Times New Roman"/>
        </w:rPr>
        <w:t>Pesek</w:t>
      </w:r>
      <w:proofErr w:type="spellEnd"/>
      <w:r w:rsidR="004A2950">
        <w:rPr>
          <w:rFonts w:ascii="Times New Roman" w:hAnsi="Times New Roman" w:cs="Times New Roman"/>
        </w:rPr>
        <w:t xml:space="preserve">, </w:t>
      </w:r>
      <w:r w:rsidRPr="00411E1C">
        <w:rPr>
          <w:rFonts w:ascii="Times New Roman" w:hAnsi="Times New Roman" w:cs="Times New Roman"/>
          <w:i/>
        </w:rPr>
        <w:t>The First Fifty Years – A History of the FDIC 1933-1983</w:t>
      </w:r>
      <w:r w:rsidRPr="0004788F">
        <w:rPr>
          <w:rFonts w:ascii="Times New Roman" w:hAnsi="Times New Roman" w:cs="Times New Roman"/>
        </w:rPr>
        <w:t xml:space="preserve"> (Federal Deposit Insurance Corporation, Washington DC</w:t>
      </w:r>
      <w:r w:rsidR="00411E1C">
        <w:rPr>
          <w:rFonts w:ascii="Times New Roman" w:hAnsi="Times New Roman" w:cs="Times New Roman"/>
        </w:rPr>
        <w:t>, 1984</w:t>
      </w:r>
      <w:r w:rsidRPr="0004788F">
        <w:rPr>
          <w:rFonts w:ascii="Times New Roman" w:hAnsi="Times New Roman" w:cs="Times New Roman"/>
        </w:rPr>
        <w:t>), Ch.2.</w:t>
      </w:r>
    </w:p>
  </w:footnote>
  <w:footnote w:id="19">
    <w:p w:rsidR="00780B7E" w:rsidRPr="0004788F" w:rsidRDefault="00780B7E" w:rsidP="00B87435">
      <w:pPr>
        <w:pStyle w:val="FootnoteText"/>
        <w:jc w:val="both"/>
        <w:rPr>
          <w:rFonts w:ascii="Times New Roman" w:hAnsi="Times New Roman" w:cs="Times New Roman"/>
        </w:rPr>
      </w:pPr>
      <w:r w:rsidRPr="002B1251">
        <w:rPr>
          <w:rStyle w:val="FootnoteReference"/>
          <w:rFonts w:ascii="Times New Roman" w:hAnsi="Times New Roman" w:cs="Times New Roman"/>
        </w:rPr>
        <w:footnoteRef/>
      </w:r>
      <w:r w:rsidR="001615BC" w:rsidRPr="002B1251">
        <w:rPr>
          <w:rFonts w:ascii="Times New Roman" w:hAnsi="Times New Roman" w:cs="Times New Roman"/>
        </w:rPr>
        <w:t xml:space="preserve"> Ibid, Ch.3.</w:t>
      </w:r>
    </w:p>
  </w:footnote>
  <w:footnote w:id="20">
    <w:p w:rsidR="00780B7E" w:rsidRPr="0004788F" w:rsidRDefault="00780B7E" w:rsidP="00B87435">
      <w:pPr>
        <w:spacing w:after="0"/>
        <w:jc w:val="both"/>
        <w:rPr>
          <w:rFonts w:ascii="Times New Roman" w:hAnsi="Times New Roman" w:cs="Times New Roman"/>
          <w:sz w:val="20"/>
          <w:szCs w:val="20"/>
        </w:rPr>
      </w:pPr>
      <w:r w:rsidRPr="0004788F">
        <w:rPr>
          <w:rStyle w:val="FootnoteReference"/>
          <w:rFonts w:ascii="Times New Roman" w:hAnsi="Times New Roman" w:cs="Times New Roman"/>
          <w:sz w:val="20"/>
          <w:szCs w:val="20"/>
        </w:rPr>
        <w:footnoteRef/>
      </w:r>
      <w:r w:rsidRPr="0004788F">
        <w:rPr>
          <w:rFonts w:ascii="Times New Roman" w:hAnsi="Times New Roman" w:cs="Times New Roman"/>
          <w:sz w:val="20"/>
          <w:szCs w:val="20"/>
        </w:rPr>
        <w:t xml:space="preserve"> Banking Act of 1993, (Pub. L. 73-66, 48 Stat. 162) (Hereafter, the 1993 Act).</w:t>
      </w:r>
    </w:p>
  </w:footnote>
  <w:footnote w:id="21">
    <w:p w:rsidR="00780B7E" w:rsidRPr="00D92D32" w:rsidRDefault="00780B7E" w:rsidP="00B87435">
      <w:pPr>
        <w:spacing w:after="0"/>
        <w:jc w:val="both"/>
        <w:rPr>
          <w:rFonts w:ascii="Times New Roman" w:hAnsi="Times New Roman" w:cs="Times New Roman"/>
          <w:color w:val="202124"/>
          <w:sz w:val="20"/>
          <w:szCs w:val="20"/>
          <w:shd w:val="clear" w:color="auto" w:fill="FFFFFF"/>
        </w:rPr>
      </w:pPr>
      <w:r w:rsidRPr="0004788F">
        <w:rPr>
          <w:rStyle w:val="FootnoteReference"/>
          <w:rFonts w:ascii="Times New Roman" w:hAnsi="Times New Roman" w:cs="Times New Roman"/>
          <w:sz w:val="20"/>
          <w:szCs w:val="20"/>
        </w:rPr>
        <w:footnoteRef/>
      </w:r>
      <w:r w:rsidRPr="0004788F">
        <w:rPr>
          <w:rFonts w:ascii="Times New Roman" w:hAnsi="Times New Roman" w:cs="Times New Roman"/>
          <w:sz w:val="20"/>
          <w:szCs w:val="20"/>
        </w:rPr>
        <w:t xml:space="preserve"> </w:t>
      </w:r>
      <w:r w:rsidRPr="0004788F">
        <w:rPr>
          <w:rFonts w:ascii="Times New Roman" w:hAnsi="Times New Roman" w:cs="Times New Roman"/>
          <w:color w:val="202124"/>
          <w:sz w:val="20"/>
          <w:szCs w:val="20"/>
          <w:shd w:val="clear" w:color="auto" w:fill="FFFFFF"/>
        </w:rPr>
        <w:t>The FDIC is an independent agency created by the US Congress whose main role is to </w:t>
      </w:r>
      <w:r w:rsidRPr="0004788F">
        <w:rPr>
          <w:rFonts w:ascii="Times New Roman" w:hAnsi="Times New Roman" w:cs="Times New Roman"/>
          <w:bCs/>
          <w:color w:val="202124"/>
          <w:sz w:val="20"/>
          <w:szCs w:val="20"/>
          <w:shd w:val="clear" w:color="auto" w:fill="FFFFFF"/>
        </w:rPr>
        <w:t>maintain stability and public confidence in the US financial system</w:t>
      </w:r>
      <w:r w:rsidRPr="0004788F">
        <w:rPr>
          <w:rFonts w:ascii="Times New Roman" w:hAnsi="Times New Roman" w:cs="Times New Roman"/>
          <w:color w:val="202124"/>
          <w:sz w:val="20"/>
          <w:szCs w:val="20"/>
          <w:shd w:val="clear" w:color="auto" w:fill="FFFFFF"/>
        </w:rPr>
        <w:t>, insuring customer deposits, examining and supervising financial institutions for safety and soundness and consumer protection, making large and complex financial institutions resolvable and managing the resolution of failed banks.</w:t>
      </w:r>
      <w:r w:rsidR="00D92D32">
        <w:rPr>
          <w:rFonts w:ascii="Times New Roman" w:hAnsi="Times New Roman" w:cs="Times New Roman"/>
          <w:color w:val="202124"/>
          <w:sz w:val="20"/>
          <w:szCs w:val="20"/>
          <w:shd w:val="clear" w:color="auto" w:fill="FFFFFF"/>
        </w:rPr>
        <w:t xml:space="preserve"> </w:t>
      </w:r>
      <w:r w:rsidR="00D92D32" w:rsidRPr="00D92D32">
        <w:rPr>
          <w:rFonts w:ascii="Times New Roman" w:hAnsi="Times New Roman" w:cs="Times New Roman"/>
          <w:color w:val="202124"/>
          <w:sz w:val="20"/>
          <w:szCs w:val="20"/>
          <w:shd w:val="clear" w:color="auto" w:fill="FFFFFF"/>
        </w:rPr>
        <w:t>See generally; &lt;</w:t>
      </w:r>
      <w:hyperlink r:id="rId6" w:history="1">
        <w:r w:rsidR="00D92D32" w:rsidRPr="00D92D32">
          <w:rPr>
            <w:rStyle w:val="Hyperlink"/>
            <w:rFonts w:ascii="Times New Roman" w:hAnsi="Times New Roman" w:cs="Times New Roman"/>
            <w:sz w:val="20"/>
            <w:szCs w:val="20"/>
            <w:shd w:val="clear" w:color="auto" w:fill="FFFFFF"/>
          </w:rPr>
          <w:t>https://www.fdic.gov/</w:t>
        </w:r>
      </w:hyperlink>
      <w:r w:rsidR="00D92D32" w:rsidRPr="00D92D32">
        <w:rPr>
          <w:rFonts w:ascii="Times New Roman" w:hAnsi="Times New Roman" w:cs="Times New Roman"/>
          <w:color w:val="202124"/>
          <w:sz w:val="20"/>
          <w:szCs w:val="20"/>
          <w:shd w:val="clear" w:color="auto" w:fill="FFFFFF"/>
        </w:rPr>
        <w:t>&gt;</w:t>
      </w:r>
      <w:r w:rsidR="00D92D32">
        <w:rPr>
          <w:rFonts w:ascii="Times New Roman" w:hAnsi="Times New Roman" w:cs="Times New Roman"/>
          <w:color w:val="202124"/>
          <w:sz w:val="20"/>
          <w:szCs w:val="20"/>
          <w:shd w:val="clear" w:color="auto" w:fill="FFFFFF"/>
        </w:rPr>
        <w:t>.</w:t>
      </w:r>
    </w:p>
  </w:footnote>
  <w:footnote w:id="22">
    <w:p w:rsidR="00780B7E" w:rsidRPr="003C0108" w:rsidRDefault="00780B7E" w:rsidP="00B87435">
      <w:pPr>
        <w:spacing w:after="0"/>
        <w:jc w:val="both"/>
        <w:rPr>
          <w:rFonts w:ascii="Times New Roman" w:hAnsi="Times New Roman" w:cs="Times New Roman"/>
          <w:sz w:val="20"/>
          <w:szCs w:val="20"/>
        </w:rPr>
      </w:pPr>
      <w:r w:rsidRPr="0004788F">
        <w:rPr>
          <w:rStyle w:val="FootnoteReference"/>
          <w:rFonts w:ascii="Times New Roman" w:hAnsi="Times New Roman" w:cs="Times New Roman"/>
          <w:sz w:val="20"/>
          <w:szCs w:val="20"/>
        </w:rPr>
        <w:footnoteRef/>
      </w:r>
      <w:r w:rsidRPr="0004788F">
        <w:rPr>
          <w:rFonts w:ascii="Times New Roman" w:hAnsi="Times New Roman" w:cs="Times New Roman"/>
          <w:sz w:val="20"/>
          <w:szCs w:val="20"/>
        </w:rPr>
        <w:t xml:space="preserve"> See further</w:t>
      </w:r>
      <w:r w:rsidR="003C0108">
        <w:rPr>
          <w:rFonts w:ascii="Times New Roman" w:hAnsi="Times New Roman" w:cs="Times New Roman"/>
          <w:sz w:val="20"/>
          <w:szCs w:val="20"/>
        </w:rPr>
        <w:t xml:space="preserve">: </w:t>
      </w:r>
      <w:r w:rsidR="003C0108" w:rsidRPr="003C0108">
        <w:rPr>
          <w:rFonts w:ascii="Times New Roman" w:hAnsi="Times New Roman" w:cs="Times New Roman"/>
          <w:sz w:val="20"/>
          <w:szCs w:val="20"/>
        </w:rPr>
        <w:t xml:space="preserve">Sandra </w:t>
      </w:r>
      <w:proofErr w:type="spellStart"/>
      <w:r w:rsidR="003C0108" w:rsidRPr="003C0108">
        <w:rPr>
          <w:rFonts w:ascii="Times New Roman" w:hAnsi="Times New Roman" w:cs="Times New Roman"/>
          <w:sz w:val="20"/>
          <w:szCs w:val="20"/>
        </w:rPr>
        <w:t>Booysen</w:t>
      </w:r>
      <w:proofErr w:type="spellEnd"/>
      <w:r w:rsidR="003C0108" w:rsidRPr="003C0108">
        <w:rPr>
          <w:rFonts w:ascii="Times New Roman" w:hAnsi="Times New Roman" w:cs="Times New Roman"/>
          <w:sz w:val="20"/>
          <w:szCs w:val="20"/>
        </w:rPr>
        <w:t xml:space="preserve">, “Deposit Insurance in Singapore: why have it, who gets it, how does it work? (2013) </w:t>
      </w:r>
      <w:r w:rsidR="003C0108" w:rsidRPr="003C0108">
        <w:rPr>
          <w:rFonts w:ascii="Times New Roman" w:hAnsi="Times New Roman" w:cs="Times New Roman"/>
          <w:i/>
          <w:sz w:val="20"/>
          <w:szCs w:val="20"/>
        </w:rPr>
        <w:t>Singapore Journal of Legal Studies</w:t>
      </w:r>
      <w:r w:rsidR="003C0108" w:rsidRPr="003C0108">
        <w:rPr>
          <w:rFonts w:ascii="Times New Roman" w:hAnsi="Times New Roman" w:cs="Times New Roman"/>
          <w:sz w:val="20"/>
          <w:szCs w:val="20"/>
        </w:rPr>
        <w:t xml:space="preserve"> 76, 90</w:t>
      </w:r>
      <w:r w:rsidR="003C0108">
        <w:rPr>
          <w:rFonts w:ascii="Times New Roman" w:hAnsi="Times New Roman" w:cs="Times New Roman"/>
          <w:sz w:val="20"/>
          <w:szCs w:val="20"/>
        </w:rPr>
        <w:t xml:space="preserve">; </w:t>
      </w:r>
      <w:r w:rsidR="003C0108" w:rsidRPr="003C0108">
        <w:rPr>
          <w:rFonts w:ascii="Times New Roman" w:hAnsi="Times New Roman" w:cs="Times New Roman"/>
          <w:sz w:val="20"/>
          <w:szCs w:val="20"/>
        </w:rPr>
        <w:t xml:space="preserve">Rosa </w:t>
      </w:r>
      <w:proofErr w:type="spellStart"/>
      <w:r w:rsidR="003C0108" w:rsidRPr="003C0108">
        <w:rPr>
          <w:rFonts w:ascii="Times New Roman" w:hAnsi="Times New Roman" w:cs="Times New Roman"/>
          <w:sz w:val="20"/>
          <w:szCs w:val="20"/>
        </w:rPr>
        <w:t>Lastra</w:t>
      </w:r>
      <w:proofErr w:type="spellEnd"/>
      <w:r w:rsidR="003C0108" w:rsidRPr="003C0108">
        <w:rPr>
          <w:rFonts w:ascii="Times New Roman" w:hAnsi="Times New Roman" w:cs="Times New Roman"/>
          <w:sz w:val="20"/>
          <w:szCs w:val="20"/>
        </w:rPr>
        <w:t xml:space="preserve">, </w:t>
      </w:r>
      <w:r w:rsidR="003C0108" w:rsidRPr="003C0108">
        <w:rPr>
          <w:rFonts w:ascii="Times New Roman" w:hAnsi="Times New Roman" w:cs="Times New Roman"/>
          <w:i/>
          <w:sz w:val="20"/>
          <w:szCs w:val="20"/>
        </w:rPr>
        <w:t>International Financial and Monetary Law</w:t>
      </w:r>
      <w:r w:rsidR="003C0108" w:rsidRPr="003C0108">
        <w:rPr>
          <w:rFonts w:ascii="Times New Roman" w:hAnsi="Times New Roman" w:cs="Times New Roman"/>
          <w:sz w:val="20"/>
          <w:szCs w:val="20"/>
        </w:rPr>
        <w:t xml:space="preserve"> (2</w:t>
      </w:r>
      <w:r w:rsidR="003C0108" w:rsidRPr="003C0108">
        <w:rPr>
          <w:rFonts w:ascii="Times New Roman" w:hAnsi="Times New Roman" w:cs="Times New Roman"/>
          <w:sz w:val="20"/>
          <w:szCs w:val="20"/>
          <w:vertAlign w:val="superscript"/>
        </w:rPr>
        <w:t>nd</w:t>
      </w:r>
      <w:r w:rsidR="003C0108" w:rsidRPr="003C0108">
        <w:rPr>
          <w:rFonts w:ascii="Times New Roman" w:hAnsi="Times New Roman" w:cs="Times New Roman"/>
          <w:sz w:val="20"/>
          <w:szCs w:val="20"/>
        </w:rPr>
        <w:t xml:space="preserve"> </w:t>
      </w:r>
      <w:proofErr w:type="spellStart"/>
      <w:r w:rsidR="003C0108" w:rsidRPr="003C0108">
        <w:rPr>
          <w:rFonts w:ascii="Times New Roman" w:hAnsi="Times New Roman" w:cs="Times New Roman"/>
          <w:sz w:val="20"/>
          <w:szCs w:val="20"/>
        </w:rPr>
        <w:t>edn</w:t>
      </w:r>
      <w:proofErr w:type="spellEnd"/>
      <w:r w:rsidR="003C0108" w:rsidRPr="003C0108">
        <w:rPr>
          <w:rFonts w:ascii="Times New Roman" w:hAnsi="Times New Roman" w:cs="Times New Roman"/>
          <w:sz w:val="20"/>
          <w:szCs w:val="20"/>
        </w:rPr>
        <w:t xml:space="preserve">, Oxford University Press, Oxford 2015) </w:t>
      </w:r>
      <w:r w:rsidR="003C0108">
        <w:rPr>
          <w:rFonts w:ascii="Times New Roman" w:hAnsi="Times New Roman" w:cs="Times New Roman"/>
          <w:sz w:val="20"/>
          <w:szCs w:val="20"/>
        </w:rPr>
        <w:t>particularly</w:t>
      </w:r>
      <w:r w:rsidR="003C0108" w:rsidRPr="003C0108">
        <w:rPr>
          <w:rFonts w:ascii="Times New Roman" w:hAnsi="Times New Roman" w:cs="Times New Roman"/>
          <w:sz w:val="20"/>
          <w:szCs w:val="20"/>
        </w:rPr>
        <w:t>, para 10.66 (on the role of deposit insurance in bank defaults)</w:t>
      </w:r>
      <w:r w:rsidR="003C0108">
        <w:rPr>
          <w:rFonts w:ascii="Times New Roman" w:hAnsi="Times New Roman" w:cs="Times New Roman"/>
          <w:sz w:val="20"/>
          <w:szCs w:val="20"/>
        </w:rPr>
        <w:t xml:space="preserve">; </w:t>
      </w:r>
      <w:r w:rsidRPr="0004788F">
        <w:rPr>
          <w:rFonts w:ascii="Times New Roman" w:hAnsi="Times New Roman" w:cs="Times New Roman"/>
          <w:sz w:val="20"/>
          <w:szCs w:val="20"/>
        </w:rPr>
        <w:t xml:space="preserve">A. Campbell and P. Moffatt, </w:t>
      </w:r>
      <w:r w:rsidR="00D92D32">
        <w:rPr>
          <w:rFonts w:ascii="Times New Roman" w:hAnsi="Times New Roman" w:cs="Times New Roman"/>
          <w:sz w:val="20"/>
          <w:szCs w:val="20"/>
        </w:rPr>
        <w:t>“</w:t>
      </w:r>
      <w:r w:rsidRPr="0004788F">
        <w:rPr>
          <w:rFonts w:ascii="Times New Roman" w:hAnsi="Times New Roman" w:cs="Times New Roman"/>
          <w:sz w:val="20"/>
          <w:szCs w:val="20"/>
        </w:rPr>
        <w:t>Protecting Bank Depositors after Cyprus</w:t>
      </w:r>
      <w:r w:rsidR="00D92D32">
        <w:rPr>
          <w:rFonts w:ascii="Times New Roman" w:hAnsi="Times New Roman" w:cs="Times New Roman"/>
          <w:sz w:val="20"/>
          <w:szCs w:val="20"/>
        </w:rPr>
        <w:t>”</w:t>
      </w:r>
      <w:r w:rsidRPr="0004788F">
        <w:rPr>
          <w:rFonts w:ascii="Times New Roman" w:hAnsi="Times New Roman" w:cs="Times New Roman"/>
          <w:sz w:val="20"/>
          <w:szCs w:val="20"/>
        </w:rPr>
        <w:t xml:space="preserve"> (2013) 1 </w:t>
      </w:r>
      <w:proofErr w:type="spellStart"/>
      <w:r w:rsidRPr="0004788F">
        <w:rPr>
          <w:rFonts w:ascii="Times New Roman" w:hAnsi="Times New Roman" w:cs="Times New Roman"/>
          <w:sz w:val="20"/>
          <w:szCs w:val="20"/>
        </w:rPr>
        <w:t>NIBLeJ</w:t>
      </w:r>
      <w:proofErr w:type="spellEnd"/>
      <w:r w:rsidRPr="0004788F">
        <w:rPr>
          <w:rFonts w:ascii="Times New Roman" w:hAnsi="Times New Roman" w:cs="Times New Roman"/>
          <w:sz w:val="20"/>
          <w:szCs w:val="20"/>
        </w:rPr>
        <w:t xml:space="preserve"> 4</w:t>
      </w:r>
      <w:r w:rsidR="003C0108">
        <w:rPr>
          <w:rFonts w:ascii="Times New Roman" w:hAnsi="Times New Roman" w:cs="Times New Roman"/>
          <w:sz w:val="20"/>
          <w:szCs w:val="20"/>
        </w:rPr>
        <w:t xml:space="preserve">; </w:t>
      </w:r>
      <w:r w:rsidR="003C0108" w:rsidRPr="003C0108">
        <w:rPr>
          <w:rFonts w:ascii="Times New Roman" w:hAnsi="Times New Roman" w:cs="Times New Roman"/>
          <w:sz w:val="20"/>
          <w:szCs w:val="20"/>
        </w:rPr>
        <w:t xml:space="preserve">Christian Hofmann, “The Role of Deposit Insurance in Bank Resolution” (2020) 6, </w:t>
      </w:r>
      <w:r w:rsidR="003C0108" w:rsidRPr="003C0108">
        <w:rPr>
          <w:rFonts w:ascii="Times New Roman" w:hAnsi="Times New Roman" w:cs="Times New Roman"/>
          <w:i/>
          <w:sz w:val="20"/>
          <w:szCs w:val="20"/>
        </w:rPr>
        <w:t>Journal of Financial Regulation</w:t>
      </w:r>
      <w:r w:rsidR="003C0108" w:rsidRPr="003C0108">
        <w:rPr>
          <w:rFonts w:ascii="Times New Roman" w:hAnsi="Times New Roman" w:cs="Times New Roman"/>
          <w:sz w:val="20"/>
          <w:szCs w:val="20"/>
        </w:rPr>
        <w:t>,148–158</w:t>
      </w:r>
      <w:r w:rsidR="003C0108">
        <w:rPr>
          <w:rFonts w:ascii="Times New Roman" w:hAnsi="Times New Roman" w:cs="Times New Roman"/>
          <w:sz w:val="20"/>
          <w:szCs w:val="20"/>
        </w:rPr>
        <w:t>,</w:t>
      </w:r>
      <w:r w:rsidR="003C0108">
        <w:rPr>
          <w:rFonts w:ascii="Times New Roman" w:hAnsi="Times New Roman" w:cs="Times New Roman"/>
          <w:color w:val="0070C0"/>
          <w:sz w:val="20"/>
          <w:szCs w:val="20"/>
        </w:rPr>
        <w:t xml:space="preserve"> </w:t>
      </w:r>
      <w:r w:rsidR="003C0108" w:rsidRPr="003C0108">
        <w:rPr>
          <w:rFonts w:ascii="Times New Roman" w:hAnsi="Times New Roman" w:cs="Times New Roman"/>
          <w:sz w:val="20"/>
          <w:szCs w:val="20"/>
        </w:rPr>
        <w:t>on the historical development and adoption of the deposit protection both in the US and other jurisdictions</w:t>
      </w:r>
      <w:r w:rsidR="003C0108">
        <w:rPr>
          <w:rFonts w:ascii="Times New Roman" w:hAnsi="Times New Roman" w:cs="Times New Roman"/>
          <w:sz w:val="20"/>
          <w:szCs w:val="20"/>
        </w:rPr>
        <w:t>.</w:t>
      </w:r>
    </w:p>
  </w:footnote>
  <w:footnote w:id="23">
    <w:p w:rsidR="006B0E1E" w:rsidRPr="006B0E1E" w:rsidRDefault="006B0E1E" w:rsidP="00B87435">
      <w:pPr>
        <w:spacing w:after="0"/>
        <w:jc w:val="both"/>
        <w:rPr>
          <w:rFonts w:ascii="Times New Roman" w:eastAsia="Calibri" w:hAnsi="Times New Roman" w:cs="Times New Roman"/>
          <w:sz w:val="20"/>
          <w:szCs w:val="20"/>
        </w:rPr>
      </w:pPr>
      <w:r>
        <w:rPr>
          <w:rStyle w:val="FootnoteReference"/>
        </w:rPr>
        <w:footnoteRef/>
      </w:r>
      <w:r>
        <w:t xml:space="preserve"> </w:t>
      </w:r>
      <w:r w:rsidRPr="006B0E1E">
        <w:rPr>
          <w:rFonts w:ascii="Times New Roman" w:eastAsia="Calibri" w:hAnsi="Times New Roman" w:cs="Times New Roman"/>
          <w:sz w:val="20"/>
          <w:szCs w:val="20"/>
        </w:rPr>
        <w:t xml:space="preserve">Dodd-Frank Wall Street Reform and Consumer Protection Act, 2010, </w:t>
      </w:r>
      <w:r w:rsidR="000C2857">
        <w:rPr>
          <w:rFonts w:ascii="Times New Roman" w:eastAsia="Calibri" w:hAnsi="Times New Roman" w:cs="Times New Roman"/>
          <w:sz w:val="20"/>
          <w:szCs w:val="20"/>
        </w:rPr>
        <w:t>(</w:t>
      </w:r>
      <w:r w:rsidRPr="006B0E1E">
        <w:rPr>
          <w:rFonts w:ascii="Times New Roman" w:eastAsia="Calibri" w:hAnsi="Times New Roman" w:cs="Times New Roman"/>
          <w:sz w:val="20"/>
          <w:szCs w:val="20"/>
        </w:rPr>
        <w:t>Pub. L. 111–203, 124 Stat. 1376–2223</w:t>
      </w:r>
      <w:r w:rsidR="000C2857">
        <w:rPr>
          <w:rFonts w:ascii="Times New Roman" w:eastAsia="Calibri" w:hAnsi="Times New Roman" w:cs="Times New Roman"/>
          <w:sz w:val="20"/>
          <w:szCs w:val="20"/>
        </w:rPr>
        <w:t>), s.335. This statute is</w:t>
      </w:r>
      <w:r w:rsidRPr="006B0E1E">
        <w:rPr>
          <w:rFonts w:ascii="Times New Roman" w:eastAsia="Calibri" w:hAnsi="Times New Roman" w:cs="Times New Roman"/>
          <w:sz w:val="20"/>
          <w:szCs w:val="20"/>
        </w:rPr>
        <w:t xml:space="preserve"> famously known as the </w:t>
      </w:r>
      <w:r w:rsidR="000C2857">
        <w:rPr>
          <w:rFonts w:ascii="Times New Roman" w:eastAsia="Calibri" w:hAnsi="Times New Roman" w:cs="Times New Roman"/>
          <w:sz w:val="20"/>
          <w:szCs w:val="20"/>
        </w:rPr>
        <w:t>(</w:t>
      </w:r>
      <w:r w:rsidRPr="006B0E1E">
        <w:rPr>
          <w:rFonts w:ascii="Times New Roman" w:eastAsia="Calibri" w:hAnsi="Times New Roman" w:cs="Times New Roman"/>
          <w:sz w:val="20"/>
          <w:szCs w:val="20"/>
        </w:rPr>
        <w:t>Dodd-Frank Act)</w:t>
      </w:r>
      <w:r w:rsidR="000C2857">
        <w:rPr>
          <w:rFonts w:ascii="Times New Roman" w:eastAsia="Calibri" w:hAnsi="Times New Roman" w:cs="Times New Roman"/>
          <w:sz w:val="20"/>
          <w:szCs w:val="20"/>
        </w:rPr>
        <w:t>.</w:t>
      </w:r>
      <w:bookmarkStart w:id="0" w:name="_GoBack"/>
      <w:bookmarkEnd w:id="0"/>
    </w:p>
  </w:footnote>
  <w:footnote w:id="24">
    <w:p w:rsidR="00780B7E" w:rsidRPr="0004788F" w:rsidRDefault="00780B7E" w:rsidP="00B87435">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For example, the UK adopted and implemented its first deposit protection scheme in 1979 through the Banking Act 1979</w:t>
      </w:r>
      <w:r w:rsidRPr="0004788F">
        <w:rPr>
          <w:rFonts w:ascii="Times New Roman" w:hAnsi="Times New Roman" w:cs="Times New Roman"/>
          <w:shd w:val="clear" w:color="auto" w:fill="FFFFFF"/>
        </w:rPr>
        <w:t xml:space="preserve"> in response to the </w:t>
      </w:r>
      <w:r w:rsidRPr="0004788F">
        <w:rPr>
          <w:rFonts w:ascii="Times New Roman" w:hAnsi="Times New Roman" w:cs="Times New Roman"/>
        </w:rPr>
        <w:t xml:space="preserve">banking crisis of 1973–1975, to extend the Bank of England's regulatory powers over banks and to provide protection for bank depositors. See particularly, </w:t>
      </w:r>
      <w:r w:rsidR="00D92D32">
        <w:rPr>
          <w:rFonts w:ascii="Times New Roman" w:hAnsi="Times New Roman" w:cs="Times New Roman"/>
        </w:rPr>
        <w:t xml:space="preserve">Banking Act 1979, </w:t>
      </w:r>
      <w:r w:rsidRPr="0004788F">
        <w:rPr>
          <w:rFonts w:ascii="Times New Roman" w:hAnsi="Times New Roman" w:cs="Times New Roman"/>
        </w:rPr>
        <w:t xml:space="preserve">Part II, sections 21 – 33, on the </w:t>
      </w:r>
      <w:r w:rsidR="003C0108">
        <w:rPr>
          <w:rFonts w:ascii="Times New Roman" w:hAnsi="Times New Roman" w:cs="Times New Roman"/>
        </w:rPr>
        <w:t>d</w:t>
      </w:r>
      <w:r w:rsidRPr="0004788F">
        <w:rPr>
          <w:rFonts w:ascii="Times New Roman" w:hAnsi="Times New Roman" w:cs="Times New Roman"/>
        </w:rPr>
        <w:t xml:space="preserve">eposit </w:t>
      </w:r>
      <w:r w:rsidR="003C0108">
        <w:rPr>
          <w:rFonts w:ascii="Times New Roman" w:hAnsi="Times New Roman" w:cs="Times New Roman"/>
        </w:rPr>
        <w:t>p</w:t>
      </w:r>
      <w:r w:rsidRPr="0004788F">
        <w:rPr>
          <w:rFonts w:ascii="Times New Roman" w:hAnsi="Times New Roman" w:cs="Times New Roman"/>
        </w:rPr>
        <w:t>rotection scheme</w:t>
      </w:r>
      <w:r w:rsidR="00184FB1">
        <w:rPr>
          <w:rFonts w:ascii="Times New Roman" w:hAnsi="Times New Roman" w:cs="Times New Roman"/>
        </w:rPr>
        <w:t xml:space="preserve">; </w:t>
      </w:r>
      <w:r w:rsidR="00184FB1" w:rsidRPr="00184FB1">
        <w:rPr>
          <w:rFonts w:ascii="Times New Roman" w:hAnsi="Times New Roman" w:cs="Times New Roman"/>
        </w:rPr>
        <w:t xml:space="preserve">Sandra </w:t>
      </w:r>
      <w:proofErr w:type="spellStart"/>
      <w:r w:rsidR="00184FB1" w:rsidRPr="00184FB1">
        <w:rPr>
          <w:rFonts w:ascii="Times New Roman" w:hAnsi="Times New Roman" w:cs="Times New Roman"/>
        </w:rPr>
        <w:t>Booysen</w:t>
      </w:r>
      <w:proofErr w:type="spellEnd"/>
      <w:r w:rsidR="00184FB1" w:rsidRPr="00184FB1">
        <w:rPr>
          <w:rFonts w:ascii="Times New Roman" w:hAnsi="Times New Roman" w:cs="Times New Roman"/>
        </w:rPr>
        <w:t xml:space="preserve">, “Deposit Insurance in Singapore: why have it, who gets it, how does it work? (2013) </w:t>
      </w:r>
      <w:r w:rsidR="00184FB1" w:rsidRPr="00184FB1">
        <w:rPr>
          <w:rFonts w:ascii="Times New Roman" w:hAnsi="Times New Roman" w:cs="Times New Roman"/>
          <w:i/>
        </w:rPr>
        <w:t>Singapore Journal of Legal Studies</w:t>
      </w:r>
      <w:r w:rsidR="00184FB1" w:rsidRPr="00184FB1">
        <w:rPr>
          <w:rFonts w:ascii="Times New Roman" w:hAnsi="Times New Roman" w:cs="Times New Roman"/>
        </w:rPr>
        <w:t xml:space="preserve"> 76, 90.</w:t>
      </w:r>
    </w:p>
  </w:footnote>
  <w:footnote w:id="25">
    <w:p w:rsidR="00780B7E" w:rsidRPr="003C0108" w:rsidRDefault="00780B7E" w:rsidP="00B87435">
      <w:pPr>
        <w:spacing w:after="0"/>
        <w:jc w:val="both"/>
        <w:rPr>
          <w:rFonts w:ascii="Times New Roman" w:hAnsi="Times New Roman" w:cs="Times New Roman"/>
          <w:sz w:val="20"/>
          <w:szCs w:val="20"/>
        </w:rPr>
      </w:pPr>
      <w:r w:rsidRPr="003C0108">
        <w:rPr>
          <w:rStyle w:val="FootnoteReference"/>
          <w:rFonts w:ascii="Times New Roman" w:hAnsi="Times New Roman" w:cs="Times New Roman"/>
          <w:sz w:val="20"/>
          <w:szCs w:val="20"/>
        </w:rPr>
        <w:footnoteRef/>
      </w:r>
      <w:r w:rsidRPr="003C0108">
        <w:rPr>
          <w:rFonts w:ascii="Times New Roman" w:hAnsi="Times New Roman" w:cs="Times New Roman"/>
          <w:sz w:val="20"/>
          <w:szCs w:val="20"/>
        </w:rPr>
        <w:t xml:space="preserve"> </w:t>
      </w:r>
      <w:bookmarkStart w:id="1" w:name="_Hlk111803736"/>
      <w:proofErr w:type="spellStart"/>
      <w:r w:rsidR="00D92D32" w:rsidRPr="003C0108">
        <w:rPr>
          <w:rFonts w:ascii="Times New Roman" w:hAnsi="Times New Roman" w:cs="Times New Roman"/>
          <w:sz w:val="20"/>
          <w:szCs w:val="20"/>
        </w:rPr>
        <w:t>Demirgüç-Kunt</w:t>
      </w:r>
      <w:proofErr w:type="spellEnd"/>
      <w:r w:rsidR="00D92D32" w:rsidRPr="003C0108">
        <w:rPr>
          <w:rFonts w:ascii="Times New Roman" w:hAnsi="Times New Roman" w:cs="Times New Roman"/>
          <w:sz w:val="20"/>
          <w:szCs w:val="20"/>
        </w:rPr>
        <w:t xml:space="preserve">, et al, </w:t>
      </w:r>
      <w:r w:rsidR="00D92D32" w:rsidRPr="003C0108">
        <w:rPr>
          <w:rFonts w:ascii="Times New Roman" w:hAnsi="Times New Roman" w:cs="Times New Roman"/>
          <w:i/>
          <w:sz w:val="20"/>
          <w:szCs w:val="20"/>
        </w:rPr>
        <w:t>“</w:t>
      </w:r>
      <w:r w:rsidR="00D92D32" w:rsidRPr="003C0108">
        <w:rPr>
          <w:rFonts w:ascii="Times New Roman" w:hAnsi="Times New Roman" w:cs="Times New Roman"/>
          <w:sz w:val="20"/>
          <w:szCs w:val="20"/>
        </w:rPr>
        <w:t xml:space="preserve">Deposit Insurance around the World: A Comprehensive Database” </w:t>
      </w:r>
      <w:r w:rsidR="00D92D32" w:rsidRPr="003C0108">
        <w:rPr>
          <w:rFonts w:ascii="Times New Roman" w:hAnsi="Times New Roman" w:cs="Times New Roman"/>
          <w:i/>
          <w:sz w:val="20"/>
          <w:szCs w:val="20"/>
        </w:rPr>
        <w:t>World Bank Policy Research Working Paper 3628</w:t>
      </w:r>
      <w:r w:rsidR="00D92D32" w:rsidRPr="003C0108">
        <w:rPr>
          <w:rFonts w:ascii="Times New Roman" w:hAnsi="Times New Roman" w:cs="Times New Roman"/>
          <w:sz w:val="20"/>
          <w:szCs w:val="20"/>
        </w:rPr>
        <w:t>,</w:t>
      </w:r>
      <w:r w:rsidR="00D92D32" w:rsidRPr="003C0108">
        <w:rPr>
          <w:rFonts w:ascii="Times New Roman" w:hAnsi="Times New Roman" w:cs="Times New Roman"/>
          <w:i/>
          <w:sz w:val="20"/>
          <w:szCs w:val="20"/>
        </w:rPr>
        <w:t xml:space="preserve"> </w:t>
      </w:r>
      <w:r w:rsidR="00D92D32" w:rsidRPr="003C0108">
        <w:rPr>
          <w:rFonts w:ascii="Times New Roman" w:hAnsi="Times New Roman" w:cs="Times New Roman"/>
          <w:sz w:val="20"/>
          <w:szCs w:val="20"/>
        </w:rPr>
        <w:t xml:space="preserve">(The </w:t>
      </w:r>
      <w:r w:rsidR="00D92D32" w:rsidRPr="003C0108">
        <w:rPr>
          <w:rFonts w:ascii="Times New Roman" w:hAnsi="Times New Roman" w:cs="Times New Roman"/>
          <w:iCs/>
          <w:sz w:val="20"/>
          <w:szCs w:val="20"/>
        </w:rPr>
        <w:t>World Bank, Washington, DC</w:t>
      </w:r>
      <w:r w:rsidR="00D92D32" w:rsidRPr="003C0108">
        <w:rPr>
          <w:rFonts w:ascii="Times New Roman" w:hAnsi="Times New Roman" w:cs="Times New Roman"/>
          <w:sz w:val="20"/>
          <w:szCs w:val="20"/>
        </w:rPr>
        <w:t xml:space="preserve"> 2005). &lt;</w:t>
      </w:r>
      <w:hyperlink r:id="rId7" w:history="1">
        <w:r w:rsidR="00D92D32" w:rsidRPr="003C0108">
          <w:rPr>
            <w:rStyle w:val="Hyperlink"/>
            <w:rFonts w:ascii="Times New Roman" w:hAnsi="Times New Roman" w:cs="Times New Roman"/>
            <w:sz w:val="20"/>
            <w:szCs w:val="20"/>
          </w:rPr>
          <w:t>https://openknowledge.worldbank.org/handle/10986/8226?locale-attribute=fr</w:t>
        </w:r>
      </w:hyperlink>
      <w:r w:rsidR="00D92D32" w:rsidRPr="003C0108">
        <w:rPr>
          <w:rFonts w:ascii="Times New Roman" w:hAnsi="Times New Roman" w:cs="Times New Roman"/>
          <w:sz w:val="20"/>
          <w:szCs w:val="20"/>
        </w:rPr>
        <w:t>&gt; (accessed 05 August 2022).</w:t>
      </w:r>
    </w:p>
    <w:bookmarkEnd w:id="1"/>
  </w:footnote>
  <w:footnote w:id="26">
    <w:p w:rsidR="00780B7E" w:rsidRPr="003C0108" w:rsidRDefault="00780B7E" w:rsidP="00B87435">
      <w:pPr>
        <w:pStyle w:val="FootnoteText"/>
        <w:jc w:val="both"/>
        <w:rPr>
          <w:rFonts w:ascii="Times New Roman" w:hAnsi="Times New Roman" w:cs="Times New Roman"/>
        </w:rPr>
      </w:pPr>
      <w:r w:rsidRPr="003C0108">
        <w:rPr>
          <w:rStyle w:val="FootnoteReference"/>
          <w:rFonts w:ascii="Times New Roman" w:hAnsi="Times New Roman" w:cs="Times New Roman"/>
        </w:rPr>
        <w:footnoteRef/>
      </w:r>
      <w:r w:rsidRPr="003C0108">
        <w:rPr>
          <w:rFonts w:ascii="Times New Roman" w:hAnsi="Times New Roman" w:cs="Times New Roman"/>
        </w:rPr>
        <w:t xml:space="preserve"> </w:t>
      </w:r>
      <w:bookmarkStart w:id="2" w:name="_Hlk112768031"/>
      <w:r w:rsidRPr="003C0108">
        <w:rPr>
          <w:rFonts w:ascii="Times New Roman" w:hAnsi="Times New Roman" w:cs="Times New Roman"/>
        </w:rPr>
        <w:t xml:space="preserve">BCBS, </w:t>
      </w:r>
      <w:r w:rsidRPr="003C0108">
        <w:rPr>
          <w:rFonts w:ascii="Times New Roman" w:hAnsi="Times New Roman" w:cs="Times New Roman"/>
          <w:i/>
        </w:rPr>
        <w:t>Core Principles for Effective Banking Supervision</w:t>
      </w:r>
      <w:r w:rsidRPr="003C0108">
        <w:rPr>
          <w:rFonts w:ascii="Times New Roman" w:hAnsi="Times New Roman" w:cs="Times New Roman"/>
        </w:rPr>
        <w:t xml:space="preserve"> (Bank for International Settlements, Basel</w:t>
      </w:r>
      <w:r w:rsidR="006F1202">
        <w:rPr>
          <w:rFonts w:ascii="Times New Roman" w:hAnsi="Times New Roman" w:cs="Times New Roman"/>
        </w:rPr>
        <w:t>, 2006</w:t>
      </w:r>
      <w:r w:rsidRPr="003C0108">
        <w:rPr>
          <w:rFonts w:ascii="Times New Roman" w:hAnsi="Times New Roman" w:cs="Times New Roman"/>
        </w:rPr>
        <w:t xml:space="preserve">). (Hereafter, </w:t>
      </w:r>
      <w:r w:rsidRPr="003C0108">
        <w:rPr>
          <w:rFonts w:ascii="Times New Roman" w:hAnsi="Times New Roman" w:cs="Times New Roman"/>
          <w:i/>
        </w:rPr>
        <w:t>“The Basil Core Principles</w:t>
      </w:r>
      <w:r w:rsidRPr="003C0108">
        <w:rPr>
          <w:rFonts w:ascii="Times New Roman" w:hAnsi="Times New Roman" w:cs="Times New Roman"/>
        </w:rPr>
        <w:t>”).</w:t>
      </w:r>
      <w:bookmarkEnd w:id="2"/>
    </w:p>
  </w:footnote>
  <w:footnote w:id="27">
    <w:p w:rsidR="00780B7E" w:rsidRPr="003C0108" w:rsidRDefault="00780B7E" w:rsidP="00B87435">
      <w:pPr>
        <w:pStyle w:val="FootnoteText"/>
        <w:jc w:val="both"/>
        <w:rPr>
          <w:rFonts w:ascii="Times New Roman" w:hAnsi="Times New Roman" w:cs="Times New Roman"/>
        </w:rPr>
      </w:pPr>
      <w:r w:rsidRPr="003C0108">
        <w:rPr>
          <w:rStyle w:val="FootnoteReference"/>
          <w:rFonts w:ascii="Times New Roman" w:hAnsi="Times New Roman" w:cs="Times New Roman"/>
        </w:rPr>
        <w:footnoteRef/>
      </w:r>
      <w:r w:rsidRPr="003C0108">
        <w:rPr>
          <w:rFonts w:ascii="Times New Roman" w:hAnsi="Times New Roman" w:cs="Times New Roman"/>
        </w:rPr>
        <w:t xml:space="preserve"> BCBS and IADI, </w:t>
      </w:r>
      <w:r w:rsidRPr="003C0108">
        <w:rPr>
          <w:rFonts w:ascii="Times New Roman" w:hAnsi="Times New Roman" w:cs="Times New Roman"/>
          <w:i/>
        </w:rPr>
        <w:t>The Core Principles for Effective Deposit Insurance Systems</w:t>
      </w:r>
      <w:r w:rsidRPr="003C0108">
        <w:rPr>
          <w:rFonts w:ascii="Times New Roman" w:hAnsi="Times New Roman" w:cs="Times New Roman"/>
        </w:rPr>
        <w:t xml:space="preserve"> (Bank for International Settlements, Basel</w:t>
      </w:r>
      <w:r w:rsidR="006F1202">
        <w:rPr>
          <w:rFonts w:ascii="Times New Roman" w:hAnsi="Times New Roman" w:cs="Times New Roman"/>
        </w:rPr>
        <w:t>, 2009</w:t>
      </w:r>
      <w:r w:rsidRPr="003C0108">
        <w:rPr>
          <w:rFonts w:ascii="Times New Roman" w:hAnsi="Times New Roman" w:cs="Times New Roman"/>
        </w:rPr>
        <w:t xml:space="preserve">). (Hereafter, </w:t>
      </w:r>
      <w:r w:rsidRPr="003C0108">
        <w:rPr>
          <w:rFonts w:ascii="Times New Roman" w:hAnsi="Times New Roman" w:cs="Times New Roman"/>
          <w:i/>
        </w:rPr>
        <w:t>“Core Principles</w:t>
      </w:r>
      <w:r w:rsidRPr="003C0108">
        <w:rPr>
          <w:rFonts w:ascii="Times New Roman" w:hAnsi="Times New Roman" w:cs="Times New Roman"/>
        </w:rPr>
        <w:t>”).</w:t>
      </w:r>
    </w:p>
  </w:footnote>
  <w:footnote w:id="28">
    <w:p w:rsidR="00780B7E" w:rsidRPr="003C0108" w:rsidRDefault="00780B7E" w:rsidP="00B87435">
      <w:pPr>
        <w:pStyle w:val="FootnoteText"/>
        <w:jc w:val="both"/>
        <w:rPr>
          <w:rFonts w:ascii="Times New Roman" w:hAnsi="Times New Roman" w:cs="Times New Roman"/>
          <w:color w:val="FF0000"/>
        </w:rPr>
      </w:pPr>
      <w:r w:rsidRPr="003C0108">
        <w:rPr>
          <w:rStyle w:val="FootnoteReference"/>
          <w:rFonts w:ascii="Times New Roman" w:hAnsi="Times New Roman" w:cs="Times New Roman"/>
        </w:rPr>
        <w:footnoteRef/>
      </w:r>
      <w:r w:rsidRPr="003C0108">
        <w:rPr>
          <w:rFonts w:ascii="Times New Roman" w:hAnsi="Times New Roman" w:cs="Times New Roman"/>
        </w:rPr>
        <w:t xml:space="preserve"> IADI was established in 2002 with a mission to contribute to the enhancement of deposit insurance effectiveness by promoting guidance and international cooperation. See generally, &lt;</w:t>
      </w:r>
      <w:hyperlink r:id="rId8" w:history="1">
        <w:r w:rsidR="00D92D32" w:rsidRPr="003C0108">
          <w:rPr>
            <w:rStyle w:val="Hyperlink"/>
            <w:rFonts w:ascii="Times New Roman" w:hAnsi="Times New Roman" w:cs="Times New Roman"/>
          </w:rPr>
          <w:t>https://www.iadi.org/en/</w:t>
        </w:r>
      </w:hyperlink>
      <w:r w:rsidR="00D92D32" w:rsidRPr="003C0108">
        <w:rPr>
          <w:rFonts w:ascii="Times New Roman" w:hAnsi="Times New Roman" w:cs="Times New Roman"/>
        </w:rPr>
        <w:t xml:space="preserve">&gt; </w:t>
      </w:r>
      <w:r w:rsidRPr="003C0108">
        <w:rPr>
          <w:rFonts w:ascii="Times New Roman" w:hAnsi="Times New Roman" w:cs="Times New Roman"/>
          <w:b/>
        </w:rPr>
        <w:t>(</w:t>
      </w:r>
      <w:r w:rsidRPr="003C0108">
        <w:rPr>
          <w:rFonts w:ascii="Times New Roman" w:hAnsi="Times New Roman" w:cs="Times New Roman"/>
        </w:rPr>
        <w:t xml:space="preserve">accessed 10 </w:t>
      </w:r>
      <w:r w:rsidR="00D92D32" w:rsidRPr="003C0108">
        <w:rPr>
          <w:rFonts w:ascii="Times New Roman" w:hAnsi="Times New Roman" w:cs="Times New Roman"/>
        </w:rPr>
        <w:t>August</w:t>
      </w:r>
      <w:r w:rsidRPr="003C0108">
        <w:rPr>
          <w:rFonts w:ascii="Times New Roman" w:hAnsi="Times New Roman" w:cs="Times New Roman"/>
        </w:rPr>
        <w:t xml:space="preserve"> 2022</w:t>
      </w:r>
      <w:r w:rsidRPr="003C0108">
        <w:rPr>
          <w:rFonts w:ascii="Times New Roman" w:hAnsi="Times New Roman" w:cs="Times New Roman"/>
          <w:b/>
        </w:rPr>
        <w:t>).</w:t>
      </w:r>
    </w:p>
  </w:footnote>
  <w:footnote w:id="29">
    <w:p w:rsidR="00780B7E" w:rsidRPr="003C0108" w:rsidRDefault="00780B7E" w:rsidP="00B87435">
      <w:pPr>
        <w:pStyle w:val="FootnoteText"/>
        <w:jc w:val="both"/>
        <w:rPr>
          <w:rFonts w:ascii="Times New Roman" w:hAnsi="Times New Roman" w:cs="Times New Roman"/>
        </w:rPr>
      </w:pPr>
      <w:r w:rsidRPr="003C0108">
        <w:rPr>
          <w:rStyle w:val="FootnoteReference"/>
          <w:rFonts w:ascii="Times New Roman" w:hAnsi="Times New Roman" w:cs="Times New Roman"/>
        </w:rPr>
        <w:footnoteRef/>
      </w:r>
      <w:r w:rsidRPr="003C0108">
        <w:rPr>
          <w:rFonts w:ascii="Times New Roman" w:hAnsi="Times New Roman" w:cs="Times New Roman"/>
        </w:rPr>
        <w:t xml:space="preserve"> Core Principles, Introduction, at p. 1.</w:t>
      </w:r>
    </w:p>
  </w:footnote>
  <w:footnote w:id="30">
    <w:p w:rsidR="003C0108" w:rsidRPr="00D62C54" w:rsidRDefault="003C0108">
      <w:pPr>
        <w:pStyle w:val="FootnoteText"/>
        <w:rPr>
          <w:rFonts w:ascii="Times New Roman" w:hAnsi="Times New Roman" w:cs="Times New Roman"/>
        </w:rPr>
      </w:pPr>
      <w:r w:rsidRPr="003C0108">
        <w:rPr>
          <w:rStyle w:val="FootnoteReference"/>
          <w:rFonts w:ascii="Times New Roman" w:hAnsi="Times New Roman" w:cs="Times New Roman"/>
        </w:rPr>
        <w:footnoteRef/>
      </w:r>
      <w:r w:rsidRPr="003C0108">
        <w:rPr>
          <w:rFonts w:ascii="Times New Roman" w:hAnsi="Times New Roman" w:cs="Times New Roman"/>
        </w:rPr>
        <w:t xml:space="preserve"> </w:t>
      </w:r>
      <w:bookmarkStart w:id="3" w:name="_Hlk112164717"/>
      <w:r w:rsidRPr="003C0108">
        <w:rPr>
          <w:rFonts w:ascii="Times New Roman" w:hAnsi="Times New Roman" w:cs="Times New Roman"/>
        </w:rPr>
        <w:t xml:space="preserve">P. Moffatt and A. Campbell, “UK depositor protection in the aftermath of the banking crisis” (2010) </w:t>
      </w:r>
      <w:r w:rsidRPr="003C0108">
        <w:rPr>
          <w:rFonts w:ascii="Times New Roman" w:hAnsi="Times New Roman" w:cs="Times New Roman"/>
          <w:i/>
        </w:rPr>
        <w:t>Journal of International Banking Law and Regulation</w:t>
      </w:r>
      <w:r w:rsidRPr="003C0108">
        <w:rPr>
          <w:rFonts w:ascii="Times New Roman" w:hAnsi="Times New Roman" w:cs="Times New Roman"/>
        </w:rPr>
        <w:t xml:space="preserve">, 25 (10), pp. </w:t>
      </w:r>
      <w:r w:rsidRPr="006F1202">
        <w:rPr>
          <w:rFonts w:ascii="Times New Roman" w:hAnsi="Times New Roman" w:cs="Times New Roman"/>
        </w:rPr>
        <w:t xml:space="preserve">486-49; </w:t>
      </w:r>
      <w:proofErr w:type="spellStart"/>
      <w:r w:rsidRPr="006F1202">
        <w:rPr>
          <w:rFonts w:ascii="Times New Roman" w:hAnsi="Times New Roman" w:cs="Times New Roman"/>
        </w:rPr>
        <w:t>Booysen</w:t>
      </w:r>
      <w:proofErr w:type="spellEnd"/>
      <w:r w:rsidRPr="006F1202">
        <w:rPr>
          <w:rFonts w:ascii="Times New Roman" w:hAnsi="Times New Roman" w:cs="Times New Roman"/>
        </w:rPr>
        <w:t>,</w:t>
      </w:r>
      <w:r w:rsidR="006C1951" w:rsidRPr="006F1202">
        <w:rPr>
          <w:rFonts w:ascii="Times New Roman" w:hAnsi="Times New Roman" w:cs="Times New Roman"/>
        </w:rPr>
        <w:t xml:space="preserve"> (n 2</w:t>
      </w:r>
      <w:r w:rsidR="006F1202" w:rsidRPr="006F1202">
        <w:rPr>
          <w:rFonts w:ascii="Times New Roman" w:hAnsi="Times New Roman" w:cs="Times New Roman"/>
        </w:rPr>
        <w:t>2</w:t>
      </w:r>
      <w:r w:rsidR="006C1951" w:rsidRPr="006F1202">
        <w:rPr>
          <w:rFonts w:ascii="Times New Roman" w:hAnsi="Times New Roman" w:cs="Times New Roman"/>
        </w:rPr>
        <w:t>); Hofmann (n 2</w:t>
      </w:r>
      <w:r w:rsidR="006F1202" w:rsidRPr="006F1202">
        <w:rPr>
          <w:rFonts w:ascii="Times New Roman" w:hAnsi="Times New Roman" w:cs="Times New Roman"/>
        </w:rPr>
        <w:t>2</w:t>
      </w:r>
      <w:r w:rsidR="006C1951" w:rsidRPr="006F1202">
        <w:rPr>
          <w:rFonts w:ascii="Times New Roman" w:hAnsi="Times New Roman" w:cs="Times New Roman"/>
        </w:rPr>
        <w:t>).</w:t>
      </w:r>
      <w:r w:rsidRPr="006F1202">
        <w:rPr>
          <w:rFonts w:ascii="Times New Roman" w:hAnsi="Times New Roman" w:cs="Times New Roman"/>
        </w:rPr>
        <w:t xml:space="preserve"> </w:t>
      </w:r>
      <w:bookmarkEnd w:id="3"/>
    </w:p>
  </w:footnote>
  <w:footnote w:id="31">
    <w:p w:rsidR="006C1951" w:rsidRPr="004342A8" w:rsidRDefault="006C1951" w:rsidP="004342A8">
      <w:pPr>
        <w:pStyle w:val="FootnoteText"/>
        <w:jc w:val="both"/>
        <w:rPr>
          <w:rFonts w:ascii="Times New Roman" w:hAnsi="Times New Roman" w:cs="Times New Roman"/>
        </w:rPr>
      </w:pPr>
      <w:r w:rsidRPr="004342A8">
        <w:rPr>
          <w:rStyle w:val="FootnoteReference"/>
          <w:rFonts w:ascii="Times New Roman" w:hAnsi="Times New Roman" w:cs="Times New Roman"/>
        </w:rPr>
        <w:footnoteRef/>
      </w:r>
      <w:r w:rsidRPr="004342A8">
        <w:rPr>
          <w:rFonts w:ascii="Times New Roman" w:hAnsi="Times New Roman" w:cs="Times New Roman"/>
        </w:rPr>
        <w:t xml:space="preserve"> A. Campbell and P. Moffatt, “Large scale bank insolvencies and the challenges ahead” in: M. </w:t>
      </w:r>
      <w:proofErr w:type="spellStart"/>
      <w:r w:rsidRPr="004342A8">
        <w:rPr>
          <w:rFonts w:ascii="Times New Roman" w:hAnsi="Times New Roman" w:cs="Times New Roman"/>
        </w:rPr>
        <w:t>Haentjens</w:t>
      </w:r>
      <w:proofErr w:type="spellEnd"/>
      <w:r w:rsidRPr="004342A8">
        <w:rPr>
          <w:rFonts w:ascii="Times New Roman" w:hAnsi="Times New Roman" w:cs="Times New Roman"/>
        </w:rPr>
        <w:t xml:space="preserve"> and B. Wessels, eds., </w:t>
      </w:r>
      <w:r w:rsidRPr="004342A8">
        <w:rPr>
          <w:rFonts w:ascii="Times New Roman" w:hAnsi="Times New Roman" w:cs="Times New Roman"/>
          <w:i/>
        </w:rPr>
        <w:t>Research handbook on crisis management in the banking sector</w:t>
      </w:r>
      <w:r w:rsidRPr="004342A8">
        <w:rPr>
          <w:rFonts w:ascii="Times New Roman" w:hAnsi="Times New Roman" w:cs="Times New Roman"/>
        </w:rPr>
        <w:t>, (Cheltenham: Edward Elgar, 2015), pp. 55-80.</w:t>
      </w:r>
    </w:p>
  </w:footnote>
  <w:footnote w:id="32">
    <w:p w:rsidR="00042A7D" w:rsidRPr="004342A8" w:rsidRDefault="00042A7D" w:rsidP="004342A8">
      <w:pPr>
        <w:pStyle w:val="FootnoteText"/>
        <w:jc w:val="both"/>
        <w:rPr>
          <w:rFonts w:ascii="Times New Roman" w:hAnsi="Times New Roman" w:cs="Times New Roman"/>
        </w:rPr>
      </w:pPr>
      <w:r w:rsidRPr="004342A8">
        <w:rPr>
          <w:rStyle w:val="FootnoteReference"/>
          <w:rFonts w:ascii="Times New Roman" w:hAnsi="Times New Roman" w:cs="Times New Roman"/>
        </w:rPr>
        <w:footnoteRef/>
      </w:r>
      <w:r w:rsidRPr="004342A8">
        <w:rPr>
          <w:rFonts w:ascii="Times New Roman" w:hAnsi="Times New Roman" w:cs="Times New Roman"/>
        </w:rPr>
        <w:t xml:space="preserve"> E. </w:t>
      </w:r>
      <w:proofErr w:type="spellStart"/>
      <w:r w:rsidRPr="004342A8">
        <w:rPr>
          <w:rFonts w:ascii="Times New Roman" w:hAnsi="Times New Roman" w:cs="Times New Roman"/>
        </w:rPr>
        <w:t>Sitbon</w:t>
      </w:r>
      <w:proofErr w:type="spellEnd"/>
      <w:r w:rsidRPr="004342A8">
        <w:rPr>
          <w:rFonts w:ascii="Times New Roman" w:hAnsi="Times New Roman" w:cs="Times New Roman"/>
        </w:rPr>
        <w:t xml:space="preserve">, “Addressing competition bottlenecks in digital financial ecosystems” (2015) 9(3) </w:t>
      </w:r>
      <w:r w:rsidRPr="004342A8">
        <w:rPr>
          <w:rFonts w:ascii="Times New Roman" w:hAnsi="Times New Roman" w:cs="Times New Roman"/>
          <w:i/>
        </w:rPr>
        <w:t>Journal of Payments Strategy &amp; Systems</w:t>
      </w:r>
      <w:r w:rsidRPr="004342A8">
        <w:rPr>
          <w:rFonts w:ascii="Times New Roman" w:hAnsi="Times New Roman" w:cs="Times New Roman"/>
        </w:rPr>
        <w:t>, 351-365</w:t>
      </w:r>
      <w:r w:rsidR="004342A8" w:rsidRPr="004342A8">
        <w:rPr>
          <w:rFonts w:ascii="Times New Roman" w:hAnsi="Times New Roman" w:cs="Times New Roman"/>
        </w:rPr>
        <w:t xml:space="preserve">; Macmillan, et al, ‘The “evolution” of regulation in Uganda’s mobile money sector’ (2016) 17 </w:t>
      </w:r>
      <w:r w:rsidR="004342A8" w:rsidRPr="004342A8">
        <w:rPr>
          <w:rFonts w:ascii="Times New Roman" w:hAnsi="Times New Roman" w:cs="Times New Roman"/>
          <w:i/>
        </w:rPr>
        <w:t>African Journal of Information and Communication</w:t>
      </w:r>
      <w:r w:rsidR="004342A8" w:rsidRPr="004342A8">
        <w:rPr>
          <w:rFonts w:ascii="Times New Roman" w:hAnsi="Times New Roman" w:cs="Times New Roman"/>
        </w:rPr>
        <w:t>, 89-110.</w:t>
      </w:r>
    </w:p>
  </w:footnote>
  <w:footnote w:id="33">
    <w:p w:rsidR="000D0074" w:rsidRPr="004342A8" w:rsidRDefault="000D0074" w:rsidP="004342A8">
      <w:pPr>
        <w:spacing w:after="0"/>
        <w:jc w:val="both"/>
        <w:rPr>
          <w:rFonts w:ascii="Times New Roman" w:hAnsi="Times New Roman" w:cs="Times New Roman"/>
          <w:sz w:val="20"/>
          <w:szCs w:val="20"/>
        </w:rPr>
      </w:pPr>
      <w:r w:rsidRPr="004342A8">
        <w:rPr>
          <w:rStyle w:val="FootnoteReference"/>
          <w:rFonts w:ascii="Times New Roman" w:hAnsi="Times New Roman" w:cs="Times New Roman"/>
          <w:sz w:val="20"/>
          <w:szCs w:val="20"/>
        </w:rPr>
        <w:footnoteRef/>
      </w:r>
      <w:r w:rsidRPr="004342A8">
        <w:rPr>
          <w:rFonts w:ascii="Times New Roman" w:hAnsi="Times New Roman" w:cs="Times New Roman"/>
          <w:sz w:val="20"/>
          <w:szCs w:val="20"/>
        </w:rPr>
        <w:t xml:space="preserve"> D. </w:t>
      </w:r>
      <w:proofErr w:type="spellStart"/>
      <w:r w:rsidRPr="004342A8">
        <w:rPr>
          <w:rFonts w:ascii="Times New Roman" w:hAnsi="Times New Roman" w:cs="Times New Roman"/>
          <w:sz w:val="20"/>
          <w:szCs w:val="20"/>
        </w:rPr>
        <w:t>Okwii</w:t>
      </w:r>
      <w:proofErr w:type="spellEnd"/>
      <w:r w:rsidRPr="004342A8">
        <w:rPr>
          <w:rFonts w:ascii="Times New Roman" w:hAnsi="Times New Roman" w:cs="Times New Roman"/>
          <w:sz w:val="20"/>
          <w:szCs w:val="20"/>
        </w:rPr>
        <w:t xml:space="preserve">, “Almost everyone agrees, Airtel Uganda is leading the mobile money innovation train” </w:t>
      </w:r>
      <w:proofErr w:type="spellStart"/>
      <w:r w:rsidRPr="004342A8">
        <w:rPr>
          <w:rFonts w:ascii="Times New Roman" w:hAnsi="Times New Roman" w:cs="Times New Roman"/>
          <w:i/>
          <w:sz w:val="20"/>
          <w:szCs w:val="20"/>
        </w:rPr>
        <w:t>Dignited</w:t>
      </w:r>
      <w:proofErr w:type="spellEnd"/>
      <w:r w:rsidRPr="004342A8">
        <w:rPr>
          <w:rFonts w:ascii="Times New Roman" w:hAnsi="Times New Roman" w:cs="Times New Roman"/>
          <w:sz w:val="20"/>
          <w:szCs w:val="20"/>
        </w:rPr>
        <w:t>. (Online, 9 March 2015). &lt;</w:t>
      </w:r>
      <w:hyperlink r:id="rId9" w:history="1">
        <w:r w:rsidR="00D92D32" w:rsidRPr="004342A8">
          <w:rPr>
            <w:rStyle w:val="Hyperlink"/>
            <w:rFonts w:ascii="Times New Roman" w:hAnsi="Times New Roman" w:cs="Times New Roman"/>
            <w:sz w:val="20"/>
            <w:szCs w:val="20"/>
          </w:rPr>
          <w:t>https://www.dignited.com/12624/airtel-uganda-is-leading-the-mobile-money-uganda-innovation-train/</w:t>
        </w:r>
      </w:hyperlink>
      <w:r w:rsidRPr="004342A8">
        <w:rPr>
          <w:rFonts w:ascii="Times New Roman" w:hAnsi="Times New Roman" w:cs="Times New Roman"/>
          <w:sz w:val="20"/>
          <w:szCs w:val="20"/>
        </w:rPr>
        <w:t xml:space="preserve">&gt; (accessed </w:t>
      </w:r>
      <w:r w:rsidR="00D92D32" w:rsidRPr="004342A8">
        <w:rPr>
          <w:rFonts w:ascii="Times New Roman" w:hAnsi="Times New Roman" w:cs="Times New Roman"/>
          <w:sz w:val="20"/>
          <w:szCs w:val="20"/>
        </w:rPr>
        <w:t>12 August</w:t>
      </w:r>
      <w:r w:rsidRPr="004342A8">
        <w:rPr>
          <w:rFonts w:ascii="Times New Roman" w:hAnsi="Times New Roman" w:cs="Times New Roman"/>
          <w:sz w:val="20"/>
          <w:szCs w:val="20"/>
        </w:rPr>
        <w:t xml:space="preserve"> 2022). </w:t>
      </w:r>
    </w:p>
  </w:footnote>
  <w:footnote w:id="34">
    <w:p w:rsidR="00C42432" w:rsidRPr="006C1951" w:rsidRDefault="00C42432" w:rsidP="004342A8">
      <w:pPr>
        <w:pStyle w:val="FootnoteText"/>
        <w:jc w:val="both"/>
        <w:rPr>
          <w:rFonts w:ascii="Times New Roman" w:hAnsi="Times New Roman" w:cs="Times New Roman"/>
          <w:color w:val="FF0000"/>
        </w:rPr>
      </w:pPr>
      <w:r w:rsidRPr="004342A8">
        <w:rPr>
          <w:rStyle w:val="FootnoteReference"/>
          <w:rFonts w:ascii="Times New Roman" w:hAnsi="Times New Roman" w:cs="Times New Roman"/>
        </w:rPr>
        <w:footnoteRef/>
      </w:r>
      <w:r w:rsidRPr="004342A8">
        <w:rPr>
          <w:rFonts w:ascii="Times New Roman" w:hAnsi="Times New Roman" w:cs="Times New Roman"/>
        </w:rPr>
        <w:t xml:space="preserve"> s.33 (1) National Payments Systems Act 2015, Tanzania.</w:t>
      </w:r>
    </w:p>
  </w:footnote>
  <w:footnote w:id="35">
    <w:p w:rsidR="00C42432" w:rsidRPr="0004788F" w:rsidRDefault="00C42432" w:rsidP="006C1951">
      <w:pPr>
        <w:pStyle w:val="FootnoteText"/>
        <w:jc w:val="both"/>
        <w:rPr>
          <w:rFonts w:ascii="Times New Roman" w:hAnsi="Times New Roman" w:cs="Times New Roman"/>
        </w:rPr>
      </w:pPr>
      <w:r w:rsidRPr="006F1202">
        <w:rPr>
          <w:rStyle w:val="FootnoteReference"/>
          <w:rFonts w:ascii="Times New Roman" w:hAnsi="Times New Roman" w:cs="Times New Roman"/>
        </w:rPr>
        <w:footnoteRef/>
      </w:r>
      <w:r w:rsidRPr="006F1202">
        <w:rPr>
          <w:rFonts w:ascii="Times New Roman" w:hAnsi="Times New Roman" w:cs="Times New Roman"/>
        </w:rPr>
        <w:t xml:space="preserve"> </w:t>
      </w:r>
      <w:r w:rsidR="00D62C54" w:rsidRPr="006F1202">
        <w:rPr>
          <w:rFonts w:ascii="Times New Roman" w:hAnsi="Times New Roman" w:cs="Times New Roman"/>
        </w:rPr>
        <w:t>I</w:t>
      </w:r>
      <w:r w:rsidR="004D0EB9" w:rsidRPr="006F1202">
        <w:rPr>
          <w:rFonts w:ascii="Times New Roman" w:hAnsi="Times New Roman" w:cs="Times New Roman"/>
        </w:rPr>
        <w:t>bid</w:t>
      </w:r>
      <w:r w:rsidR="00D62C54" w:rsidRPr="006F1202">
        <w:rPr>
          <w:rFonts w:ascii="Times New Roman" w:hAnsi="Times New Roman" w:cs="Times New Roman"/>
        </w:rPr>
        <w:t xml:space="preserve">. </w:t>
      </w:r>
    </w:p>
  </w:footnote>
  <w:footnote w:id="36">
    <w:p w:rsidR="00C42432" w:rsidRPr="0004788F" w:rsidRDefault="00C42432" w:rsidP="0004788F">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Generally, see, s.4(1) National Payments Systems Act </w:t>
      </w:r>
      <w:r w:rsidRPr="00D92D32">
        <w:rPr>
          <w:rFonts w:ascii="Times New Roman" w:hAnsi="Times New Roman" w:cs="Times New Roman"/>
        </w:rPr>
        <w:t xml:space="preserve">2015 </w:t>
      </w:r>
      <w:r w:rsidR="00D92D32" w:rsidRPr="00D92D32">
        <w:rPr>
          <w:rFonts w:ascii="Times New Roman" w:hAnsi="Times New Roman" w:cs="Times New Roman"/>
        </w:rPr>
        <w:t xml:space="preserve">of </w:t>
      </w:r>
      <w:r w:rsidRPr="00D92D32">
        <w:rPr>
          <w:rFonts w:ascii="Times New Roman" w:hAnsi="Times New Roman" w:cs="Times New Roman"/>
        </w:rPr>
        <w:t>Tanzania</w:t>
      </w:r>
      <w:r w:rsidR="00D92D32" w:rsidRPr="00D92D32">
        <w:rPr>
          <w:rFonts w:ascii="Times New Roman" w:hAnsi="Times New Roman" w:cs="Times New Roman"/>
        </w:rPr>
        <w:t>.</w:t>
      </w:r>
    </w:p>
  </w:footnote>
  <w:footnote w:id="37">
    <w:p w:rsidR="004C0C63" w:rsidRPr="0004788F" w:rsidRDefault="004C0C63" w:rsidP="0004788F">
      <w:pPr>
        <w:spacing w:after="0"/>
        <w:jc w:val="both"/>
        <w:rPr>
          <w:rFonts w:ascii="Times New Roman" w:hAnsi="Times New Roman" w:cs="Times New Roman"/>
          <w:bCs/>
          <w:sz w:val="20"/>
          <w:szCs w:val="20"/>
        </w:rPr>
      </w:pPr>
      <w:r w:rsidRPr="0004788F">
        <w:rPr>
          <w:rStyle w:val="FootnoteReference"/>
          <w:rFonts w:ascii="Times New Roman" w:hAnsi="Times New Roman" w:cs="Times New Roman"/>
          <w:sz w:val="20"/>
          <w:szCs w:val="20"/>
        </w:rPr>
        <w:footnoteRef/>
      </w:r>
      <w:r w:rsidRPr="0004788F">
        <w:rPr>
          <w:rFonts w:ascii="Times New Roman" w:hAnsi="Times New Roman" w:cs="Times New Roman"/>
          <w:sz w:val="20"/>
          <w:szCs w:val="20"/>
        </w:rPr>
        <w:t xml:space="preserve"> Hamdan et al, “</w:t>
      </w:r>
      <w:r w:rsidRPr="0004788F">
        <w:rPr>
          <w:rFonts w:ascii="Times New Roman" w:hAnsi="Times New Roman" w:cs="Times New Roman"/>
          <w:bCs/>
          <w:sz w:val="20"/>
          <w:szCs w:val="20"/>
        </w:rPr>
        <w:t>Mobile Money, Financial Inclusion, and Unmet Opportunities. Evidence from Uganda”</w:t>
      </w:r>
      <w:r w:rsidRPr="0004788F">
        <w:rPr>
          <w:rFonts w:ascii="Times New Roman" w:hAnsi="Times New Roman" w:cs="Times New Roman"/>
          <w:sz w:val="20"/>
          <w:szCs w:val="20"/>
        </w:rPr>
        <w:t xml:space="preserve"> </w:t>
      </w:r>
      <w:r w:rsidRPr="0004788F">
        <w:rPr>
          <w:rFonts w:ascii="Times New Roman" w:hAnsi="Times New Roman" w:cs="Times New Roman"/>
          <w:bCs/>
          <w:sz w:val="20"/>
          <w:szCs w:val="20"/>
        </w:rPr>
        <w:t xml:space="preserve">(2021) </w:t>
      </w:r>
      <w:r w:rsidRPr="0004788F">
        <w:rPr>
          <w:rFonts w:ascii="Times New Roman" w:hAnsi="Times New Roman" w:cs="Times New Roman"/>
          <w:bCs/>
          <w:i/>
          <w:sz w:val="20"/>
          <w:szCs w:val="20"/>
        </w:rPr>
        <w:t>Journal of Development Studies</w:t>
      </w:r>
      <w:r w:rsidRPr="0004788F">
        <w:rPr>
          <w:rFonts w:ascii="Times New Roman" w:hAnsi="Times New Roman" w:cs="Times New Roman"/>
          <w:bCs/>
          <w:sz w:val="20"/>
          <w:szCs w:val="20"/>
        </w:rPr>
        <w:t>, 1, 21.</w:t>
      </w:r>
    </w:p>
  </w:footnote>
  <w:footnote w:id="38">
    <w:p w:rsidR="004C0C63" w:rsidRPr="0004788F" w:rsidRDefault="004C0C63" w:rsidP="0004788F">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w:t>
      </w:r>
      <w:proofErr w:type="spellStart"/>
      <w:r w:rsidRPr="0004788F">
        <w:rPr>
          <w:rFonts w:ascii="Times New Roman" w:hAnsi="Times New Roman" w:cs="Times New Roman"/>
        </w:rPr>
        <w:t>Demirgüç-Kunt</w:t>
      </w:r>
      <w:proofErr w:type="spellEnd"/>
      <w:r w:rsidRPr="0004788F">
        <w:rPr>
          <w:rFonts w:ascii="Times New Roman" w:hAnsi="Times New Roman" w:cs="Times New Roman"/>
        </w:rPr>
        <w:t xml:space="preserve"> et al, “The Global </w:t>
      </w:r>
      <w:proofErr w:type="spellStart"/>
      <w:r w:rsidRPr="0004788F">
        <w:rPr>
          <w:rFonts w:ascii="Times New Roman" w:hAnsi="Times New Roman" w:cs="Times New Roman"/>
        </w:rPr>
        <w:t>Findex</w:t>
      </w:r>
      <w:proofErr w:type="spellEnd"/>
      <w:r w:rsidRPr="0004788F">
        <w:rPr>
          <w:rFonts w:ascii="Times New Roman" w:hAnsi="Times New Roman" w:cs="Times New Roman"/>
        </w:rPr>
        <w:t xml:space="preserve"> Database 2017: Measuring financial inclusion and opportunities to expand access to and use of financial services</w:t>
      </w:r>
      <w:r w:rsidRPr="0004788F">
        <w:rPr>
          <w:rFonts w:ascii="Times New Roman" w:hAnsi="Times New Roman" w:cs="Times New Roman"/>
          <w:bCs/>
        </w:rPr>
        <w:t>”</w:t>
      </w:r>
      <w:r w:rsidRPr="0004788F">
        <w:rPr>
          <w:rFonts w:ascii="Times New Roman" w:hAnsi="Times New Roman" w:cs="Times New Roman"/>
        </w:rPr>
        <w:t> (2020</w:t>
      </w:r>
      <w:r w:rsidRPr="0004788F">
        <w:rPr>
          <w:rFonts w:ascii="Times New Roman" w:hAnsi="Times New Roman" w:cs="Times New Roman"/>
          <w:i/>
        </w:rPr>
        <w:t>) </w:t>
      </w:r>
      <w:r w:rsidRPr="0004788F">
        <w:rPr>
          <w:rFonts w:ascii="Times New Roman" w:hAnsi="Times New Roman" w:cs="Times New Roman"/>
          <w:i/>
          <w:iCs/>
        </w:rPr>
        <w:t>World Bank Economic Review</w:t>
      </w:r>
      <w:r w:rsidRPr="0004788F">
        <w:rPr>
          <w:rFonts w:ascii="Times New Roman" w:hAnsi="Times New Roman" w:cs="Times New Roman"/>
        </w:rPr>
        <w:t>, 34.</w:t>
      </w:r>
    </w:p>
  </w:footnote>
  <w:footnote w:id="39">
    <w:p w:rsidR="004C0C63" w:rsidRPr="00D62C54" w:rsidRDefault="004C0C63" w:rsidP="00D62C54">
      <w:pPr>
        <w:pStyle w:val="FootnoteText"/>
        <w:jc w:val="both"/>
        <w:rPr>
          <w:rFonts w:ascii="Times New Roman" w:hAnsi="Times New Roman" w:cs="Times New Roman"/>
        </w:rPr>
      </w:pPr>
      <w:r w:rsidRPr="00D62C54">
        <w:rPr>
          <w:rStyle w:val="FootnoteReference"/>
          <w:rFonts w:ascii="Times New Roman" w:hAnsi="Times New Roman" w:cs="Times New Roman"/>
        </w:rPr>
        <w:footnoteRef/>
      </w:r>
      <w:r w:rsidRPr="00D62C54">
        <w:rPr>
          <w:rFonts w:ascii="Times New Roman" w:hAnsi="Times New Roman" w:cs="Times New Roman"/>
        </w:rPr>
        <w:t xml:space="preserve"> K. Donovan, “Mobile Money for Financial Inclusion” </w:t>
      </w:r>
      <w:r w:rsidRPr="00D62C54">
        <w:rPr>
          <w:rFonts w:ascii="Times New Roman" w:hAnsi="Times New Roman" w:cs="Times New Roman"/>
          <w:bCs/>
        </w:rPr>
        <w:t xml:space="preserve">(2012) 61 </w:t>
      </w:r>
      <w:r w:rsidRPr="00D62C54">
        <w:rPr>
          <w:rFonts w:ascii="Times New Roman" w:hAnsi="Times New Roman" w:cs="Times New Roman"/>
          <w:i/>
          <w:iCs/>
        </w:rPr>
        <w:t>Information and Communications for Development</w:t>
      </w:r>
      <w:r w:rsidRPr="00D62C54">
        <w:rPr>
          <w:rFonts w:ascii="Times New Roman" w:hAnsi="Times New Roman" w:cs="Times New Roman"/>
        </w:rPr>
        <w:t>, 61–73.</w:t>
      </w:r>
    </w:p>
  </w:footnote>
  <w:footnote w:id="40">
    <w:p w:rsidR="004C0C63" w:rsidRPr="00D62C54" w:rsidRDefault="004C0C63" w:rsidP="00D62C54">
      <w:pPr>
        <w:pStyle w:val="FootnoteText"/>
        <w:jc w:val="both"/>
        <w:rPr>
          <w:rFonts w:ascii="Times New Roman" w:hAnsi="Times New Roman" w:cs="Times New Roman"/>
        </w:rPr>
      </w:pPr>
      <w:r w:rsidRPr="00D62C54">
        <w:rPr>
          <w:rStyle w:val="FootnoteReference"/>
          <w:rFonts w:ascii="Times New Roman" w:hAnsi="Times New Roman" w:cs="Times New Roman"/>
        </w:rPr>
        <w:footnoteRef/>
      </w:r>
      <w:r w:rsidRPr="00D62C54">
        <w:rPr>
          <w:rFonts w:ascii="Times New Roman" w:hAnsi="Times New Roman" w:cs="Times New Roman"/>
        </w:rPr>
        <w:t xml:space="preserve"> </w:t>
      </w:r>
      <w:r w:rsidRPr="00D62C54">
        <w:rPr>
          <w:rFonts w:ascii="Times New Roman" w:hAnsi="Times New Roman" w:cs="Times New Roman"/>
          <w:iCs/>
        </w:rPr>
        <w:t>Okello et al, “</w:t>
      </w:r>
      <w:r w:rsidRPr="00D62C54">
        <w:rPr>
          <w:rFonts w:ascii="Times New Roman" w:hAnsi="Times New Roman" w:cs="Times New Roman"/>
          <w:bCs/>
          <w:iCs/>
        </w:rPr>
        <w:t xml:space="preserve">Mobile Money and Financial Inclusion in Sub-Saharan Africa: </w:t>
      </w:r>
      <w:proofErr w:type="gramStart"/>
      <w:r w:rsidRPr="00D62C54">
        <w:rPr>
          <w:rFonts w:ascii="Times New Roman" w:hAnsi="Times New Roman" w:cs="Times New Roman"/>
          <w:bCs/>
          <w:iCs/>
        </w:rPr>
        <w:t>the</w:t>
      </w:r>
      <w:proofErr w:type="gramEnd"/>
      <w:r w:rsidRPr="00D62C54">
        <w:rPr>
          <w:rFonts w:ascii="Times New Roman" w:hAnsi="Times New Roman" w:cs="Times New Roman"/>
          <w:bCs/>
          <w:iCs/>
        </w:rPr>
        <w:t xml:space="preserve"> Moderating Role of Social Networks” (2018) 19 (3) Journal of African Business, 361-384.</w:t>
      </w:r>
    </w:p>
  </w:footnote>
  <w:footnote w:id="41">
    <w:p w:rsidR="0047594D" w:rsidRPr="00D62C54" w:rsidRDefault="0047594D" w:rsidP="00D62C54">
      <w:pPr>
        <w:pStyle w:val="FootnoteText"/>
        <w:jc w:val="both"/>
        <w:rPr>
          <w:rFonts w:ascii="Times New Roman" w:hAnsi="Times New Roman" w:cs="Times New Roman"/>
        </w:rPr>
      </w:pPr>
      <w:r w:rsidRPr="00D62C54">
        <w:rPr>
          <w:rStyle w:val="FootnoteReference"/>
          <w:rFonts w:ascii="Times New Roman" w:hAnsi="Times New Roman" w:cs="Times New Roman"/>
        </w:rPr>
        <w:footnoteRef/>
      </w:r>
      <w:r w:rsidRPr="00D62C54">
        <w:rPr>
          <w:rFonts w:ascii="Times New Roman" w:hAnsi="Times New Roman" w:cs="Times New Roman"/>
        </w:rPr>
        <w:t xml:space="preserve"> Bank of Uganda, </w:t>
      </w:r>
      <w:r w:rsidRPr="00D62C54">
        <w:rPr>
          <w:rFonts w:ascii="Times New Roman" w:hAnsi="Times New Roman" w:cs="Times New Roman"/>
          <w:i/>
        </w:rPr>
        <w:t>Mobile Money Guidelines</w:t>
      </w:r>
      <w:r w:rsidRPr="00D62C54">
        <w:rPr>
          <w:rFonts w:ascii="Times New Roman" w:hAnsi="Times New Roman" w:cs="Times New Roman"/>
        </w:rPr>
        <w:t>, (2013), &lt;</w:t>
      </w:r>
      <w:hyperlink r:id="rId10" w:history="1">
        <w:r w:rsidRPr="00D62C54">
          <w:rPr>
            <w:rStyle w:val="Hyperlink"/>
            <w:rFonts w:ascii="Times New Roman" w:hAnsi="Times New Roman" w:cs="Times New Roman"/>
          </w:rPr>
          <w:t>https://www.bou.or.ug/bou/bouwebsite/bouwebsitecontent/acts/other_acts_regulations/Mobile-Money-Guidelines-2013.pdf</w:t>
        </w:r>
      </w:hyperlink>
      <w:r w:rsidRPr="00D62C54">
        <w:rPr>
          <w:rFonts w:ascii="Times New Roman" w:hAnsi="Times New Roman" w:cs="Times New Roman"/>
        </w:rPr>
        <w:t xml:space="preserve"> &gt; (accessed 12 August 2022).</w:t>
      </w:r>
    </w:p>
  </w:footnote>
  <w:footnote w:id="42">
    <w:p w:rsidR="00D62C54" w:rsidRPr="00D62C54" w:rsidRDefault="00D62C54" w:rsidP="00D62C54">
      <w:pPr>
        <w:pStyle w:val="FootnoteText"/>
        <w:jc w:val="both"/>
        <w:rPr>
          <w:rFonts w:ascii="Times New Roman" w:hAnsi="Times New Roman" w:cs="Times New Roman"/>
        </w:rPr>
      </w:pPr>
      <w:r w:rsidRPr="00D62C54">
        <w:rPr>
          <w:rStyle w:val="FootnoteReference"/>
          <w:rFonts w:ascii="Times New Roman" w:hAnsi="Times New Roman" w:cs="Times New Roman"/>
        </w:rPr>
        <w:footnoteRef/>
      </w:r>
      <w:r w:rsidRPr="00D62C54">
        <w:rPr>
          <w:rFonts w:ascii="Times New Roman" w:hAnsi="Times New Roman" w:cs="Times New Roman"/>
        </w:rPr>
        <w:t xml:space="preserve"> </w:t>
      </w:r>
      <w:bookmarkStart w:id="4" w:name="_Hlk112167347"/>
      <w:r w:rsidRPr="00D62C54">
        <w:rPr>
          <w:rFonts w:ascii="Times New Roman" w:hAnsi="Times New Roman" w:cs="Times New Roman"/>
        </w:rPr>
        <w:t xml:space="preserve">Macmillan, et al, ‘The “evolution” of regulation in Uganda’s mobile money sector’ (2016) 17 </w:t>
      </w:r>
      <w:r w:rsidRPr="00D62C54">
        <w:rPr>
          <w:rFonts w:ascii="Times New Roman" w:hAnsi="Times New Roman" w:cs="Times New Roman"/>
          <w:i/>
        </w:rPr>
        <w:t>The African Journal of Information and Communication</w:t>
      </w:r>
      <w:r w:rsidRPr="00D62C54">
        <w:rPr>
          <w:rFonts w:ascii="Times New Roman" w:hAnsi="Times New Roman" w:cs="Times New Roman"/>
        </w:rPr>
        <w:t>, 89-110.</w:t>
      </w:r>
      <w:bookmarkEnd w:id="4"/>
    </w:p>
  </w:footnote>
  <w:footnote w:id="43">
    <w:p w:rsidR="004C0C63" w:rsidRPr="00D62C54" w:rsidRDefault="004C0C63" w:rsidP="00D62C54">
      <w:pPr>
        <w:pStyle w:val="FootnoteText"/>
        <w:jc w:val="both"/>
        <w:rPr>
          <w:rFonts w:ascii="Times New Roman" w:hAnsi="Times New Roman" w:cs="Times New Roman"/>
        </w:rPr>
      </w:pPr>
      <w:r w:rsidRPr="00D62C54">
        <w:rPr>
          <w:rStyle w:val="FootnoteReference"/>
          <w:rFonts w:ascii="Times New Roman" w:hAnsi="Times New Roman" w:cs="Times New Roman"/>
        </w:rPr>
        <w:footnoteRef/>
      </w:r>
      <w:r w:rsidRPr="00D62C54">
        <w:rPr>
          <w:rFonts w:ascii="Times New Roman" w:hAnsi="Times New Roman" w:cs="Times New Roman"/>
        </w:rPr>
        <w:t xml:space="preserve"> Uganda Communications Commission (UCC) is the Ugandan </w:t>
      </w:r>
      <w:r w:rsidR="006F1202">
        <w:rPr>
          <w:rFonts w:ascii="Times New Roman" w:hAnsi="Times New Roman" w:cs="Times New Roman"/>
        </w:rPr>
        <w:t>g</w:t>
      </w:r>
      <w:r w:rsidRPr="00D62C54">
        <w:rPr>
          <w:rFonts w:ascii="Times New Roman" w:hAnsi="Times New Roman" w:cs="Times New Roman"/>
        </w:rPr>
        <w:t xml:space="preserve">overnment agency established under the Uganda Communications Act 2013 to regulate the </w:t>
      </w:r>
      <w:r w:rsidR="006F1202">
        <w:rPr>
          <w:rFonts w:ascii="Times New Roman" w:hAnsi="Times New Roman" w:cs="Times New Roman"/>
        </w:rPr>
        <w:t>c</w:t>
      </w:r>
      <w:r w:rsidRPr="00D62C54">
        <w:rPr>
          <w:rFonts w:ascii="Times New Roman" w:hAnsi="Times New Roman" w:cs="Times New Roman"/>
        </w:rPr>
        <w:t xml:space="preserve">ommunications sector, which includes </w:t>
      </w:r>
      <w:r w:rsidR="006F1202">
        <w:rPr>
          <w:rFonts w:ascii="Times New Roman" w:hAnsi="Times New Roman" w:cs="Times New Roman"/>
        </w:rPr>
        <w:t>t</w:t>
      </w:r>
      <w:r w:rsidRPr="00D62C54">
        <w:rPr>
          <w:rFonts w:ascii="Times New Roman" w:hAnsi="Times New Roman" w:cs="Times New Roman"/>
        </w:rPr>
        <w:t xml:space="preserve">elecommunications, </w:t>
      </w:r>
      <w:r w:rsidR="006F1202">
        <w:rPr>
          <w:rFonts w:ascii="Times New Roman" w:hAnsi="Times New Roman" w:cs="Times New Roman"/>
        </w:rPr>
        <w:t>b</w:t>
      </w:r>
      <w:r w:rsidRPr="00D62C54">
        <w:rPr>
          <w:rFonts w:ascii="Times New Roman" w:hAnsi="Times New Roman" w:cs="Times New Roman"/>
        </w:rPr>
        <w:t xml:space="preserve">roadcasting, radio communication, postal communications, data communication and infrastructure. </w:t>
      </w:r>
      <w:r w:rsidR="004C515B" w:rsidRPr="00D62C54">
        <w:rPr>
          <w:rFonts w:ascii="Times New Roman" w:hAnsi="Times New Roman" w:cs="Times New Roman"/>
        </w:rPr>
        <w:t>See generally; &lt;</w:t>
      </w:r>
      <w:hyperlink r:id="rId11" w:history="1">
        <w:r w:rsidR="004C515B" w:rsidRPr="00D62C54">
          <w:rPr>
            <w:rStyle w:val="Hyperlink"/>
            <w:rFonts w:ascii="Times New Roman" w:hAnsi="Times New Roman" w:cs="Times New Roman"/>
          </w:rPr>
          <w:t>https://www.ucc.co.ug/</w:t>
        </w:r>
      </w:hyperlink>
      <w:r w:rsidR="004C515B" w:rsidRPr="00D62C54">
        <w:rPr>
          <w:rFonts w:ascii="Times New Roman" w:hAnsi="Times New Roman" w:cs="Times New Roman"/>
        </w:rPr>
        <w:t>&gt;</w:t>
      </w:r>
    </w:p>
  </w:footnote>
  <w:footnote w:id="44">
    <w:p w:rsidR="004C0C63" w:rsidRPr="0047594D" w:rsidRDefault="004C0C63" w:rsidP="00D62C54">
      <w:pPr>
        <w:pStyle w:val="FootnoteText"/>
        <w:jc w:val="both"/>
        <w:rPr>
          <w:rFonts w:ascii="Times New Roman" w:hAnsi="Times New Roman" w:cs="Times New Roman"/>
        </w:rPr>
      </w:pPr>
      <w:r w:rsidRPr="00D62C54">
        <w:rPr>
          <w:rStyle w:val="FootnoteReference"/>
          <w:rFonts w:ascii="Times New Roman" w:hAnsi="Times New Roman" w:cs="Times New Roman"/>
        </w:rPr>
        <w:footnoteRef/>
      </w:r>
      <w:r w:rsidRPr="00D62C54">
        <w:rPr>
          <w:rFonts w:ascii="Times New Roman" w:hAnsi="Times New Roman" w:cs="Times New Roman"/>
        </w:rPr>
        <w:t xml:space="preserve"> The central bank of Uganda has the mandate to supervise and regulate all operations of commercial and financial institutions in the country.</w:t>
      </w:r>
      <w:r w:rsidRPr="00D62C54">
        <w:rPr>
          <w:rFonts w:ascii="Times New Roman" w:hAnsi="Times New Roman" w:cs="Times New Roman"/>
          <w:lang w:val="en-US"/>
        </w:rPr>
        <w:t xml:space="preserve"> These institutions include</w:t>
      </w:r>
      <w:r w:rsidRPr="00D62C54">
        <w:rPr>
          <w:rFonts w:ascii="Times New Roman" w:hAnsi="Times New Roman" w:cs="Times New Roman"/>
        </w:rPr>
        <w:t xml:space="preserve"> but not limited to commercial banks, credit institutions, micro finance deposit taking institutions (MDIs) and forex bureaus. &lt;</w:t>
      </w:r>
      <w:hyperlink r:id="rId12" w:history="1">
        <w:r w:rsidRPr="00D62C54">
          <w:rPr>
            <w:rStyle w:val="Hyperlink"/>
            <w:rFonts w:ascii="Times New Roman" w:hAnsi="Times New Roman" w:cs="Times New Roman"/>
          </w:rPr>
          <w:t>https://www.bou.or.ug/bou/bouwebsite/Supervision/</w:t>
        </w:r>
      </w:hyperlink>
      <w:r w:rsidRPr="00D62C54">
        <w:rPr>
          <w:rFonts w:ascii="Times New Roman" w:hAnsi="Times New Roman" w:cs="Times New Roman"/>
        </w:rPr>
        <w:t xml:space="preserve">&gt; (accessed 10 </w:t>
      </w:r>
      <w:r w:rsidR="004C515B" w:rsidRPr="00D62C54">
        <w:rPr>
          <w:rFonts w:ascii="Times New Roman" w:hAnsi="Times New Roman" w:cs="Times New Roman"/>
        </w:rPr>
        <w:t>July</w:t>
      </w:r>
      <w:r w:rsidRPr="00D62C54">
        <w:rPr>
          <w:rFonts w:ascii="Times New Roman" w:hAnsi="Times New Roman" w:cs="Times New Roman"/>
        </w:rPr>
        <w:t xml:space="preserve"> 2022).</w:t>
      </w:r>
      <w:r w:rsidRPr="0047594D">
        <w:rPr>
          <w:rFonts w:ascii="Times New Roman" w:hAnsi="Times New Roman" w:cs="Times New Roman"/>
        </w:rPr>
        <w:t xml:space="preserve">  </w:t>
      </w:r>
    </w:p>
  </w:footnote>
  <w:footnote w:id="45">
    <w:p w:rsidR="004C0C63" w:rsidRPr="00C42F9D" w:rsidRDefault="004C0C63" w:rsidP="0047594D">
      <w:pPr>
        <w:pStyle w:val="FootnoteText"/>
        <w:jc w:val="both"/>
        <w:rPr>
          <w:rFonts w:ascii="Times New Roman" w:hAnsi="Times New Roman" w:cs="Times New Roman"/>
        </w:rPr>
      </w:pPr>
      <w:r w:rsidRPr="00C42F9D">
        <w:rPr>
          <w:rStyle w:val="FootnoteReference"/>
          <w:rFonts w:ascii="Times New Roman" w:hAnsi="Times New Roman" w:cs="Times New Roman"/>
        </w:rPr>
        <w:footnoteRef/>
      </w:r>
      <w:r w:rsidRPr="00C42F9D">
        <w:rPr>
          <w:rFonts w:ascii="Times New Roman" w:hAnsi="Times New Roman" w:cs="Times New Roman"/>
        </w:rPr>
        <w:t xml:space="preserve"> Act No.15 of 2020. (NPS</w:t>
      </w:r>
      <w:r w:rsidR="0047594D" w:rsidRPr="00C42F9D">
        <w:rPr>
          <w:rFonts w:ascii="Times New Roman" w:hAnsi="Times New Roman" w:cs="Times New Roman"/>
        </w:rPr>
        <w:t>A</w:t>
      </w:r>
      <w:r w:rsidRPr="00C42F9D">
        <w:rPr>
          <w:rFonts w:ascii="Times New Roman" w:hAnsi="Times New Roman" w:cs="Times New Roman"/>
        </w:rPr>
        <w:t xml:space="preserve">, (2020)).  </w:t>
      </w:r>
    </w:p>
  </w:footnote>
  <w:footnote w:id="46">
    <w:p w:rsidR="004C0C63" w:rsidRPr="00C42F9D" w:rsidRDefault="004C0C63" w:rsidP="0047594D">
      <w:pPr>
        <w:pStyle w:val="FootnoteText"/>
        <w:jc w:val="both"/>
        <w:rPr>
          <w:rFonts w:ascii="Times New Roman" w:hAnsi="Times New Roman" w:cs="Times New Roman"/>
        </w:rPr>
      </w:pPr>
      <w:r w:rsidRPr="00C42F9D">
        <w:rPr>
          <w:rStyle w:val="FootnoteReference"/>
          <w:rFonts w:ascii="Times New Roman" w:hAnsi="Times New Roman" w:cs="Times New Roman"/>
        </w:rPr>
        <w:footnoteRef/>
      </w:r>
      <w:r w:rsidRPr="00C42F9D">
        <w:rPr>
          <w:rFonts w:ascii="Times New Roman" w:hAnsi="Times New Roman" w:cs="Times New Roman"/>
        </w:rPr>
        <w:t xml:space="preserve"> SI No.19 of 2021. Mandated under s. 17 (4) and 72, NPS Act, (2020). </w:t>
      </w:r>
      <w:r w:rsidR="0047594D" w:rsidRPr="00C42F9D">
        <w:rPr>
          <w:rFonts w:ascii="Times New Roman" w:hAnsi="Times New Roman" w:cs="Times New Roman"/>
        </w:rPr>
        <w:t>(</w:t>
      </w:r>
      <w:r w:rsidRPr="00C42F9D">
        <w:rPr>
          <w:rFonts w:ascii="Times New Roman" w:hAnsi="Times New Roman" w:cs="Times New Roman"/>
        </w:rPr>
        <w:t>NPS</w:t>
      </w:r>
      <w:r w:rsidR="0047594D" w:rsidRPr="00C42F9D">
        <w:rPr>
          <w:rFonts w:ascii="Times New Roman" w:hAnsi="Times New Roman" w:cs="Times New Roman"/>
        </w:rPr>
        <w:t>A</w:t>
      </w:r>
      <w:r w:rsidRPr="00C42F9D">
        <w:rPr>
          <w:rFonts w:ascii="Times New Roman" w:hAnsi="Times New Roman" w:cs="Times New Roman"/>
        </w:rPr>
        <w:t xml:space="preserve"> Regulations,</w:t>
      </w:r>
      <w:r w:rsidRPr="00C42F9D">
        <w:rPr>
          <w:rFonts w:ascii="Times New Roman" w:hAnsi="Times New Roman" w:cs="Times New Roman"/>
          <w:color w:val="FF0000"/>
        </w:rPr>
        <w:t xml:space="preserve"> </w:t>
      </w:r>
      <w:r w:rsidRPr="00C42F9D">
        <w:rPr>
          <w:rFonts w:ascii="Times New Roman" w:hAnsi="Times New Roman" w:cs="Times New Roman"/>
        </w:rPr>
        <w:t>(2021)).</w:t>
      </w:r>
    </w:p>
  </w:footnote>
  <w:footnote w:id="47">
    <w:p w:rsidR="004C0C63" w:rsidRPr="00C42F9D" w:rsidRDefault="004C0C63" w:rsidP="0004788F">
      <w:pPr>
        <w:pStyle w:val="FootnoteText"/>
        <w:jc w:val="both"/>
        <w:rPr>
          <w:rFonts w:ascii="Times New Roman" w:hAnsi="Times New Roman" w:cs="Times New Roman"/>
        </w:rPr>
      </w:pPr>
      <w:r w:rsidRPr="00C42F9D">
        <w:rPr>
          <w:rStyle w:val="FootnoteReference"/>
          <w:rFonts w:ascii="Times New Roman" w:hAnsi="Times New Roman" w:cs="Times New Roman"/>
        </w:rPr>
        <w:footnoteRef/>
      </w:r>
      <w:r w:rsidRPr="00C42F9D">
        <w:rPr>
          <w:rFonts w:ascii="Times New Roman" w:hAnsi="Times New Roman" w:cs="Times New Roman"/>
        </w:rPr>
        <w:t xml:space="preserve"> SI No. 20 of 2021. A “sandbox” means a temporary experiment of innovative financial products, services, business models or delivery mechanisms in the payment systems ecosystem.</w:t>
      </w:r>
    </w:p>
  </w:footnote>
  <w:footnote w:id="48">
    <w:p w:rsidR="004C0C63" w:rsidRPr="00C42F9D" w:rsidRDefault="004C0C63" w:rsidP="0004788F">
      <w:pPr>
        <w:pStyle w:val="FootnoteText"/>
        <w:jc w:val="both"/>
        <w:rPr>
          <w:rFonts w:ascii="Times New Roman" w:hAnsi="Times New Roman" w:cs="Times New Roman"/>
        </w:rPr>
      </w:pPr>
      <w:r w:rsidRPr="00C42F9D">
        <w:rPr>
          <w:rStyle w:val="FootnoteReference"/>
          <w:rFonts w:ascii="Times New Roman" w:hAnsi="Times New Roman" w:cs="Times New Roman"/>
        </w:rPr>
        <w:footnoteRef/>
      </w:r>
      <w:r w:rsidRPr="00C42F9D">
        <w:rPr>
          <w:rFonts w:ascii="Times New Roman" w:hAnsi="Times New Roman" w:cs="Times New Roman"/>
        </w:rPr>
        <w:t xml:space="preserve"> NPS</w:t>
      </w:r>
      <w:r w:rsidR="00C42F9D" w:rsidRPr="00C42F9D">
        <w:rPr>
          <w:rFonts w:ascii="Times New Roman" w:hAnsi="Times New Roman" w:cs="Times New Roman"/>
        </w:rPr>
        <w:t>A</w:t>
      </w:r>
      <w:r w:rsidRPr="00C42F9D">
        <w:rPr>
          <w:rFonts w:ascii="Times New Roman" w:hAnsi="Times New Roman" w:cs="Times New Roman"/>
        </w:rPr>
        <w:t>, (2020), s.4(1)- (4).</w:t>
      </w:r>
    </w:p>
  </w:footnote>
  <w:footnote w:id="49">
    <w:p w:rsidR="004C0C63" w:rsidRPr="00C42F9D" w:rsidRDefault="004C0C63" w:rsidP="0004788F">
      <w:pPr>
        <w:pStyle w:val="FootnoteText"/>
        <w:jc w:val="both"/>
        <w:rPr>
          <w:rFonts w:ascii="Times New Roman" w:hAnsi="Times New Roman" w:cs="Times New Roman"/>
        </w:rPr>
      </w:pPr>
      <w:r w:rsidRPr="00C42F9D">
        <w:rPr>
          <w:rStyle w:val="FootnoteReference"/>
          <w:rFonts w:ascii="Times New Roman" w:hAnsi="Times New Roman" w:cs="Times New Roman"/>
        </w:rPr>
        <w:footnoteRef/>
      </w:r>
      <w:r w:rsidRPr="00C42F9D">
        <w:rPr>
          <w:rFonts w:ascii="Times New Roman" w:hAnsi="Times New Roman" w:cs="Times New Roman"/>
        </w:rPr>
        <w:t xml:space="preserve"> </w:t>
      </w:r>
      <w:r w:rsidR="00C42F9D" w:rsidRPr="00C42F9D">
        <w:rPr>
          <w:rFonts w:ascii="Times New Roman" w:hAnsi="Times New Roman" w:cs="Times New Roman"/>
        </w:rPr>
        <w:t xml:space="preserve">These are set out under, </w:t>
      </w:r>
      <w:r w:rsidRPr="00C42F9D">
        <w:rPr>
          <w:rFonts w:ascii="Times New Roman" w:hAnsi="Times New Roman" w:cs="Times New Roman"/>
        </w:rPr>
        <w:t>NPS</w:t>
      </w:r>
      <w:r w:rsidR="00C42F9D" w:rsidRPr="00C42F9D">
        <w:rPr>
          <w:rFonts w:ascii="Times New Roman" w:hAnsi="Times New Roman" w:cs="Times New Roman"/>
        </w:rPr>
        <w:t>A</w:t>
      </w:r>
      <w:r w:rsidRPr="00C42F9D">
        <w:rPr>
          <w:rFonts w:ascii="Times New Roman" w:hAnsi="Times New Roman" w:cs="Times New Roman"/>
        </w:rPr>
        <w:t>, (2020), S.3(a)- (g).</w:t>
      </w:r>
    </w:p>
  </w:footnote>
  <w:footnote w:id="50">
    <w:p w:rsidR="004C0C63" w:rsidRPr="00C42F9D" w:rsidRDefault="004C0C63" w:rsidP="0004788F">
      <w:pPr>
        <w:spacing w:after="0"/>
        <w:jc w:val="both"/>
        <w:rPr>
          <w:rFonts w:ascii="Times New Roman" w:hAnsi="Times New Roman" w:cs="Times New Roman"/>
          <w:sz w:val="20"/>
          <w:szCs w:val="20"/>
        </w:rPr>
      </w:pPr>
      <w:r w:rsidRPr="00C42F9D">
        <w:rPr>
          <w:rStyle w:val="FootnoteReference"/>
          <w:rFonts w:ascii="Times New Roman" w:hAnsi="Times New Roman" w:cs="Times New Roman"/>
          <w:sz w:val="20"/>
          <w:szCs w:val="20"/>
        </w:rPr>
        <w:footnoteRef/>
      </w:r>
      <w:r w:rsidRPr="00C42F9D">
        <w:rPr>
          <w:rFonts w:ascii="Times New Roman" w:hAnsi="Times New Roman" w:cs="Times New Roman"/>
          <w:sz w:val="20"/>
          <w:szCs w:val="20"/>
        </w:rPr>
        <w:t xml:space="preserve"> Hereafter, FIA 2016. This is an Act that amended the Financial Institutions Act, 2004, to provide among other services; </w:t>
      </w:r>
      <w:r w:rsidR="006F1202">
        <w:rPr>
          <w:rFonts w:ascii="Times New Roman" w:hAnsi="Times New Roman" w:cs="Times New Roman"/>
          <w:sz w:val="20"/>
          <w:szCs w:val="20"/>
        </w:rPr>
        <w:t>I</w:t>
      </w:r>
      <w:r w:rsidRPr="00C42F9D">
        <w:rPr>
          <w:rFonts w:ascii="Times New Roman" w:hAnsi="Times New Roman" w:cs="Times New Roman"/>
          <w:sz w:val="20"/>
          <w:szCs w:val="20"/>
        </w:rPr>
        <w:t xml:space="preserve">slamic banking; agent banking; special access to the </w:t>
      </w:r>
      <w:r w:rsidR="006F1202">
        <w:rPr>
          <w:rFonts w:ascii="Times New Roman" w:hAnsi="Times New Roman" w:cs="Times New Roman"/>
          <w:sz w:val="20"/>
          <w:szCs w:val="20"/>
        </w:rPr>
        <w:t>c</w:t>
      </w:r>
      <w:r w:rsidRPr="00C42F9D">
        <w:rPr>
          <w:rFonts w:ascii="Times New Roman" w:hAnsi="Times New Roman" w:cs="Times New Roman"/>
          <w:sz w:val="20"/>
          <w:szCs w:val="20"/>
        </w:rPr>
        <w:t xml:space="preserve">redit </w:t>
      </w:r>
      <w:r w:rsidR="006F1202">
        <w:rPr>
          <w:rFonts w:ascii="Times New Roman" w:hAnsi="Times New Roman" w:cs="Times New Roman"/>
          <w:sz w:val="20"/>
          <w:szCs w:val="20"/>
        </w:rPr>
        <w:t>r</w:t>
      </w:r>
      <w:r w:rsidRPr="00C42F9D">
        <w:rPr>
          <w:rFonts w:ascii="Times New Roman" w:hAnsi="Times New Roman" w:cs="Times New Roman"/>
          <w:sz w:val="20"/>
          <w:szCs w:val="20"/>
        </w:rPr>
        <w:t xml:space="preserve">eference </w:t>
      </w:r>
      <w:r w:rsidR="006F1202">
        <w:rPr>
          <w:rFonts w:ascii="Times New Roman" w:hAnsi="Times New Roman" w:cs="Times New Roman"/>
          <w:sz w:val="20"/>
          <w:szCs w:val="20"/>
        </w:rPr>
        <w:t>b</w:t>
      </w:r>
      <w:r w:rsidRPr="00C42F9D">
        <w:rPr>
          <w:rFonts w:ascii="Times New Roman" w:hAnsi="Times New Roman" w:cs="Times New Roman"/>
          <w:sz w:val="20"/>
          <w:szCs w:val="20"/>
        </w:rPr>
        <w:t xml:space="preserve">ureau by other accredited credit providers and service providers; to reform the </w:t>
      </w:r>
      <w:r w:rsidR="006F1202">
        <w:rPr>
          <w:rFonts w:ascii="Times New Roman" w:hAnsi="Times New Roman" w:cs="Times New Roman"/>
          <w:sz w:val="20"/>
          <w:szCs w:val="20"/>
        </w:rPr>
        <w:t>d</w:t>
      </w:r>
      <w:r w:rsidRPr="00C42F9D">
        <w:rPr>
          <w:rFonts w:ascii="Times New Roman" w:hAnsi="Times New Roman" w:cs="Times New Roman"/>
          <w:sz w:val="20"/>
          <w:szCs w:val="20"/>
        </w:rPr>
        <w:t xml:space="preserve">eposit </w:t>
      </w:r>
      <w:r w:rsidR="006F1202">
        <w:rPr>
          <w:rFonts w:ascii="Times New Roman" w:hAnsi="Times New Roman" w:cs="Times New Roman"/>
          <w:sz w:val="20"/>
          <w:szCs w:val="20"/>
        </w:rPr>
        <w:t>p</w:t>
      </w:r>
      <w:r w:rsidRPr="00C42F9D">
        <w:rPr>
          <w:rFonts w:ascii="Times New Roman" w:hAnsi="Times New Roman" w:cs="Times New Roman"/>
          <w:sz w:val="20"/>
          <w:szCs w:val="20"/>
        </w:rPr>
        <w:t xml:space="preserve">rotection </w:t>
      </w:r>
      <w:r w:rsidR="006F1202">
        <w:rPr>
          <w:rFonts w:ascii="Times New Roman" w:hAnsi="Times New Roman" w:cs="Times New Roman"/>
          <w:sz w:val="20"/>
          <w:szCs w:val="20"/>
        </w:rPr>
        <w:t>f</w:t>
      </w:r>
      <w:r w:rsidRPr="00C42F9D">
        <w:rPr>
          <w:rFonts w:ascii="Times New Roman" w:hAnsi="Times New Roman" w:cs="Times New Roman"/>
          <w:sz w:val="20"/>
          <w:szCs w:val="20"/>
        </w:rPr>
        <w:t xml:space="preserve">und; and for related purposes. See, FIA 2016, </w:t>
      </w:r>
      <w:r w:rsidR="00336187" w:rsidRPr="00C42F9D">
        <w:rPr>
          <w:rFonts w:ascii="Times New Roman" w:hAnsi="Times New Roman" w:cs="Times New Roman"/>
          <w:sz w:val="20"/>
          <w:szCs w:val="20"/>
        </w:rPr>
        <w:t>(</w:t>
      </w:r>
      <w:r w:rsidRPr="00C42F9D">
        <w:rPr>
          <w:rFonts w:ascii="Times New Roman" w:hAnsi="Times New Roman" w:cs="Times New Roman"/>
          <w:sz w:val="20"/>
          <w:szCs w:val="20"/>
        </w:rPr>
        <w:t>Preamble</w:t>
      </w:r>
      <w:r w:rsidR="00336187" w:rsidRPr="00C42F9D">
        <w:rPr>
          <w:rFonts w:ascii="Times New Roman" w:hAnsi="Times New Roman" w:cs="Times New Roman"/>
          <w:sz w:val="20"/>
          <w:szCs w:val="20"/>
        </w:rPr>
        <w:t>)</w:t>
      </w:r>
      <w:r w:rsidRPr="00C42F9D">
        <w:rPr>
          <w:rFonts w:ascii="Times New Roman" w:hAnsi="Times New Roman" w:cs="Times New Roman"/>
          <w:sz w:val="20"/>
          <w:szCs w:val="20"/>
        </w:rPr>
        <w:t xml:space="preserve"> and Part XII, ss.108 – 111 on the </w:t>
      </w:r>
      <w:r w:rsidR="006F1202">
        <w:rPr>
          <w:rFonts w:ascii="Times New Roman" w:hAnsi="Times New Roman" w:cs="Times New Roman"/>
          <w:sz w:val="20"/>
          <w:szCs w:val="20"/>
        </w:rPr>
        <w:t>d</w:t>
      </w:r>
      <w:r w:rsidRPr="00C42F9D">
        <w:rPr>
          <w:rFonts w:ascii="Times New Roman" w:hAnsi="Times New Roman" w:cs="Times New Roman"/>
          <w:sz w:val="20"/>
          <w:szCs w:val="20"/>
        </w:rPr>
        <w:t xml:space="preserve">eposit </w:t>
      </w:r>
      <w:r w:rsidR="006F1202">
        <w:rPr>
          <w:rFonts w:ascii="Times New Roman" w:hAnsi="Times New Roman" w:cs="Times New Roman"/>
          <w:sz w:val="20"/>
          <w:szCs w:val="20"/>
        </w:rPr>
        <w:t>p</w:t>
      </w:r>
      <w:r w:rsidRPr="00C42F9D">
        <w:rPr>
          <w:rFonts w:ascii="Times New Roman" w:hAnsi="Times New Roman" w:cs="Times New Roman"/>
          <w:sz w:val="20"/>
          <w:szCs w:val="20"/>
        </w:rPr>
        <w:t xml:space="preserve">rotection </w:t>
      </w:r>
      <w:r w:rsidR="006F1202">
        <w:rPr>
          <w:rFonts w:ascii="Times New Roman" w:hAnsi="Times New Roman" w:cs="Times New Roman"/>
          <w:sz w:val="20"/>
          <w:szCs w:val="20"/>
        </w:rPr>
        <w:t>f</w:t>
      </w:r>
      <w:r w:rsidRPr="00C42F9D">
        <w:rPr>
          <w:rFonts w:ascii="Times New Roman" w:hAnsi="Times New Roman" w:cs="Times New Roman"/>
          <w:sz w:val="20"/>
          <w:szCs w:val="20"/>
        </w:rPr>
        <w:t>und.</w:t>
      </w:r>
    </w:p>
  </w:footnote>
  <w:footnote w:id="51">
    <w:p w:rsidR="004C0C63" w:rsidRPr="0004788F" w:rsidRDefault="004C0C63" w:rsidP="0004788F">
      <w:pPr>
        <w:pStyle w:val="PlainText"/>
        <w:jc w:val="both"/>
        <w:rPr>
          <w:rFonts w:ascii="Times New Roman" w:eastAsia="Calibri" w:hAnsi="Times New Roman" w:cs="Times New Roman"/>
          <w:sz w:val="20"/>
          <w:szCs w:val="20"/>
        </w:rPr>
      </w:pPr>
      <w:r w:rsidRPr="00C42F9D">
        <w:rPr>
          <w:rStyle w:val="FootnoteReference"/>
          <w:rFonts w:ascii="Times New Roman" w:hAnsi="Times New Roman" w:cs="Times New Roman"/>
          <w:sz w:val="20"/>
          <w:szCs w:val="20"/>
        </w:rPr>
        <w:footnoteRef/>
      </w:r>
      <w:r w:rsidRPr="00C42F9D">
        <w:rPr>
          <w:rFonts w:ascii="Times New Roman" w:hAnsi="Times New Roman" w:cs="Times New Roman"/>
          <w:sz w:val="20"/>
          <w:szCs w:val="20"/>
        </w:rPr>
        <w:t xml:space="preserve"> Generally</w:t>
      </w:r>
      <w:r w:rsidR="004C515B" w:rsidRPr="00C42F9D">
        <w:rPr>
          <w:rFonts w:ascii="Times New Roman" w:hAnsi="Times New Roman" w:cs="Times New Roman"/>
          <w:sz w:val="20"/>
          <w:szCs w:val="20"/>
        </w:rPr>
        <w:t>,</w:t>
      </w:r>
      <w:r w:rsidRPr="00C42F9D">
        <w:rPr>
          <w:rFonts w:ascii="Times New Roman" w:hAnsi="Times New Roman" w:cs="Times New Roman"/>
          <w:sz w:val="20"/>
          <w:szCs w:val="20"/>
        </w:rPr>
        <w:t xml:space="preserve"> see</w:t>
      </w:r>
      <w:r w:rsidR="004C515B" w:rsidRPr="00C42F9D">
        <w:rPr>
          <w:rFonts w:ascii="Times New Roman" w:hAnsi="Times New Roman" w:cs="Times New Roman"/>
          <w:sz w:val="20"/>
          <w:szCs w:val="20"/>
        </w:rPr>
        <w:t>;</w:t>
      </w:r>
      <w:r w:rsidRPr="00C42F9D">
        <w:rPr>
          <w:rFonts w:ascii="Times New Roman" w:hAnsi="Times New Roman" w:cs="Times New Roman"/>
          <w:sz w:val="20"/>
          <w:szCs w:val="20"/>
        </w:rPr>
        <w:t xml:space="preserve"> &lt;</w:t>
      </w:r>
      <w:hyperlink r:id="rId13" w:history="1">
        <w:r w:rsidRPr="00C42F9D">
          <w:rPr>
            <w:rFonts w:ascii="Times New Roman" w:eastAsia="Calibri" w:hAnsi="Times New Roman" w:cs="Times New Roman"/>
            <w:color w:val="0563C1"/>
            <w:sz w:val="20"/>
            <w:szCs w:val="20"/>
            <w:u w:val="single"/>
          </w:rPr>
          <w:t>https://dpf.or.ug/</w:t>
        </w:r>
      </w:hyperlink>
      <w:r w:rsidRPr="00C42F9D">
        <w:rPr>
          <w:rFonts w:ascii="Times New Roman" w:eastAsia="Calibri" w:hAnsi="Times New Roman" w:cs="Times New Roman"/>
          <w:sz w:val="20"/>
          <w:szCs w:val="20"/>
        </w:rPr>
        <w:t xml:space="preserve">&gt; (accessed 18 </w:t>
      </w:r>
      <w:r w:rsidR="004C515B" w:rsidRPr="00C42F9D">
        <w:rPr>
          <w:rFonts w:ascii="Times New Roman" w:eastAsia="Calibri" w:hAnsi="Times New Roman" w:cs="Times New Roman"/>
          <w:sz w:val="20"/>
          <w:szCs w:val="20"/>
        </w:rPr>
        <w:t>July</w:t>
      </w:r>
      <w:r w:rsidRPr="00C42F9D">
        <w:rPr>
          <w:rFonts w:ascii="Times New Roman" w:eastAsia="Calibri" w:hAnsi="Times New Roman" w:cs="Times New Roman"/>
          <w:sz w:val="20"/>
          <w:szCs w:val="20"/>
        </w:rPr>
        <w:t xml:space="preserve"> 2022).</w:t>
      </w:r>
    </w:p>
  </w:footnote>
  <w:footnote w:id="52">
    <w:p w:rsidR="004C0C63" w:rsidRPr="006F1202" w:rsidRDefault="004C0C63" w:rsidP="006F1202">
      <w:pPr>
        <w:spacing w:after="0"/>
        <w:jc w:val="both"/>
        <w:rPr>
          <w:rFonts w:ascii="Times New Roman" w:hAnsi="Times New Roman" w:cs="Times New Roman"/>
          <w:sz w:val="20"/>
          <w:szCs w:val="20"/>
        </w:rPr>
      </w:pPr>
      <w:r w:rsidRPr="006F1202">
        <w:rPr>
          <w:rStyle w:val="FootnoteReference"/>
          <w:rFonts w:ascii="Times New Roman" w:hAnsi="Times New Roman" w:cs="Times New Roman"/>
          <w:sz w:val="20"/>
          <w:szCs w:val="20"/>
        </w:rPr>
        <w:footnoteRef/>
      </w:r>
      <w:r w:rsidRPr="006F1202">
        <w:rPr>
          <w:rFonts w:ascii="Times New Roman" w:hAnsi="Times New Roman" w:cs="Times New Roman"/>
          <w:sz w:val="20"/>
          <w:szCs w:val="20"/>
        </w:rPr>
        <w:t xml:space="preserve"> M. </w:t>
      </w:r>
      <w:proofErr w:type="spellStart"/>
      <w:r w:rsidRPr="006F1202">
        <w:rPr>
          <w:rFonts w:ascii="Times New Roman" w:hAnsi="Times New Roman" w:cs="Times New Roman"/>
          <w:sz w:val="20"/>
          <w:szCs w:val="20"/>
        </w:rPr>
        <w:t>Brownbridge</w:t>
      </w:r>
      <w:proofErr w:type="spellEnd"/>
      <w:r w:rsidRPr="006F1202">
        <w:rPr>
          <w:rFonts w:ascii="Times New Roman" w:hAnsi="Times New Roman" w:cs="Times New Roman"/>
          <w:sz w:val="20"/>
          <w:szCs w:val="20"/>
        </w:rPr>
        <w:t xml:space="preserve">, “Financial Distress in local banks in Kenya, Nigeria, Uganda and Zambia: Causes and Implications for Regulatory Policy” (1998) 16 </w:t>
      </w:r>
      <w:r w:rsidRPr="006F1202">
        <w:rPr>
          <w:rFonts w:ascii="Times New Roman" w:hAnsi="Times New Roman" w:cs="Times New Roman"/>
          <w:i/>
          <w:sz w:val="20"/>
          <w:szCs w:val="20"/>
        </w:rPr>
        <w:t>Development Policy Review</w:t>
      </w:r>
      <w:r w:rsidRPr="006F1202">
        <w:rPr>
          <w:rFonts w:ascii="Times New Roman" w:hAnsi="Times New Roman" w:cs="Times New Roman"/>
          <w:sz w:val="20"/>
          <w:szCs w:val="20"/>
        </w:rPr>
        <w:t>, 173, 188.</w:t>
      </w:r>
    </w:p>
  </w:footnote>
  <w:footnote w:id="53">
    <w:p w:rsidR="009F5E9F" w:rsidRPr="006F1202" w:rsidRDefault="009F5E9F" w:rsidP="006F1202">
      <w:pPr>
        <w:pStyle w:val="FootnoteText"/>
        <w:jc w:val="both"/>
        <w:rPr>
          <w:rFonts w:ascii="Times New Roman" w:hAnsi="Times New Roman" w:cs="Times New Roman"/>
        </w:rPr>
      </w:pPr>
      <w:r w:rsidRPr="006F1202">
        <w:rPr>
          <w:rStyle w:val="FootnoteReference"/>
          <w:rFonts w:ascii="Times New Roman" w:hAnsi="Times New Roman" w:cs="Times New Roman"/>
        </w:rPr>
        <w:footnoteRef/>
      </w:r>
      <w:r w:rsidRPr="006F1202">
        <w:rPr>
          <w:rFonts w:ascii="Times New Roman" w:hAnsi="Times New Roman" w:cs="Times New Roman"/>
        </w:rPr>
        <w:t xml:space="preserve"> B. </w:t>
      </w:r>
      <w:proofErr w:type="spellStart"/>
      <w:r w:rsidRPr="006F1202">
        <w:rPr>
          <w:rFonts w:ascii="Times New Roman" w:hAnsi="Times New Roman" w:cs="Times New Roman"/>
        </w:rPr>
        <w:t>Busuulwa</w:t>
      </w:r>
      <w:proofErr w:type="spellEnd"/>
      <w:r w:rsidRPr="006F1202">
        <w:rPr>
          <w:rFonts w:ascii="Times New Roman" w:hAnsi="Times New Roman" w:cs="Times New Roman"/>
        </w:rPr>
        <w:t xml:space="preserve">, “Deposit Protection Fund assets hit $280m” </w:t>
      </w:r>
      <w:r w:rsidRPr="006F1202">
        <w:rPr>
          <w:rFonts w:ascii="Times New Roman" w:hAnsi="Times New Roman" w:cs="Times New Roman"/>
          <w:i/>
        </w:rPr>
        <w:t>The East African</w:t>
      </w:r>
      <w:r w:rsidRPr="006F1202">
        <w:rPr>
          <w:rFonts w:ascii="Times New Roman" w:hAnsi="Times New Roman" w:cs="Times New Roman"/>
        </w:rPr>
        <w:t xml:space="preserve"> (Kampala, Uganda, 22 February 2022) &lt;</w:t>
      </w:r>
      <w:hyperlink r:id="rId14" w:history="1">
        <w:r w:rsidRPr="006F1202">
          <w:rPr>
            <w:rStyle w:val="Hyperlink"/>
            <w:rFonts w:ascii="Times New Roman" w:hAnsi="Times New Roman" w:cs="Times New Roman"/>
          </w:rPr>
          <w:t>https://www.theeastafrican.co.ke/tea/business/deposit-protection-fund-assets-hit-280m-3725646</w:t>
        </w:r>
      </w:hyperlink>
      <w:r w:rsidRPr="006F1202">
        <w:rPr>
          <w:rFonts w:ascii="Times New Roman" w:hAnsi="Times New Roman" w:cs="Times New Roman"/>
        </w:rPr>
        <w:t>&gt; (accessed 20 August 2022).</w:t>
      </w:r>
    </w:p>
  </w:footnote>
  <w:footnote w:id="54">
    <w:p w:rsidR="004C0C63" w:rsidRPr="006F1202" w:rsidRDefault="004C0C63" w:rsidP="006F1202">
      <w:pPr>
        <w:pStyle w:val="FootnoteText"/>
        <w:jc w:val="both"/>
        <w:rPr>
          <w:rFonts w:ascii="Times New Roman" w:hAnsi="Times New Roman" w:cs="Times New Roman"/>
          <w:color w:val="FF0000"/>
        </w:rPr>
      </w:pPr>
      <w:r w:rsidRPr="006F1202">
        <w:rPr>
          <w:rStyle w:val="FootnoteReference"/>
          <w:rFonts w:ascii="Times New Roman" w:hAnsi="Times New Roman" w:cs="Times New Roman"/>
        </w:rPr>
        <w:footnoteRef/>
      </w:r>
      <w:r w:rsidRPr="006F1202">
        <w:rPr>
          <w:rFonts w:ascii="Times New Roman" w:hAnsi="Times New Roman" w:cs="Times New Roman"/>
        </w:rPr>
        <w:t xml:space="preserve"> See; “Customers Bank deposits now protected up to UGX 10m” </w:t>
      </w:r>
      <w:r w:rsidRPr="006F1202">
        <w:rPr>
          <w:rFonts w:ascii="Times New Roman" w:hAnsi="Times New Roman" w:cs="Times New Roman"/>
          <w:i/>
        </w:rPr>
        <w:t>The Independent</w:t>
      </w:r>
      <w:r w:rsidRPr="006F1202">
        <w:rPr>
          <w:rFonts w:ascii="Times New Roman" w:hAnsi="Times New Roman" w:cs="Times New Roman"/>
        </w:rPr>
        <w:t xml:space="preserve"> (Kampala, Uganda, 10 September 2019) &lt;</w:t>
      </w:r>
      <w:hyperlink r:id="rId15" w:history="1">
        <w:r w:rsidR="00A6705F" w:rsidRPr="006F1202">
          <w:rPr>
            <w:rStyle w:val="Hyperlink"/>
            <w:rFonts w:ascii="Times New Roman" w:hAnsi="Times New Roman" w:cs="Times New Roman"/>
          </w:rPr>
          <w:t>https://www.independent.co.ug/customers-bank-deposits-now-protected-up-to-ugx-10m/%3E</w:t>
        </w:r>
      </w:hyperlink>
      <w:r w:rsidRPr="006F1202">
        <w:rPr>
          <w:rFonts w:ascii="Times New Roman" w:hAnsi="Times New Roman" w:cs="Times New Roman"/>
        </w:rPr>
        <w:t>&gt;</w:t>
      </w:r>
      <w:r w:rsidRPr="006F1202">
        <w:rPr>
          <w:rFonts w:ascii="Times New Roman" w:hAnsi="Times New Roman" w:cs="Times New Roman"/>
          <w:color w:val="FF0000"/>
        </w:rPr>
        <w:t xml:space="preserve"> </w:t>
      </w:r>
      <w:r w:rsidRPr="006F1202">
        <w:rPr>
          <w:rFonts w:ascii="Times New Roman" w:hAnsi="Times New Roman" w:cs="Times New Roman"/>
        </w:rPr>
        <w:t xml:space="preserve">(accessed 20 </w:t>
      </w:r>
      <w:r w:rsidR="00A6705F" w:rsidRPr="006F1202">
        <w:rPr>
          <w:rFonts w:ascii="Times New Roman" w:hAnsi="Times New Roman" w:cs="Times New Roman"/>
        </w:rPr>
        <w:t>August</w:t>
      </w:r>
      <w:r w:rsidRPr="006F1202">
        <w:rPr>
          <w:rFonts w:ascii="Times New Roman" w:hAnsi="Times New Roman" w:cs="Times New Roman"/>
        </w:rPr>
        <w:t xml:space="preserve"> 2022).</w:t>
      </w:r>
    </w:p>
  </w:footnote>
  <w:footnote w:id="55">
    <w:p w:rsidR="004C0C63" w:rsidRPr="006F1202" w:rsidRDefault="004C0C63" w:rsidP="006F1202">
      <w:pPr>
        <w:pStyle w:val="FootnoteText"/>
        <w:jc w:val="both"/>
        <w:rPr>
          <w:rFonts w:ascii="Times New Roman" w:hAnsi="Times New Roman" w:cs="Times New Roman"/>
        </w:rPr>
      </w:pPr>
      <w:r w:rsidRPr="006F1202">
        <w:rPr>
          <w:rStyle w:val="FootnoteReference"/>
          <w:rFonts w:ascii="Times New Roman" w:hAnsi="Times New Roman" w:cs="Times New Roman"/>
        </w:rPr>
        <w:footnoteRef/>
      </w:r>
      <w:r w:rsidRPr="006F1202">
        <w:rPr>
          <w:rFonts w:ascii="Times New Roman" w:hAnsi="Times New Roman" w:cs="Times New Roman"/>
        </w:rPr>
        <w:t xml:space="preserve"> Ibid</w:t>
      </w:r>
      <w:r w:rsidR="006F1202" w:rsidRPr="006F1202">
        <w:rPr>
          <w:rFonts w:ascii="Times New Roman" w:hAnsi="Times New Roman" w:cs="Times New Roman"/>
        </w:rPr>
        <w:t>.</w:t>
      </w:r>
    </w:p>
  </w:footnote>
  <w:footnote w:id="56">
    <w:p w:rsidR="004C0C63" w:rsidRPr="006F1202" w:rsidRDefault="004C0C63" w:rsidP="006F1202">
      <w:pPr>
        <w:spacing w:after="0"/>
        <w:jc w:val="both"/>
        <w:rPr>
          <w:rFonts w:ascii="Times New Roman" w:hAnsi="Times New Roman" w:cs="Times New Roman"/>
          <w:color w:val="FF0000"/>
          <w:sz w:val="20"/>
          <w:szCs w:val="20"/>
        </w:rPr>
      </w:pPr>
      <w:r w:rsidRPr="006F1202">
        <w:rPr>
          <w:rStyle w:val="FootnoteReference"/>
          <w:rFonts w:ascii="Times New Roman" w:hAnsi="Times New Roman" w:cs="Times New Roman"/>
          <w:sz w:val="20"/>
          <w:szCs w:val="20"/>
        </w:rPr>
        <w:footnoteRef/>
      </w:r>
      <w:r w:rsidRPr="006F1202">
        <w:rPr>
          <w:rFonts w:ascii="Times New Roman" w:hAnsi="Times New Roman" w:cs="Times New Roman"/>
          <w:sz w:val="20"/>
          <w:szCs w:val="20"/>
        </w:rPr>
        <w:t xml:space="preserve"> Emmanuel </w:t>
      </w:r>
      <w:proofErr w:type="spellStart"/>
      <w:r w:rsidRPr="006F1202">
        <w:rPr>
          <w:rFonts w:ascii="Times New Roman" w:hAnsi="Times New Roman" w:cs="Times New Roman"/>
          <w:sz w:val="20"/>
          <w:szCs w:val="20"/>
        </w:rPr>
        <w:t>Mutebile</w:t>
      </w:r>
      <w:proofErr w:type="spellEnd"/>
      <w:r w:rsidRPr="006F1202">
        <w:rPr>
          <w:rFonts w:ascii="Times New Roman" w:hAnsi="Times New Roman" w:cs="Times New Roman"/>
          <w:sz w:val="20"/>
          <w:szCs w:val="20"/>
        </w:rPr>
        <w:t xml:space="preserve">, “Why Deposit Insurance?” </w:t>
      </w:r>
      <w:r w:rsidRPr="006F1202">
        <w:rPr>
          <w:rFonts w:ascii="Times New Roman" w:hAnsi="Times New Roman" w:cs="Times New Roman"/>
          <w:i/>
          <w:sz w:val="20"/>
          <w:szCs w:val="20"/>
        </w:rPr>
        <w:t>International Association of Deposit Insurers – Africa Regional Committee Conference</w:t>
      </w:r>
      <w:r w:rsidRPr="006F1202">
        <w:rPr>
          <w:rFonts w:ascii="Times New Roman" w:hAnsi="Times New Roman" w:cs="Times New Roman"/>
          <w:sz w:val="20"/>
          <w:szCs w:val="20"/>
        </w:rPr>
        <w:t>, (September 16 – 19, 2019, Kampala, Uganda) &lt;</w:t>
      </w:r>
      <w:hyperlink r:id="rId16" w:history="1">
        <w:r w:rsidR="00A6705F" w:rsidRPr="006F1202">
          <w:rPr>
            <w:rStyle w:val="Hyperlink"/>
            <w:rFonts w:ascii="Times New Roman" w:hAnsi="Times New Roman" w:cs="Times New Roman"/>
            <w:sz w:val="20"/>
            <w:szCs w:val="20"/>
          </w:rPr>
          <w:t>https://www.bis.org/review/r191007m.pdf</w:t>
        </w:r>
      </w:hyperlink>
      <w:r w:rsidRPr="006F1202">
        <w:rPr>
          <w:rFonts w:ascii="Times New Roman" w:hAnsi="Times New Roman" w:cs="Times New Roman"/>
          <w:sz w:val="20"/>
          <w:szCs w:val="20"/>
        </w:rPr>
        <w:t>&gt;</w:t>
      </w:r>
      <w:r w:rsidRPr="006F1202">
        <w:rPr>
          <w:rFonts w:ascii="Times New Roman" w:hAnsi="Times New Roman" w:cs="Times New Roman"/>
          <w:color w:val="FF0000"/>
          <w:sz w:val="20"/>
          <w:szCs w:val="20"/>
        </w:rPr>
        <w:t xml:space="preserve"> </w:t>
      </w:r>
      <w:r w:rsidRPr="006F1202">
        <w:rPr>
          <w:rFonts w:ascii="Times New Roman" w:hAnsi="Times New Roman" w:cs="Times New Roman"/>
          <w:sz w:val="20"/>
          <w:szCs w:val="20"/>
        </w:rPr>
        <w:t xml:space="preserve">(accessed 10 </w:t>
      </w:r>
      <w:r w:rsidR="00A6705F" w:rsidRPr="006F1202">
        <w:rPr>
          <w:rFonts w:ascii="Times New Roman" w:hAnsi="Times New Roman" w:cs="Times New Roman"/>
          <w:sz w:val="20"/>
          <w:szCs w:val="20"/>
        </w:rPr>
        <w:t xml:space="preserve">August </w:t>
      </w:r>
      <w:r w:rsidRPr="006F1202">
        <w:rPr>
          <w:rFonts w:ascii="Times New Roman" w:hAnsi="Times New Roman" w:cs="Times New Roman"/>
          <w:sz w:val="20"/>
          <w:szCs w:val="20"/>
        </w:rPr>
        <w:t>2022).</w:t>
      </w:r>
    </w:p>
  </w:footnote>
  <w:footnote w:id="57">
    <w:p w:rsidR="00AD7806" w:rsidRPr="0004788F" w:rsidRDefault="00AD7806" w:rsidP="006F1202">
      <w:pPr>
        <w:pStyle w:val="FootnoteText"/>
        <w:jc w:val="both"/>
        <w:rPr>
          <w:rFonts w:ascii="Times New Roman" w:hAnsi="Times New Roman" w:cs="Times New Roman"/>
        </w:rPr>
      </w:pPr>
      <w:r w:rsidRPr="006F1202">
        <w:rPr>
          <w:rStyle w:val="FootnoteReference"/>
          <w:rFonts w:ascii="Times New Roman" w:hAnsi="Times New Roman" w:cs="Times New Roman"/>
        </w:rPr>
        <w:footnoteRef/>
      </w:r>
      <w:r w:rsidRPr="006F1202">
        <w:rPr>
          <w:rFonts w:ascii="Times New Roman" w:hAnsi="Times New Roman" w:cs="Times New Roman"/>
        </w:rPr>
        <w:t xml:space="preserve"> Macmillan, et al, “The ‘evolution’ of regulation in Uganda’s mobile money sector” (2016) 17 </w:t>
      </w:r>
      <w:r w:rsidRPr="006F1202">
        <w:rPr>
          <w:rFonts w:ascii="Times New Roman" w:hAnsi="Times New Roman" w:cs="Times New Roman"/>
          <w:i/>
        </w:rPr>
        <w:t>African Journal of Information and Communication</w:t>
      </w:r>
      <w:r w:rsidRPr="006F1202">
        <w:rPr>
          <w:rFonts w:ascii="Times New Roman" w:hAnsi="Times New Roman" w:cs="Times New Roman"/>
        </w:rPr>
        <w:t>, 89-110.</w:t>
      </w:r>
    </w:p>
  </w:footnote>
  <w:footnote w:id="58">
    <w:p w:rsidR="00AD7806" w:rsidRPr="00A6705F" w:rsidRDefault="00AD7806" w:rsidP="00A6705F">
      <w:pPr>
        <w:spacing w:after="0"/>
        <w:jc w:val="both"/>
        <w:rPr>
          <w:rFonts w:ascii="Times New Roman" w:hAnsi="Times New Roman" w:cs="Times New Roman"/>
          <w:color w:val="FF0000"/>
          <w:sz w:val="20"/>
          <w:szCs w:val="20"/>
        </w:rPr>
      </w:pPr>
      <w:r w:rsidRPr="0004788F">
        <w:rPr>
          <w:rStyle w:val="FootnoteReference"/>
          <w:rFonts w:ascii="Times New Roman" w:hAnsi="Times New Roman" w:cs="Times New Roman"/>
          <w:sz w:val="20"/>
          <w:szCs w:val="20"/>
        </w:rPr>
        <w:footnoteRef/>
      </w:r>
      <w:r w:rsidRPr="0004788F">
        <w:rPr>
          <w:rFonts w:ascii="Times New Roman" w:hAnsi="Times New Roman" w:cs="Times New Roman"/>
          <w:sz w:val="20"/>
          <w:szCs w:val="20"/>
        </w:rPr>
        <w:t xml:space="preserve"> Anon Reporter, “What does separation of mobile money from telecoms mean?” </w:t>
      </w:r>
      <w:r w:rsidRPr="0004788F">
        <w:rPr>
          <w:rFonts w:ascii="Times New Roman" w:hAnsi="Times New Roman" w:cs="Times New Roman"/>
          <w:i/>
          <w:sz w:val="20"/>
          <w:szCs w:val="20"/>
        </w:rPr>
        <w:t>The Independent</w:t>
      </w:r>
      <w:r w:rsidRPr="0004788F">
        <w:rPr>
          <w:rFonts w:ascii="Times New Roman" w:hAnsi="Times New Roman" w:cs="Times New Roman"/>
          <w:sz w:val="20"/>
          <w:szCs w:val="20"/>
        </w:rPr>
        <w:t>, (Kampala, Uganda, 24 May 2021</w:t>
      </w:r>
      <w:r w:rsidRPr="00A6705F">
        <w:rPr>
          <w:rFonts w:ascii="Times New Roman" w:hAnsi="Times New Roman" w:cs="Times New Roman"/>
          <w:sz w:val="20"/>
          <w:szCs w:val="20"/>
        </w:rPr>
        <w:t>) &lt;</w:t>
      </w:r>
      <w:hyperlink r:id="rId17" w:history="1">
        <w:r w:rsidR="00A6705F" w:rsidRPr="00A6705F">
          <w:rPr>
            <w:rStyle w:val="Hyperlink"/>
            <w:rFonts w:ascii="Times New Roman" w:hAnsi="Times New Roman" w:cs="Times New Roman"/>
            <w:sz w:val="20"/>
            <w:szCs w:val="20"/>
          </w:rPr>
          <w:t>https://www.independent.co.ug/what-does-separation-of-mobile-money-from-telecoms-mean/</w:t>
        </w:r>
      </w:hyperlink>
      <w:r w:rsidRPr="00A6705F">
        <w:rPr>
          <w:rFonts w:ascii="Times New Roman" w:hAnsi="Times New Roman" w:cs="Times New Roman"/>
          <w:sz w:val="20"/>
          <w:szCs w:val="20"/>
        </w:rPr>
        <w:t>&gt;</w:t>
      </w:r>
      <w:r w:rsidRPr="0004788F">
        <w:rPr>
          <w:rFonts w:ascii="Times New Roman" w:hAnsi="Times New Roman" w:cs="Times New Roman"/>
          <w:sz w:val="20"/>
          <w:szCs w:val="20"/>
        </w:rPr>
        <w:t xml:space="preserve"> (accessed 15 </w:t>
      </w:r>
      <w:r w:rsidR="00A6705F">
        <w:rPr>
          <w:rFonts w:ascii="Times New Roman" w:hAnsi="Times New Roman" w:cs="Times New Roman"/>
          <w:sz w:val="20"/>
          <w:szCs w:val="20"/>
        </w:rPr>
        <w:t>July</w:t>
      </w:r>
      <w:r w:rsidRPr="0004788F">
        <w:rPr>
          <w:rFonts w:ascii="Times New Roman" w:hAnsi="Times New Roman" w:cs="Times New Roman"/>
          <w:sz w:val="20"/>
          <w:szCs w:val="20"/>
        </w:rPr>
        <w:t xml:space="preserve"> 2022).  </w:t>
      </w:r>
    </w:p>
  </w:footnote>
  <w:footnote w:id="59">
    <w:p w:rsidR="00AD7806" w:rsidRPr="0004788F" w:rsidRDefault="00AD7806" w:rsidP="0004788F">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w:t>
      </w:r>
      <w:bookmarkStart w:id="5" w:name="_Hlk112430130"/>
      <w:r w:rsidR="00336187">
        <w:rPr>
          <w:rFonts w:ascii="Times New Roman" w:hAnsi="Times New Roman" w:cs="Times New Roman"/>
        </w:rPr>
        <w:t>NPSA</w:t>
      </w:r>
      <w:r w:rsidRPr="0004788F">
        <w:rPr>
          <w:rFonts w:ascii="Times New Roman" w:hAnsi="Times New Roman" w:cs="Times New Roman"/>
        </w:rPr>
        <w:t xml:space="preserve"> </w:t>
      </w:r>
      <w:r w:rsidR="00336187">
        <w:rPr>
          <w:rFonts w:ascii="Times New Roman" w:hAnsi="Times New Roman" w:cs="Times New Roman"/>
        </w:rPr>
        <w:t>(</w:t>
      </w:r>
      <w:r w:rsidRPr="0004788F">
        <w:rPr>
          <w:rFonts w:ascii="Times New Roman" w:hAnsi="Times New Roman" w:cs="Times New Roman"/>
        </w:rPr>
        <w:t>2020</w:t>
      </w:r>
      <w:r w:rsidR="00336187">
        <w:rPr>
          <w:rFonts w:ascii="Times New Roman" w:hAnsi="Times New Roman" w:cs="Times New Roman"/>
        </w:rPr>
        <w:t>)</w:t>
      </w:r>
      <w:bookmarkEnd w:id="5"/>
      <w:r w:rsidR="00336187">
        <w:rPr>
          <w:rFonts w:ascii="Times New Roman" w:hAnsi="Times New Roman" w:cs="Times New Roman"/>
        </w:rPr>
        <w:t>, s.48(1) – (2).</w:t>
      </w:r>
    </w:p>
  </w:footnote>
  <w:footnote w:id="60">
    <w:p w:rsidR="00AD7806" w:rsidRPr="0004788F" w:rsidRDefault="00AD7806" w:rsidP="0004788F">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w:t>
      </w:r>
      <w:r w:rsidR="00336187" w:rsidRPr="00336187">
        <w:rPr>
          <w:rFonts w:ascii="Times New Roman" w:hAnsi="Times New Roman" w:cs="Times New Roman"/>
        </w:rPr>
        <w:t>NPSA (2020)</w:t>
      </w:r>
      <w:r w:rsidR="00336187">
        <w:rPr>
          <w:rFonts w:ascii="Times New Roman" w:hAnsi="Times New Roman" w:cs="Times New Roman"/>
        </w:rPr>
        <w:t>, s.49</w:t>
      </w:r>
      <w:r w:rsidR="00D76376">
        <w:rPr>
          <w:rFonts w:ascii="Times New Roman" w:hAnsi="Times New Roman" w:cs="Times New Roman"/>
        </w:rPr>
        <w:t>.</w:t>
      </w:r>
    </w:p>
  </w:footnote>
  <w:footnote w:id="61">
    <w:p w:rsidR="00AD7806" w:rsidRPr="0004788F" w:rsidRDefault="00AD7806" w:rsidP="0004788F">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w:t>
      </w:r>
      <w:r w:rsidR="00336187" w:rsidRPr="00336187">
        <w:rPr>
          <w:rFonts w:ascii="Times New Roman" w:hAnsi="Times New Roman" w:cs="Times New Roman"/>
        </w:rPr>
        <w:t>NPSA (2020)</w:t>
      </w:r>
      <w:r w:rsidR="00336187">
        <w:rPr>
          <w:rFonts w:ascii="Times New Roman" w:hAnsi="Times New Roman" w:cs="Times New Roman"/>
        </w:rPr>
        <w:t>, s.52.</w:t>
      </w:r>
    </w:p>
  </w:footnote>
  <w:footnote w:id="62">
    <w:p w:rsidR="00AD7806" w:rsidRPr="004F1707" w:rsidRDefault="00AD7806" w:rsidP="004F1707">
      <w:pPr>
        <w:pStyle w:val="FootnoteText"/>
        <w:jc w:val="both"/>
        <w:rPr>
          <w:rFonts w:ascii="Times New Roman" w:hAnsi="Times New Roman" w:cs="Times New Roman"/>
        </w:rPr>
      </w:pPr>
      <w:r w:rsidRPr="004F1707">
        <w:rPr>
          <w:rStyle w:val="FootnoteReference"/>
          <w:rFonts w:ascii="Times New Roman" w:hAnsi="Times New Roman" w:cs="Times New Roman"/>
        </w:rPr>
        <w:footnoteRef/>
      </w:r>
      <w:r w:rsidRPr="004F1707">
        <w:rPr>
          <w:rFonts w:ascii="Times New Roman" w:hAnsi="Times New Roman" w:cs="Times New Roman"/>
        </w:rPr>
        <w:t xml:space="preserve"> s.6, </w:t>
      </w:r>
      <w:bookmarkStart w:id="6" w:name="_Hlk112412313"/>
      <w:r w:rsidR="00CF4201">
        <w:rPr>
          <w:rFonts w:ascii="Times New Roman" w:hAnsi="Times New Roman" w:cs="Times New Roman"/>
        </w:rPr>
        <w:t>NAPSA</w:t>
      </w:r>
      <w:r w:rsidRPr="004F1707">
        <w:rPr>
          <w:rFonts w:ascii="Times New Roman" w:hAnsi="Times New Roman" w:cs="Times New Roman"/>
        </w:rPr>
        <w:t xml:space="preserve"> </w:t>
      </w:r>
      <w:r w:rsidR="00CF4201">
        <w:rPr>
          <w:rFonts w:ascii="Times New Roman" w:hAnsi="Times New Roman" w:cs="Times New Roman"/>
        </w:rPr>
        <w:t>(</w:t>
      </w:r>
      <w:r w:rsidRPr="004F1707">
        <w:rPr>
          <w:rFonts w:ascii="Times New Roman" w:hAnsi="Times New Roman" w:cs="Times New Roman"/>
        </w:rPr>
        <w:t>2020</w:t>
      </w:r>
      <w:r w:rsidR="00CF4201">
        <w:rPr>
          <w:rFonts w:ascii="Times New Roman" w:hAnsi="Times New Roman" w:cs="Times New Roman"/>
        </w:rPr>
        <w:t>)</w:t>
      </w:r>
      <w:r w:rsidRPr="004F1707">
        <w:rPr>
          <w:rFonts w:ascii="Times New Roman" w:hAnsi="Times New Roman" w:cs="Times New Roman"/>
        </w:rPr>
        <w:t>.</w:t>
      </w:r>
      <w:bookmarkEnd w:id="6"/>
    </w:p>
  </w:footnote>
  <w:footnote w:id="63">
    <w:p w:rsidR="00AD7806" w:rsidRPr="004F1707" w:rsidRDefault="00AD7806" w:rsidP="004F1707">
      <w:pPr>
        <w:pStyle w:val="FootnoteText"/>
        <w:jc w:val="both"/>
        <w:rPr>
          <w:rFonts w:ascii="Times New Roman" w:hAnsi="Times New Roman" w:cs="Times New Roman"/>
        </w:rPr>
      </w:pPr>
      <w:r w:rsidRPr="004F1707">
        <w:rPr>
          <w:rStyle w:val="FootnoteReference"/>
          <w:rFonts w:ascii="Times New Roman" w:hAnsi="Times New Roman" w:cs="Times New Roman"/>
        </w:rPr>
        <w:footnoteRef/>
      </w:r>
      <w:r w:rsidRPr="004F1707">
        <w:rPr>
          <w:rFonts w:ascii="Times New Roman" w:hAnsi="Times New Roman" w:cs="Times New Roman"/>
        </w:rPr>
        <w:t xml:space="preserve"> s.28(1) </w:t>
      </w:r>
      <w:r w:rsidR="00CF4201" w:rsidRPr="00CF4201">
        <w:rPr>
          <w:rFonts w:ascii="Times New Roman" w:hAnsi="Times New Roman" w:cs="Times New Roman"/>
        </w:rPr>
        <w:t>NAPSA (2020).</w:t>
      </w:r>
    </w:p>
  </w:footnote>
  <w:footnote w:id="64">
    <w:p w:rsidR="00AD7806" w:rsidRPr="004F1707" w:rsidRDefault="00AD7806" w:rsidP="004F1707">
      <w:pPr>
        <w:pStyle w:val="FootnoteText"/>
        <w:jc w:val="both"/>
        <w:rPr>
          <w:rFonts w:ascii="Times New Roman" w:hAnsi="Times New Roman" w:cs="Times New Roman"/>
        </w:rPr>
      </w:pPr>
      <w:r w:rsidRPr="004F1707">
        <w:rPr>
          <w:rStyle w:val="FootnoteReference"/>
          <w:rFonts w:ascii="Times New Roman" w:hAnsi="Times New Roman" w:cs="Times New Roman"/>
        </w:rPr>
        <w:footnoteRef/>
      </w:r>
      <w:r w:rsidRPr="004F1707">
        <w:rPr>
          <w:rFonts w:ascii="Times New Roman" w:hAnsi="Times New Roman" w:cs="Times New Roman"/>
        </w:rPr>
        <w:t xml:space="preserve"> s.28(3) (a) </w:t>
      </w:r>
      <w:r w:rsidR="00CF4201" w:rsidRPr="00CF4201">
        <w:rPr>
          <w:rFonts w:ascii="Times New Roman" w:hAnsi="Times New Roman" w:cs="Times New Roman"/>
        </w:rPr>
        <w:t>NAPSA (2020).</w:t>
      </w:r>
    </w:p>
  </w:footnote>
  <w:footnote w:id="65">
    <w:p w:rsidR="00D80DCD" w:rsidRPr="004F1707" w:rsidRDefault="00D80DCD" w:rsidP="004F1707">
      <w:pPr>
        <w:spacing w:after="0" w:line="276" w:lineRule="auto"/>
        <w:jc w:val="both"/>
        <w:rPr>
          <w:rFonts w:ascii="Times New Roman" w:hAnsi="Times New Roman" w:cs="Times New Roman"/>
          <w:sz w:val="20"/>
          <w:szCs w:val="20"/>
        </w:rPr>
      </w:pPr>
      <w:r w:rsidRPr="004F1707">
        <w:rPr>
          <w:rStyle w:val="FootnoteReference"/>
          <w:rFonts w:ascii="Times New Roman" w:hAnsi="Times New Roman" w:cs="Times New Roman"/>
          <w:sz w:val="20"/>
          <w:szCs w:val="20"/>
        </w:rPr>
        <w:footnoteRef/>
      </w:r>
      <w:r w:rsidRPr="004F1707">
        <w:rPr>
          <w:rFonts w:ascii="Times New Roman" w:hAnsi="Times New Roman" w:cs="Times New Roman"/>
          <w:sz w:val="20"/>
          <w:szCs w:val="20"/>
        </w:rPr>
        <w:t xml:space="preserve"> L. </w:t>
      </w:r>
      <w:proofErr w:type="spellStart"/>
      <w:r w:rsidRPr="004F1707">
        <w:rPr>
          <w:rFonts w:ascii="Times New Roman" w:hAnsi="Times New Roman" w:cs="Times New Roman"/>
          <w:sz w:val="20"/>
          <w:szCs w:val="20"/>
        </w:rPr>
        <w:t>Gambacorta</w:t>
      </w:r>
      <w:proofErr w:type="spellEnd"/>
      <w:r w:rsidRPr="004F1707">
        <w:rPr>
          <w:rFonts w:ascii="Times New Roman" w:hAnsi="Times New Roman" w:cs="Times New Roman"/>
          <w:sz w:val="20"/>
          <w:szCs w:val="20"/>
        </w:rPr>
        <w:t xml:space="preserve"> and Adrian Van </w:t>
      </w:r>
      <w:proofErr w:type="spellStart"/>
      <w:r w:rsidRPr="004F1707">
        <w:rPr>
          <w:rFonts w:ascii="Times New Roman" w:hAnsi="Times New Roman" w:cs="Times New Roman"/>
          <w:sz w:val="20"/>
          <w:szCs w:val="20"/>
        </w:rPr>
        <w:t>Rixtel</w:t>
      </w:r>
      <w:proofErr w:type="spellEnd"/>
      <w:r w:rsidRPr="004F1707">
        <w:rPr>
          <w:rFonts w:ascii="Times New Roman" w:hAnsi="Times New Roman" w:cs="Times New Roman"/>
          <w:sz w:val="20"/>
          <w:szCs w:val="20"/>
        </w:rPr>
        <w:t xml:space="preserve">, </w:t>
      </w:r>
      <w:r w:rsidR="008617ED" w:rsidRPr="004F1707">
        <w:rPr>
          <w:rFonts w:ascii="Times New Roman" w:hAnsi="Times New Roman" w:cs="Times New Roman"/>
          <w:sz w:val="20"/>
          <w:szCs w:val="20"/>
        </w:rPr>
        <w:t>“</w:t>
      </w:r>
      <w:r w:rsidRPr="004F1707">
        <w:rPr>
          <w:rFonts w:ascii="Times New Roman" w:hAnsi="Times New Roman" w:cs="Times New Roman"/>
          <w:sz w:val="20"/>
          <w:szCs w:val="20"/>
        </w:rPr>
        <w:t>Structural bank regulation initiatives: approaches and implications</w:t>
      </w:r>
      <w:r w:rsidR="008617ED" w:rsidRPr="004F1707">
        <w:rPr>
          <w:rFonts w:ascii="Times New Roman" w:hAnsi="Times New Roman" w:cs="Times New Roman"/>
          <w:sz w:val="20"/>
          <w:szCs w:val="20"/>
        </w:rPr>
        <w:t>”</w:t>
      </w:r>
      <w:r w:rsidRPr="004F1707">
        <w:rPr>
          <w:rFonts w:ascii="Times New Roman" w:hAnsi="Times New Roman" w:cs="Times New Roman"/>
          <w:sz w:val="20"/>
          <w:szCs w:val="20"/>
        </w:rPr>
        <w:t xml:space="preserve"> </w:t>
      </w:r>
      <w:r w:rsidR="008617ED" w:rsidRPr="004F1707">
        <w:rPr>
          <w:rFonts w:ascii="Times New Roman" w:hAnsi="Times New Roman" w:cs="Times New Roman"/>
          <w:i/>
          <w:sz w:val="20"/>
          <w:szCs w:val="20"/>
        </w:rPr>
        <w:t>Bank for International Settlements</w:t>
      </w:r>
      <w:r w:rsidR="008617ED" w:rsidRPr="004F1707">
        <w:rPr>
          <w:rFonts w:ascii="Times New Roman" w:hAnsi="Times New Roman" w:cs="Times New Roman"/>
          <w:sz w:val="20"/>
          <w:szCs w:val="20"/>
        </w:rPr>
        <w:t xml:space="preserve">, </w:t>
      </w:r>
      <w:r w:rsidR="004F1707">
        <w:rPr>
          <w:rFonts w:ascii="Times New Roman" w:hAnsi="Times New Roman" w:cs="Times New Roman"/>
          <w:sz w:val="20"/>
          <w:szCs w:val="20"/>
        </w:rPr>
        <w:t>(</w:t>
      </w:r>
      <w:r w:rsidR="008617ED" w:rsidRPr="004F1707">
        <w:rPr>
          <w:rFonts w:ascii="Times New Roman" w:hAnsi="Times New Roman" w:cs="Times New Roman"/>
          <w:sz w:val="20"/>
          <w:szCs w:val="20"/>
        </w:rPr>
        <w:t xml:space="preserve">BIS Working Paper No. 412, of </w:t>
      </w:r>
      <w:r w:rsidRPr="004F1707">
        <w:rPr>
          <w:rFonts w:ascii="Times New Roman" w:hAnsi="Times New Roman" w:cs="Times New Roman"/>
          <w:sz w:val="20"/>
          <w:szCs w:val="20"/>
        </w:rPr>
        <w:t>2013</w:t>
      </w:r>
      <w:r w:rsidR="004F1707">
        <w:rPr>
          <w:rFonts w:ascii="Times New Roman" w:hAnsi="Times New Roman" w:cs="Times New Roman"/>
          <w:sz w:val="20"/>
          <w:szCs w:val="20"/>
        </w:rPr>
        <w:t>)</w:t>
      </w:r>
      <w:r w:rsidR="008617ED" w:rsidRPr="004F1707">
        <w:rPr>
          <w:rFonts w:ascii="Times New Roman" w:hAnsi="Times New Roman" w:cs="Times New Roman"/>
          <w:sz w:val="20"/>
          <w:szCs w:val="20"/>
        </w:rPr>
        <w:t>,</w:t>
      </w:r>
      <w:r w:rsidRPr="004F1707">
        <w:rPr>
          <w:rFonts w:ascii="Times New Roman" w:hAnsi="Times New Roman" w:cs="Times New Roman"/>
          <w:sz w:val="20"/>
          <w:szCs w:val="20"/>
        </w:rPr>
        <w:t xml:space="preserve"> &lt;</w:t>
      </w:r>
      <w:hyperlink r:id="rId18" w:history="1">
        <w:r w:rsidR="008617ED" w:rsidRPr="004F1707">
          <w:rPr>
            <w:rStyle w:val="Hyperlink"/>
            <w:rFonts w:ascii="Times New Roman" w:hAnsi="Times New Roman" w:cs="Times New Roman"/>
            <w:sz w:val="20"/>
            <w:szCs w:val="20"/>
          </w:rPr>
          <w:t>https://www.bis.org/publ/work412.pdf</w:t>
        </w:r>
      </w:hyperlink>
      <w:r w:rsidR="008617ED" w:rsidRPr="004F1707">
        <w:rPr>
          <w:rFonts w:ascii="Times New Roman" w:hAnsi="Times New Roman" w:cs="Times New Roman"/>
          <w:sz w:val="20"/>
          <w:szCs w:val="20"/>
        </w:rPr>
        <w:t xml:space="preserve"> </w:t>
      </w:r>
      <w:r w:rsidRPr="004F1707">
        <w:rPr>
          <w:rFonts w:ascii="Times New Roman" w:hAnsi="Times New Roman" w:cs="Times New Roman"/>
          <w:sz w:val="20"/>
          <w:szCs w:val="20"/>
        </w:rPr>
        <w:t xml:space="preserve">&gt; (accessed 10 </w:t>
      </w:r>
      <w:r w:rsidR="008617ED" w:rsidRPr="004F1707">
        <w:rPr>
          <w:rFonts w:ascii="Times New Roman" w:hAnsi="Times New Roman" w:cs="Times New Roman"/>
          <w:sz w:val="20"/>
          <w:szCs w:val="20"/>
        </w:rPr>
        <w:t>July</w:t>
      </w:r>
      <w:r w:rsidRPr="004F1707">
        <w:rPr>
          <w:rFonts w:ascii="Times New Roman" w:hAnsi="Times New Roman" w:cs="Times New Roman"/>
          <w:sz w:val="20"/>
          <w:szCs w:val="20"/>
        </w:rPr>
        <w:t xml:space="preserve"> 2022).</w:t>
      </w:r>
    </w:p>
  </w:footnote>
  <w:footnote w:id="66">
    <w:p w:rsidR="004F1707" w:rsidRPr="004F1707" w:rsidRDefault="004F1707" w:rsidP="004F1707">
      <w:pPr>
        <w:pStyle w:val="FootnoteText"/>
        <w:jc w:val="both"/>
        <w:rPr>
          <w:rFonts w:ascii="Times New Roman" w:hAnsi="Times New Roman" w:cs="Times New Roman"/>
        </w:rPr>
      </w:pPr>
      <w:r w:rsidRPr="004F1707">
        <w:rPr>
          <w:rStyle w:val="FootnoteReference"/>
          <w:rFonts w:ascii="Times New Roman" w:hAnsi="Times New Roman" w:cs="Times New Roman"/>
        </w:rPr>
        <w:footnoteRef/>
      </w:r>
      <w:r w:rsidRPr="004F1707">
        <w:rPr>
          <w:rFonts w:ascii="Times New Roman" w:hAnsi="Times New Roman" w:cs="Times New Roman"/>
        </w:rPr>
        <w:t xml:space="preserve"> On this concept, see further: R. DeYoung and G. </w:t>
      </w:r>
      <w:proofErr w:type="spellStart"/>
      <w:r w:rsidRPr="004F1707">
        <w:rPr>
          <w:rFonts w:ascii="Times New Roman" w:hAnsi="Times New Roman" w:cs="Times New Roman"/>
        </w:rPr>
        <w:t>Torna</w:t>
      </w:r>
      <w:proofErr w:type="spellEnd"/>
      <w:r w:rsidRPr="004F1707">
        <w:rPr>
          <w:rFonts w:ascii="Times New Roman" w:hAnsi="Times New Roman" w:cs="Times New Roman"/>
        </w:rPr>
        <w:t xml:space="preserve">, “Non-traditional banking activities and bank failures during the financial crisis” (2013) 22(3) </w:t>
      </w:r>
      <w:r w:rsidRPr="004F1707">
        <w:rPr>
          <w:rFonts w:ascii="Times New Roman" w:hAnsi="Times New Roman" w:cs="Times New Roman"/>
          <w:i/>
        </w:rPr>
        <w:t>Journal of Financial Intermediation</w:t>
      </w:r>
      <w:r w:rsidRPr="004F1707">
        <w:rPr>
          <w:rFonts w:ascii="Times New Roman" w:hAnsi="Times New Roman" w:cs="Times New Roman"/>
        </w:rPr>
        <w:t xml:space="preserve">, 397–421; </w:t>
      </w:r>
      <w:bookmarkStart w:id="7" w:name="_Hlk112412079"/>
      <w:r w:rsidRPr="004F1707">
        <w:rPr>
          <w:rFonts w:ascii="Times New Roman" w:hAnsi="Times New Roman" w:cs="Times New Roman"/>
        </w:rPr>
        <w:t xml:space="preserve">X. Yang and M. </w:t>
      </w:r>
      <w:proofErr w:type="spellStart"/>
      <w:r w:rsidRPr="004F1707">
        <w:rPr>
          <w:rFonts w:ascii="Times New Roman" w:hAnsi="Times New Roman" w:cs="Times New Roman"/>
        </w:rPr>
        <w:t>Brei</w:t>
      </w:r>
      <w:proofErr w:type="spellEnd"/>
      <w:r w:rsidRPr="004F1707">
        <w:rPr>
          <w:rFonts w:ascii="Times New Roman" w:hAnsi="Times New Roman" w:cs="Times New Roman"/>
        </w:rPr>
        <w:t xml:space="preserve">, “The universal bank model: synergy or vulnerability?” (2019) 20 </w:t>
      </w:r>
      <w:r w:rsidRPr="004F1707">
        <w:rPr>
          <w:rFonts w:ascii="Times New Roman" w:hAnsi="Times New Roman" w:cs="Times New Roman"/>
          <w:i/>
        </w:rPr>
        <w:t>Journal of Banking Regulation</w:t>
      </w:r>
      <w:r w:rsidRPr="004F1707">
        <w:rPr>
          <w:rFonts w:ascii="Times New Roman" w:hAnsi="Times New Roman" w:cs="Times New Roman"/>
        </w:rPr>
        <w:t>, 312, 327</w:t>
      </w:r>
      <w:bookmarkEnd w:id="7"/>
      <w:r w:rsidRPr="004F1707">
        <w:rPr>
          <w:rFonts w:ascii="Times New Roman" w:hAnsi="Times New Roman" w:cs="Times New Roman"/>
        </w:rPr>
        <w:t>.</w:t>
      </w:r>
    </w:p>
    <w:p w:rsidR="004F1707" w:rsidRDefault="004F1707">
      <w:pPr>
        <w:pStyle w:val="FootnoteText"/>
      </w:pPr>
    </w:p>
  </w:footnote>
  <w:footnote w:id="67">
    <w:p w:rsidR="004F1707" w:rsidRPr="0054478A" w:rsidRDefault="004F1707" w:rsidP="0054478A">
      <w:pPr>
        <w:pStyle w:val="FootnoteText"/>
        <w:jc w:val="both"/>
        <w:rPr>
          <w:rFonts w:ascii="Times New Roman" w:hAnsi="Times New Roman" w:cs="Times New Roman"/>
        </w:rPr>
      </w:pPr>
      <w:r w:rsidRPr="0054478A">
        <w:rPr>
          <w:rStyle w:val="FootnoteReference"/>
          <w:rFonts w:ascii="Times New Roman" w:hAnsi="Times New Roman" w:cs="Times New Roman"/>
        </w:rPr>
        <w:footnoteRef/>
      </w:r>
      <w:r w:rsidRPr="0054478A">
        <w:rPr>
          <w:rFonts w:ascii="Times New Roman" w:hAnsi="Times New Roman" w:cs="Times New Roman"/>
        </w:rPr>
        <w:t xml:space="preserve"> X. Yang and M. </w:t>
      </w:r>
      <w:proofErr w:type="spellStart"/>
      <w:r w:rsidRPr="0054478A">
        <w:rPr>
          <w:rFonts w:ascii="Times New Roman" w:hAnsi="Times New Roman" w:cs="Times New Roman"/>
        </w:rPr>
        <w:t>Brei</w:t>
      </w:r>
      <w:proofErr w:type="spellEnd"/>
      <w:r w:rsidRPr="0054478A">
        <w:rPr>
          <w:rFonts w:ascii="Times New Roman" w:hAnsi="Times New Roman" w:cs="Times New Roman"/>
        </w:rPr>
        <w:t xml:space="preserve">, “The universal bank model: synergy or vulnerability?” (2019) 20 </w:t>
      </w:r>
      <w:r w:rsidRPr="0054478A">
        <w:rPr>
          <w:rFonts w:ascii="Times New Roman" w:hAnsi="Times New Roman" w:cs="Times New Roman"/>
          <w:i/>
        </w:rPr>
        <w:t>Journal of Banking Regulation</w:t>
      </w:r>
      <w:r w:rsidRPr="0054478A">
        <w:rPr>
          <w:rFonts w:ascii="Times New Roman" w:hAnsi="Times New Roman" w:cs="Times New Roman"/>
        </w:rPr>
        <w:t>, 312, 327.</w:t>
      </w:r>
    </w:p>
  </w:footnote>
  <w:footnote w:id="68">
    <w:p w:rsidR="00E60EC5" w:rsidRPr="0054478A" w:rsidRDefault="00E60EC5" w:rsidP="0054478A">
      <w:pPr>
        <w:pStyle w:val="FootnoteText"/>
        <w:jc w:val="both"/>
        <w:rPr>
          <w:rFonts w:ascii="Times New Roman" w:hAnsi="Times New Roman" w:cs="Times New Roman"/>
        </w:rPr>
      </w:pPr>
      <w:r w:rsidRPr="0054478A">
        <w:rPr>
          <w:rStyle w:val="FootnoteReference"/>
          <w:rFonts w:ascii="Times New Roman" w:hAnsi="Times New Roman" w:cs="Times New Roman"/>
        </w:rPr>
        <w:footnoteRef/>
      </w:r>
      <w:r w:rsidRPr="0054478A">
        <w:rPr>
          <w:rFonts w:ascii="Times New Roman" w:hAnsi="Times New Roman" w:cs="Times New Roman"/>
        </w:rPr>
        <w:t xml:space="preserve"> See for example; BCBS, </w:t>
      </w:r>
      <w:r w:rsidRPr="0054478A">
        <w:rPr>
          <w:rFonts w:ascii="Times New Roman" w:hAnsi="Times New Roman" w:cs="Times New Roman"/>
          <w:i/>
        </w:rPr>
        <w:t>Core Principles for Effective Banking Supervision</w:t>
      </w:r>
      <w:r w:rsidRPr="0054478A">
        <w:rPr>
          <w:rFonts w:ascii="Times New Roman" w:hAnsi="Times New Roman" w:cs="Times New Roman"/>
        </w:rPr>
        <w:t xml:space="preserve"> (2006, Bank for International Settlements, Basel). (Hereafter, </w:t>
      </w:r>
      <w:r w:rsidRPr="0054478A">
        <w:rPr>
          <w:rFonts w:ascii="Times New Roman" w:hAnsi="Times New Roman" w:cs="Times New Roman"/>
          <w:i/>
        </w:rPr>
        <w:t>“The Basil Core Principles</w:t>
      </w:r>
      <w:r w:rsidRPr="0054478A">
        <w:rPr>
          <w:rFonts w:ascii="Times New Roman" w:hAnsi="Times New Roman" w:cs="Times New Roman"/>
        </w:rPr>
        <w:t>”).</w:t>
      </w:r>
    </w:p>
  </w:footnote>
  <w:footnote w:id="69">
    <w:p w:rsidR="00CF4201" w:rsidRPr="0054478A" w:rsidRDefault="00CF4201" w:rsidP="0054478A">
      <w:pPr>
        <w:pStyle w:val="FootnoteText"/>
        <w:jc w:val="both"/>
        <w:rPr>
          <w:rFonts w:ascii="Times New Roman" w:hAnsi="Times New Roman" w:cs="Times New Roman"/>
        </w:rPr>
      </w:pPr>
      <w:r w:rsidRPr="006F1202">
        <w:rPr>
          <w:rStyle w:val="FootnoteReference"/>
          <w:rFonts w:ascii="Times New Roman" w:hAnsi="Times New Roman" w:cs="Times New Roman"/>
        </w:rPr>
        <w:footnoteRef/>
      </w:r>
      <w:r w:rsidRPr="006F1202">
        <w:rPr>
          <w:rFonts w:ascii="Times New Roman" w:hAnsi="Times New Roman" w:cs="Times New Roman"/>
        </w:rPr>
        <w:t xml:space="preserve"> DeYoung and </w:t>
      </w:r>
      <w:proofErr w:type="spellStart"/>
      <w:r w:rsidRPr="006F1202">
        <w:rPr>
          <w:rFonts w:ascii="Times New Roman" w:hAnsi="Times New Roman" w:cs="Times New Roman"/>
        </w:rPr>
        <w:t>Torna</w:t>
      </w:r>
      <w:proofErr w:type="spellEnd"/>
      <w:r w:rsidRPr="006F1202">
        <w:rPr>
          <w:rFonts w:ascii="Times New Roman" w:hAnsi="Times New Roman" w:cs="Times New Roman"/>
        </w:rPr>
        <w:t xml:space="preserve"> (n 6</w:t>
      </w:r>
      <w:r w:rsidR="006F1202" w:rsidRPr="006F1202">
        <w:rPr>
          <w:rFonts w:ascii="Times New Roman" w:hAnsi="Times New Roman" w:cs="Times New Roman"/>
        </w:rPr>
        <w:t>6</w:t>
      </w:r>
      <w:r w:rsidRPr="006F1202">
        <w:rPr>
          <w:rFonts w:ascii="Times New Roman" w:hAnsi="Times New Roman" w:cs="Times New Roman"/>
        </w:rPr>
        <w:t>).</w:t>
      </w:r>
    </w:p>
  </w:footnote>
  <w:footnote w:id="70">
    <w:p w:rsidR="0054478A" w:rsidRPr="0054478A" w:rsidRDefault="0054478A" w:rsidP="0054478A">
      <w:pPr>
        <w:pStyle w:val="FootnoteText"/>
        <w:jc w:val="both"/>
        <w:rPr>
          <w:rFonts w:ascii="Times New Roman" w:hAnsi="Times New Roman" w:cs="Times New Roman"/>
        </w:rPr>
      </w:pPr>
      <w:r w:rsidRPr="0054478A">
        <w:rPr>
          <w:rStyle w:val="FootnoteReference"/>
          <w:rFonts w:ascii="Times New Roman" w:hAnsi="Times New Roman" w:cs="Times New Roman"/>
        </w:rPr>
        <w:footnoteRef/>
      </w:r>
      <w:r w:rsidRPr="0054478A">
        <w:rPr>
          <w:rFonts w:ascii="Times New Roman" w:hAnsi="Times New Roman" w:cs="Times New Roman"/>
        </w:rPr>
        <w:t xml:space="preserve"> A risk-averse approach is where a company/individual opts to invest in a product with minimal return</w:t>
      </w:r>
      <w:r w:rsidR="005416C3">
        <w:rPr>
          <w:rFonts w:ascii="Times New Roman" w:hAnsi="Times New Roman" w:cs="Times New Roman"/>
        </w:rPr>
        <w:t>s</w:t>
      </w:r>
      <w:r w:rsidRPr="0054478A">
        <w:rPr>
          <w:rFonts w:ascii="Times New Roman" w:hAnsi="Times New Roman" w:cs="Times New Roman"/>
        </w:rPr>
        <w:t xml:space="preserve"> but with known financial risks than going for maximum returns with unknown risks.</w:t>
      </w:r>
    </w:p>
  </w:footnote>
  <w:footnote w:id="71">
    <w:p w:rsidR="00D80DCD" w:rsidRPr="005416C3" w:rsidRDefault="00D80DCD" w:rsidP="0054478A">
      <w:pPr>
        <w:pStyle w:val="FootnoteText"/>
        <w:jc w:val="both"/>
        <w:rPr>
          <w:rFonts w:ascii="Times New Roman" w:hAnsi="Times New Roman" w:cs="Times New Roman"/>
        </w:rPr>
      </w:pPr>
      <w:r w:rsidRPr="005416C3">
        <w:rPr>
          <w:rStyle w:val="FootnoteReference"/>
          <w:rFonts w:ascii="Times New Roman" w:hAnsi="Times New Roman" w:cs="Times New Roman"/>
        </w:rPr>
        <w:footnoteRef/>
      </w:r>
      <w:r w:rsidRPr="005416C3">
        <w:rPr>
          <w:rFonts w:ascii="Times New Roman" w:hAnsi="Times New Roman" w:cs="Times New Roman"/>
        </w:rPr>
        <w:t xml:space="preserve"> Steven L. </w:t>
      </w:r>
      <w:proofErr w:type="spellStart"/>
      <w:r w:rsidRPr="005416C3">
        <w:rPr>
          <w:rFonts w:ascii="Times New Roman" w:hAnsi="Times New Roman" w:cs="Times New Roman"/>
        </w:rPr>
        <w:t>Schwarcz</w:t>
      </w:r>
      <w:proofErr w:type="spellEnd"/>
      <w:r w:rsidRPr="005416C3">
        <w:rPr>
          <w:rFonts w:ascii="Times New Roman" w:hAnsi="Times New Roman" w:cs="Times New Roman"/>
        </w:rPr>
        <w:t xml:space="preserve"> </w:t>
      </w:r>
      <w:r w:rsidR="008617ED" w:rsidRPr="005416C3">
        <w:rPr>
          <w:rFonts w:ascii="Times New Roman" w:hAnsi="Times New Roman" w:cs="Times New Roman"/>
        </w:rPr>
        <w:t>“</w:t>
      </w:r>
      <w:r w:rsidRPr="005416C3">
        <w:rPr>
          <w:rFonts w:ascii="Times New Roman" w:hAnsi="Times New Roman" w:cs="Times New Roman"/>
        </w:rPr>
        <w:t>Ring-Fencing</w:t>
      </w:r>
      <w:r w:rsidR="008617ED" w:rsidRPr="005416C3">
        <w:rPr>
          <w:rFonts w:ascii="Times New Roman" w:hAnsi="Times New Roman" w:cs="Times New Roman"/>
        </w:rPr>
        <w:t>”</w:t>
      </w:r>
      <w:r w:rsidRPr="005416C3">
        <w:rPr>
          <w:rFonts w:ascii="Times New Roman" w:hAnsi="Times New Roman" w:cs="Times New Roman"/>
        </w:rPr>
        <w:t xml:space="preserve"> (2014) 87 </w:t>
      </w:r>
      <w:r w:rsidRPr="005416C3">
        <w:rPr>
          <w:rFonts w:ascii="Times New Roman" w:hAnsi="Times New Roman" w:cs="Times New Roman"/>
          <w:i/>
        </w:rPr>
        <w:t>Southern California Law Review</w:t>
      </w:r>
      <w:r w:rsidR="008617ED" w:rsidRPr="005416C3">
        <w:rPr>
          <w:rFonts w:ascii="Times New Roman" w:hAnsi="Times New Roman" w:cs="Times New Roman"/>
        </w:rPr>
        <w:t>,</w:t>
      </w:r>
      <w:r w:rsidRPr="005416C3">
        <w:rPr>
          <w:rFonts w:ascii="Times New Roman" w:hAnsi="Times New Roman" w:cs="Times New Roman"/>
        </w:rPr>
        <w:t xml:space="preserve"> 69, 73.</w:t>
      </w:r>
    </w:p>
  </w:footnote>
  <w:footnote w:id="72">
    <w:p w:rsidR="00D80DCD" w:rsidRPr="004F1707" w:rsidRDefault="00D80DCD" w:rsidP="0054478A">
      <w:pPr>
        <w:pStyle w:val="FootnoteText"/>
        <w:jc w:val="both"/>
        <w:rPr>
          <w:rFonts w:ascii="Times New Roman" w:hAnsi="Times New Roman" w:cs="Times New Roman"/>
        </w:rPr>
      </w:pPr>
      <w:r w:rsidRPr="005416C3">
        <w:rPr>
          <w:rStyle w:val="FootnoteReference"/>
          <w:rFonts w:ascii="Times New Roman" w:hAnsi="Times New Roman" w:cs="Times New Roman"/>
        </w:rPr>
        <w:footnoteRef/>
      </w:r>
      <w:r w:rsidRPr="005416C3">
        <w:rPr>
          <w:rFonts w:ascii="Times New Roman" w:hAnsi="Times New Roman" w:cs="Times New Roman"/>
        </w:rPr>
        <w:t xml:space="preserve"> </w:t>
      </w:r>
      <w:r w:rsidR="005416C3" w:rsidRPr="005416C3">
        <w:rPr>
          <w:rFonts w:ascii="Times New Roman" w:hAnsi="Times New Roman" w:cs="Times New Roman"/>
        </w:rPr>
        <w:t>Ibid,</w:t>
      </w:r>
      <w:r w:rsidRPr="005416C3">
        <w:rPr>
          <w:rFonts w:ascii="Times New Roman" w:hAnsi="Times New Roman" w:cs="Times New Roman"/>
        </w:rPr>
        <w:t xml:space="preserve"> </w:t>
      </w:r>
      <w:r w:rsidR="008617ED" w:rsidRPr="005416C3">
        <w:rPr>
          <w:rFonts w:ascii="Times New Roman" w:hAnsi="Times New Roman" w:cs="Times New Roman"/>
        </w:rPr>
        <w:t xml:space="preserve">at </w:t>
      </w:r>
      <w:r w:rsidRPr="005416C3">
        <w:rPr>
          <w:rFonts w:ascii="Times New Roman" w:hAnsi="Times New Roman" w:cs="Times New Roman"/>
        </w:rPr>
        <w:t>72.</w:t>
      </w:r>
    </w:p>
  </w:footnote>
  <w:footnote w:id="73">
    <w:p w:rsidR="00D80DCD" w:rsidRPr="0004788F" w:rsidRDefault="00D80DCD" w:rsidP="004F1707">
      <w:pPr>
        <w:spacing w:after="0"/>
        <w:jc w:val="both"/>
        <w:rPr>
          <w:rFonts w:ascii="Times New Roman" w:hAnsi="Times New Roman" w:cs="Times New Roman"/>
          <w:sz w:val="20"/>
          <w:szCs w:val="20"/>
        </w:rPr>
      </w:pPr>
      <w:r w:rsidRPr="004F1707">
        <w:rPr>
          <w:rStyle w:val="FootnoteReference"/>
          <w:rFonts w:ascii="Times New Roman" w:hAnsi="Times New Roman" w:cs="Times New Roman"/>
          <w:sz w:val="20"/>
          <w:szCs w:val="20"/>
        </w:rPr>
        <w:footnoteRef/>
      </w:r>
      <w:r w:rsidRPr="004F1707">
        <w:rPr>
          <w:rFonts w:ascii="Times New Roman" w:hAnsi="Times New Roman" w:cs="Times New Roman"/>
          <w:sz w:val="20"/>
          <w:szCs w:val="20"/>
        </w:rPr>
        <w:t xml:space="preserve"> K</w:t>
      </w:r>
      <w:r w:rsidR="006414CF">
        <w:rPr>
          <w:rFonts w:ascii="Times New Roman" w:hAnsi="Times New Roman" w:cs="Times New Roman"/>
          <w:sz w:val="20"/>
          <w:szCs w:val="20"/>
        </w:rPr>
        <w:t>.</w:t>
      </w:r>
      <w:r w:rsidRPr="004F1707">
        <w:rPr>
          <w:rFonts w:ascii="Times New Roman" w:hAnsi="Times New Roman" w:cs="Times New Roman"/>
          <w:sz w:val="20"/>
          <w:szCs w:val="20"/>
        </w:rPr>
        <w:t xml:space="preserve"> </w:t>
      </w:r>
      <w:proofErr w:type="spellStart"/>
      <w:r w:rsidRPr="004F1707">
        <w:rPr>
          <w:rFonts w:ascii="Times New Roman" w:hAnsi="Times New Roman" w:cs="Times New Roman"/>
          <w:sz w:val="20"/>
          <w:szCs w:val="20"/>
        </w:rPr>
        <w:t>D’Hulster</w:t>
      </w:r>
      <w:proofErr w:type="spellEnd"/>
      <w:r w:rsidRPr="004F1707">
        <w:rPr>
          <w:rFonts w:ascii="Times New Roman" w:hAnsi="Times New Roman" w:cs="Times New Roman"/>
          <w:sz w:val="20"/>
          <w:szCs w:val="20"/>
        </w:rPr>
        <w:t xml:space="preserve"> and I</w:t>
      </w:r>
      <w:r w:rsidR="006414CF">
        <w:rPr>
          <w:rFonts w:ascii="Times New Roman" w:hAnsi="Times New Roman" w:cs="Times New Roman"/>
          <w:sz w:val="20"/>
          <w:szCs w:val="20"/>
        </w:rPr>
        <w:t>.</w:t>
      </w:r>
      <w:r w:rsidRPr="004F1707">
        <w:rPr>
          <w:rFonts w:ascii="Times New Roman" w:hAnsi="Times New Roman" w:cs="Times New Roman"/>
          <w:sz w:val="20"/>
          <w:szCs w:val="20"/>
        </w:rPr>
        <w:t xml:space="preserve"> </w:t>
      </w:r>
      <w:proofErr w:type="spellStart"/>
      <w:r w:rsidRPr="004F1707">
        <w:rPr>
          <w:rFonts w:ascii="Times New Roman" w:hAnsi="Times New Roman" w:cs="Times New Roman"/>
          <w:sz w:val="20"/>
          <w:szCs w:val="20"/>
        </w:rPr>
        <w:t>Ötker</w:t>
      </w:r>
      <w:proofErr w:type="spellEnd"/>
      <w:r w:rsidRPr="004F1707">
        <w:rPr>
          <w:rFonts w:ascii="Times New Roman" w:hAnsi="Times New Roman" w:cs="Times New Roman"/>
          <w:sz w:val="20"/>
          <w:szCs w:val="20"/>
        </w:rPr>
        <w:t xml:space="preserve">-Robe, </w:t>
      </w:r>
      <w:r w:rsidR="006414CF">
        <w:rPr>
          <w:rFonts w:ascii="Times New Roman" w:hAnsi="Times New Roman" w:cs="Times New Roman"/>
          <w:sz w:val="20"/>
          <w:szCs w:val="20"/>
        </w:rPr>
        <w:t>“</w:t>
      </w:r>
      <w:r w:rsidRPr="004F1707">
        <w:rPr>
          <w:rFonts w:ascii="Times New Roman" w:hAnsi="Times New Roman" w:cs="Times New Roman"/>
          <w:sz w:val="20"/>
          <w:szCs w:val="20"/>
        </w:rPr>
        <w:t xml:space="preserve">Ring-fencing cross-border banks: </w:t>
      </w:r>
      <w:r w:rsidR="005416C3">
        <w:rPr>
          <w:rFonts w:ascii="Times New Roman" w:hAnsi="Times New Roman" w:cs="Times New Roman"/>
          <w:sz w:val="20"/>
          <w:szCs w:val="20"/>
        </w:rPr>
        <w:t>a</w:t>
      </w:r>
      <w:r w:rsidRPr="004F1707">
        <w:rPr>
          <w:rFonts w:ascii="Times New Roman" w:hAnsi="Times New Roman" w:cs="Times New Roman"/>
          <w:sz w:val="20"/>
          <w:szCs w:val="20"/>
        </w:rPr>
        <w:t xml:space="preserve">n </w:t>
      </w:r>
      <w:r w:rsidR="005416C3">
        <w:rPr>
          <w:rFonts w:ascii="Times New Roman" w:hAnsi="Times New Roman" w:cs="Times New Roman"/>
          <w:sz w:val="20"/>
          <w:szCs w:val="20"/>
        </w:rPr>
        <w:t>e</w:t>
      </w:r>
      <w:r w:rsidRPr="004F1707">
        <w:rPr>
          <w:rFonts w:ascii="Times New Roman" w:hAnsi="Times New Roman" w:cs="Times New Roman"/>
          <w:sz w:val="20"/>
          <w:szCs w:val="20"/>
        </w:rPr>
        <w:t xml:space="preserve">ffective </w:t>
      </w:r>
      <w:r w:rsidR="005416C3">
        <w:rPr>
          <w:rFonts w:ascii="Times New Roman" w:hAnsi="Times New Roman" w:cs="Times New Roman"/>
          <w:sz w:val="20"/>
          <w:szCs w:val="20"/>
        </w:rPr>
        <w:t>s</w:t>
      </w:r>
      <w:r w:rsidRPr="004F1707">
        <w:rPr>
          <w:rFonts w:ascii="Times New Roman" w:hAnsi="Times New Roman" w:cs="Times New Roman"/>
          <w:sz w:val="20"/>
          <w:szCs w:val="20"/>
        </w:rPr>
        <w:t xml:space="preserve">upervisory </w:t>
      </w:r>
      <w:r w:rsidR="005416C3">
        <w:rPr>
          <w:rFonts w:ascii="Times New Roman" w:hAnsi="Times New Roman" w:cs="Times New Roman"/>
          <w:sz w:val="20"/>
          <w:szCs w:val="20"/>
        </w:rPr>
        <w:t>r</w:t>
      </w:r>
      <w:r w:rsidRPr="004F1707">
        <w:rPr>
          <w:rFonts w:ascii="Times New Roman" w:hAnsi="Times New Roman" w:cs="Times New Roman"/>
          <w:sz w:val="20"/>
          <w:szCs w:val="20"/>
        </w:rPr>
        <w:t>esponse?</w:t>
      </w:r>
      <w:r w:rsidR="008617ED" w:rsidRPr="004F1707">
        <w:rPr>
          <w:rFonts w:ascii="Times New Roman" w:hAnsi="Times New Roman" w:cs="Times New Roman"/>
          <w:sz w:val="20"/>
          <w:szCs w:val="20"/>
        </w:rPr>
        <w:t>”</w:t>
      </w:r>
      <w:r w:rsidRPr="004F1707">
        <w:rPr>
          <w:rFonts w:ascii="Times New Roman" w:hAnsi="Times New Roman" w:cs="Times New Roman"/>
          <w:sz w:val="20"/>
          <w:szCs w:val="20"/>
        </w:rPr>
        <w:t xml:space="preserve"> (2015) 16 </w:t>
      </w:r>
      <w:r w:rsidRPr="004F1707">
        <w:rPr>
          <w:rFonts w:ascii="Times New Roman" w:hAnsi="Times New Roman" w:cs="Times New Roman"/>
          <w:i/>
          <w:sz w:val="20"/>
          <w:szCs w:val="20"/>
        </w:rPr>
        <w:t>Journal of Banking Regulation</w:t>
      </w:r>
      <w:r w:rsidRPr="004F1707">
        <w:rPr>
          <w:rFonts w:ascii="Times New Roman" w:hAnsi="Times New Roman" w:cs="Times New Roman"/>
          <w:sz w:val="20"/>
          <w:szCs w:val="20"/>
        </w:rPr>
        <w:t xml:space="preserve"> 169.</w:t>
      </w:r>
    </w:p>
  </w:footnote>
  <w:footnote w:id="74">
    <w:p w:rsidR="00D80DCD" w:rsidRPr="0004788F" w:rsidRDefault="00D80DCD" w:rsidP="001306B5">
      <w:pPr>
        <w:spacing w:after="0"/>
        <w:jc w:val="both"/>
        <w:rPr>
          <w:rFonts w:ascii="Times New Roman" w:hAnsi="Times New Roman" w:cs="Times New Roman"/>
          <w:sz w:val="20"/>
          <w:szCs w:val="20"/>
        </w:rPr>
      </w:pPr>
      <w:r w:rsidRPr="0004788F">
        <w:rPr>
          <w:rStyle w:val="FootnoteReference"/>
          <w:rFonts w:ascii="Times New Roman" w:hAnsi="Times New Roman" w:cs="Times New Roman"/>
          <w:sz w:val="20"/>
          <w:szCs w:val="20"/>
        </w:rPr>
        <w:footnoteRef/>
      </w:r>
      <w:r w:rsidRPr="0004788F">
        <w:rPr>
          <w:rFonts w:ascii="Times New Roman" w:hAnsi="Times New Roman" w:cs="Times New Roman"/>
          <w:sz w:val="20"/>
          <w:szCs w:val="20"/>
        </w:rPr>
        <w:t xml:space="preserve"> James </w:t>
      </w:r>
      <w:proofErr w:type="spellStart"/>
      <w:r w:rsidRPr="0004788F">
        <w:rPr>
          <w:rFonts w:ascii="Times New Roman" w:hAnsi="Times New Roman" w:cs="Times New Roman"/>
          <w:sz w:val="20"/>
          <w:szCs w:val="20"/>
        </w:rPr>
        <w:t>Proudman</w:t>
      </w:r>
      <w:proofErr w:type="spellEnd"/>
      <w:r w:rsidRPr="0004788F">
        <w:rPr>
          <w:rFonts w:ascii="Times New Roman" w:hAnsi="Times New Roman" w:cs="Times New Roman"/>
          <w:sz w:val="20"/>
          <w:szCs w:val="20"/>
        </w:rPr>
        <w:t xml:space="preserve">, </w:t>
      </w:r>
      <w:r w:rsidR="001306B5">
        <w:rPr>
          <w:rFonts w:ascii="Times New Roman" w:hAnsi="Times New Roman" w:cs="Times New Roman"/>
          <w:sz w:val="20"/>
          <w:szCs w:val="20"/>
        </w:rPr>
        <w:t>“</w:t>
      </w:r>
      <w:r w:rsidRPr="0004788F">
        <w:rPr>
          <w:rFonts w:ascii="Times New Roman" w:hAnsi="Times New Roman" w:cs="Times New Roman"/>
          <w:sz w:val="20"/>
          <w:szCs w:val="20"/>
        </w:rPr>
        <w:t>Putting up a fence – a speech on the implementation of ring-fencing in the UK</w:t>
      </w:r>
      <w:r w:rsidR="001306B5">
        <w:rPr>
          <w:rFonts w:ascii="Times New Roman" w:hAnsi="Times New Roman" w:cs="Times New Roman"/>
          <w:sz w:val="20"/>
          <w:szCs w:val="20"/>
        </w:rPr>
        <w:t>”</w:t>
      </w:r>
      <w:r w:rsidRPr="0004788F">
        <w:rPr>
          <w:rFonts w:ascii="Times New Roman" w:hAnsi="Times New Roman" w:cs="Times New Roman"/>
          <w:sz w:val="20"/>
          <w:szCs w:val="20"/>
        </w:rPr>
        <w:t xml:space="preserve"> </w:t>
      </w:r>
      <w:r w:rsidRPr="0004788F">
        <w:rPr>
          <w:rFonts w:ascii="Times New Roman" w:hAnsi="Times New Roman" w:cs="Times New Roman"/>
          <w:i/>
          <w:sz w:val="20"/>
          <w:szCs w:val="20"/>
        </w:rPr>
        <w:t>British Bankers Association</w:t>
      </w:r>
      <w:r w:rsidRPr="0004788F">
        <w:rPr>
          <w:rFonts w:ascii="Times New Roman" w:hAnsi="Times New Roman" w:cs="Times New Roman"/>
          <w:sz w:val="20"/>
          <w:szCs w:val="20"/>
        </w:rPr>
        <w:t xml:space="preserve">, (London, 16 June 2017), </w:t>
      </w:r>
      <w:r w:rsidR="006414CF">
        <w:rPr>
          <w:rFonts w:ascii="Times New Roman" w:hAnsi="Times New Roman" w:cs="Times New Roman"/>
          <w:sz w:val="20"/>
          <w:szCs w:val="20"/>
        </w:rPr>
        <w:t xml:space="preserve">at </w:t>
      </w:r>
      <w:r w:rsidRPr="0004788F">
        <w:rPr>
          <w:rFonts w:ascii="Times New Roman" w:hAnsi="Times New Roman" w:cs="Times New Roman"/>
          <w:sz w:val="20"/>
          <w:szCs w:val="20"/>
        </w:rPr>
        <w:t xml:space="preserve">p.3. </w:t>
      </w:r>
      <w:r w:rsidRPr="008617ED">
        <w:rPr>
          <w:rFonts w:ascii="Times New Roman" w:hAnsi="Times New Roman" w:cs="Times New Roman"/>
          <w:sz w:val="20"/>
          <w:szCs w:val="20"/>
        </w:rPr>
        <w:t>&lt;</w:t>
      </w:r>
      <w:hyperlink r:id="rId19" w:history="1">
        <w:r w:rsidR="008617ED" w:rsidRPr="008617ED">
          <w:rPr>
            <w:rStyle w:val="Hyperlink"/>
            <w:rFonts w:ascii="Times New Roman" w:hAnsi="Times New Roman" w:cs="Times New Roman"/>
            <w:sz w:val="20"/>
            <w:szCs w:val="20"/>
          </w:rPr>
          <w:t>https://www.bankofengland.co.uk/speech/2017/putting-up-a-fence</w:t>
        </w:r>
      </w:hyperlink>
      <w:r w:rsidRPr="008617ED">
        <w:rPr>
          <w:rFonts w:ascii="Times New Roman" w:hAnsi="Times New Roman" w:cs="Times New Roman"/>
          <w:sz w:val="20"/>
          <w:szCs w:val="20"/>
        </w:rPr>
        <w:t>&gt;</w:t>
      </w:r>
      <w:r w:rsidRPr="0004788F">
        <w:rPr>
          <w:rFonts w:ascii="Times New Roman" w:hAnsi="Times New Roman" w:cs="Times New Roman"/>
          <w:sz w:val="20"/>
          <w:szCs w:val="20"/>
        </w:rPr>
        <w:t xml:space="preserve"> (accessed 08 </w:t>
      </w:r>
      <w:r w:rsidR="008617ED">
        <w:rPr>
          <w:rFonts w:ascii="Times New Roman" w:hAnsi="Times New Roman" w:cs="Times New Roman"/>
          <w:sz w:val="20"/>
          <w:szCs w:val="20"/>
        </w:rPr>
        <w:t>August</w:t>
      </w:r>
      <w:r w:rsidRPr="0004788F">
        <w:rPr>
          <w:rFonts w:ascii="Times New Roman" w:hAnsi="Times New Roman" w:cs="Times New Roman"/>
          <w:sz w:val="20"/>
          <w:szCs w:val="20"/>
        </w:rPr>
        <w:t xml:space="preserve"> 2022).</w:t>
      </w:r>
    </w:p>
  </w:footnote>
  <w:footnote w:id="75">
    <w:p w:rsidR="00D80DCD" w:rsidRPr="001306B5" w:rsidRDefault="00D80DCD" w:rsidP="001306B5">
      <w:pPr>
        <w:spacing w:after="0"/>
        <w:jc w:val="both"/>
        <w:rPr>
          <w:rFonts w:ascii="Times New Roman" w:hAnsi="Times New Roman" w:cs="Times New Roman"/>
          <w:color w:val="FF0000"/>
          <w:sz w:val="20"/>
          <w:szCs w:val="20"/>
        </w:rPr>
      </w:pPr>
      <w:r w:rsidRPr="0004788F">
        <w:rPr>
          <w:rStyle w:val="FootnoteReference"/>
          <w:rFonts w:ascii="Times New Roman" w:hAnsi="Times New Roman" w:cs="Times New Roman"/>
          <w:sz w:val="20"/>
          <w:szCs w:val="20"/>
        </w:rPr>
        <w:footnoteRef/>
      </w:r>
      <w:r w:rsidRPr="0004788F">
        <w:rPr>
          <w:rFonts w:ascii="Times New Roman" w:hAnsi="Times New Roman" w:cs="Times New Roman"/>
          <w:sz w:val="20"/>
          <w:szCs w:val="20"/>
        </w:rPr>
        <w:t xml:space="preserve"> Bank for International Settlements </w:t>
      </w:r>
      <w:r w:rsidR="001306B5" w:rsidRPr="001306B5">
        <w:rPr>
          <w:rFonts w:ascii="Times New Roman" w:hAnsi="Times New Roman" w:cs="Times New Roman"/>
          <w:sz w:val="20"/>
          <w:szCs w:val="20"/>
        </w:rPr>
        <w:t>(</w:t>
      </w:r>
      <w:r w:rsidRPr="001306B5">
        <w:rPr>
          <w:rFonts w:ascii="Times New Roman" w:hAnsi="Times New Roman" w:cs="Times New Roman"/>
          <w:sz w:val="20"/>
          <w:szCs w:val="20"/>
        </w:rPr>
        <w:t>BIS</w:t>
      </w:r>
      <w:r w:rsidR="001306B5" w:rsidRPr="001306B5">
        <w:rPr>
          <w:rFonts w:ascii="Times New Roman" w:hAnsi="Times New Roman" w:cs="Times New Roman"/>
          <w:sz w:val="20"/>
          <w:szCs w:val="20"/>
        </w:rPr>
        <w:t>)</w:t>
      </w:r>
      <w:r w:rsidRPr="001306B5">
        <w:rPr>
          <w:rFonts w:ascii="Times New Roman" w:hAnsi="Times New Roman" w:cs="Times New Roman"/>
          <w:sz w:val="20"/>
          <w:szCs w:val="20"/>
        </w:rPr>
        <w:t xml:space="preserve">, </w:t>
      </w:r>
      <w:r w:rsidR="001306B5">
        <w:rPr>
          <w:rFonts w:ascii="Times New Roman" w:hAnsi="Times New Roman" w:cs="Times New Roman"/>
          <w:sz w:val="20"/>
          <w:szCs w:val="20"/>
        </w:rPr>
        <w:t>“</w:t>
      </w:r>
      <w:r w:rsidRPr="0004788F">
        <w:rPr>
          <w:rFonts w:ascii="Times New Roman" w:hAnsi="Times New Roman" w:cs="Times New Roman"/>
          <w:sz w:val="20"/>
          <w:szCs w:val="20"/>
        </w:rPr>
        <w:t>The road to a more resilient banking sector</w:t>
      </w:r>
      <w:r w:rsidR="001306B5">
        <w:rPr>
          <w:rFonts w:ascii="Times New Roman" w:hAnsi="Times New Roman" w:cs="Times New Roman"/>
          <w:sz w:val="20"/>
          <w:szCs w:val="20"/>
        </w:rPr>
        <w:t>”</w:t>
      </w:r>
      <w:r w:rsidRPr="0004788F">
        <w:rPr>
          <w:rFonts w:ascii="Times New Roman" w:hAnsi="Times New Roman" w:cs="Times New Roman"/>
          <w:sz w:val="20"/>
          <w:szCs w:val="20"/>
        </w:rPr>
        <w:t xml:space="preserve"> </w:t>
      </w:r>
      <w:r w:rsidRPr="0004788F">
        <w:rPr>
          <w:rFonts w:ascii="Times New Roman" w:hAnsi="Times New Roman" w:cs="Times New Roman"/>
          <w:i/>
          <w:sz w:val="20"/>
          <w:szCs w:val="20"/>
        </w:rPr>
        <w:t>83</w:t>
      </w:r>
      <w:r w:rsidRPr="0004788F">
        <w:rPr>
          <w:rFonts w:ascii="Times New Roman" w:hAnsi="Times New Roman" w:cs="Times New Roman"/>
          <w:i/>
          <w:sz w:val="20"/>
          <w:szCs w:val="20"/>
          <w:vertAlign w:val="superscript"/>
        </w:rPr>
        <w:t>rd</w:t>
      </w:r>
      <w:r w:rsidRPr="0004788F">
        <w:rPr>
          <w:rFonts w:ascii="Times New Roman" w:hAnsi="Times New Roman" w:cs="Times New Roman"/>
          <w:i/>
          <w:sz w:val="20"/>
          <w:szCs w:val="20"/>
        </w:rPr>
        <w:t xml:space="preserve"> Annual Report</w:t>
      </w:r>
      <w:r w:rsidRPr="0004788F">
        <w:rPr>
          <w:rFonts w:ascii="Times New Roman" w:hAnsi="Times New Roman" w:cs="Times New Roman"/>
          <w:sz w:val="20"/>
          <w:szCs w:val="20"/>
        </w:rPr>
        <w:t>, (2013),</w:t>
      </w:r>
      <w:r w:rsidRPr="001306B5">
        <w:rPr>
          <w:rFonts w:ascii="Times New Roman" w:hAnsi="Times New Roman" w:cs="Times New Roman"/>
          <w:sz w:val="20"/>
          <w:szCs w:val="20"/>
        </w:rPr>
        <w:t>&lt;</w:t>
      </w:r>
      <w:hyperlink r:id="rId20" w:history="1">
        <w:r w:rsidR="001306B5" w:rsidRPr="001306B5">
          <w:rPr>
            <w:rStyle w:val="Hyperlink"/>
            <w:rFonts w:ascii="Times New Roman" w:hAnsi="Times New Roman" w:cs="Times New Roman"/>
            <w:sz w:val="20"/>
            <w:szCs w:val="20"/>
          </w:rPr>
          <w:t>https://www.bis.org/publ/arpdf/ar2013e.pdf?source=content_type%3Areact%7Cfirst_level_url%3Aarticle%7Csection%3Amain_content%7Cbutton%3Abody_link</w:t>
        </w:r>
      </w:hyperlink>
      <w:r w:rsidRPr="001306B5">
        <w:rPr>
          <w:rFonts w:ascii="Times New Roman" w:hAnsi="Times New Roman" w:cs="Times New Roman"/>
          <w:sz w:val="20"/>
          <w:szCs w:val="20"/>
        </w:rPr>
        <w:t>&gt;</w:t>
      </w:r>
      <w:r w:rsidRPr="0004788F">
        <w:rPr>
          <w:rFonts w:ascii="Times New Roman" w:hAnsi="Times New Roman" w:cs="Times New Roman"/>
          <w:sz w:val="20"/>
          <w:szCs w:val="20"/>
        </w:rPr>
        <w:t xml:space="preserve"> (accessed 12 </w:t>
      </w:r>
      <w:r w:rsidR="008617ED">
        <w:rPr>
          <w:rFonts w:ascii="Times New Roman" w:hAnsi="Times New Roman" w:cs="Times New Roman"/>
          <w:sz w:val="20"/>
          <w:szCs w:val="20"/>
        </w:rPr>
        <w:t>July</w:t>
      </w:r>
      <w:r w:rsidRPr="0004788F">
        <w:rPr>
          <w:rFonts w:ascii="Times New Roman" w:hAnsi="Times New Roman" w:cs="Times New Roman"/>
          <w:sz w:val="20"/>
          <w:szCs w:val="20"/>
        </w:rPr>
        <w:t xml:space="preserve"> 2022).</w:t>
      </w:r>
      <w:r w:rsidR="001306B5">
        <w:rPr>
          <w:rFonts w:ascii="Times New Roman" w:hAnsi="Times New Roman" w:cs="Times New Roman"/>
          <w:sz w:val="20"/>
          <w:szCs w:val="20"/>
        </w:rPr>
        <w:t xml:space="preserve"> </w:t>
      </w:r>
    </w:p>
  </w:footnote>
  <w:footnote w:id="76">
    <w:p w:rsidR="00D80DCD" w:rsidRPr="0004788F" w:rsidRDefault="00D80DCD" w:rsidP="001306B5">
      <w:pPr>
        <w:pStyle w:val="FootnoteText"/>
        <w:jc w:val="both"/>
        <w:rPr>
          <w:rFonts w:ascii="Times New Roman" w:hAnsi="Times New Roman" w:cs="Times New Roman"/>
        </w:rPr>
      </w:pPr>
      <w:r w:rsidRPr="006414CF">
        <w:rPr>
          <w:rStyle w:val="FootnoteReference"/>
          <w:rFonts w:ascii="Times New Roman" w:hAnsi="Times New Roman" w:cs="Times New Roman"/>
        </w:rPr>
        <w:footnoteRef/>
      </w:r>
      <w:r w:rsidRPr="006414CF">
        <w:rPr>
          <w:rFonts w:ascii="Times New Roman" w:hAnsi="Times New Roman" w:cs="Times New Roman"/>
        </w:rPr>
        <w:t xml:space="preserve"> Ibid, at p. 57. </w:t>
      </w:r>
    </w:p>
  </w:footnote>
  <w:footnote w:id="77">
    <w:p w:rsidR="00D80DCD" w:rsidRPr="006414CF" w:rsidRDefault="00D80DCD" w:rsidP="006414CF">
      <w:pPr>
        <w:pStyle w:val="FootnoteText"/>
        <w:jc w:val="both"/>
        <w:rPr>
          <w:rFonts w:ascii="Times New Roman" w:hAnsi="Times New Roman" w:cs="Times New Roman"/>
        </w:rPr>
      </w:pPr>
      <w:r w:rsidRPr="006414CF">
        <w:rPr>
          <w:rStyle w:val="FootnoteReference"/>
          <w:rFonts w:ascii="Times New Roman" w:hAnsi="Times New Roman" w:cs="Times New Roman"/>
        </w:rPr>
        <w:footnoteRef/>
      </w:r>
      <w:r w:rsidRPr="006414CF">
        <w:rPr>
          <w:rFonts w:ascii="Times New Roman" w:hAnsi="Times New Roman" w:cs="Times New Roman"/>
        </w:rPr>
        <w:t xml:space="preserve"> Ibid, at p. 57.</w:t>
      </w:r>
    </w:p>
  </w:footnote>
  <w:footnote w:id="78">
    <w:p w:rsidR="00D80DCD" w:rsidRPr="006414CF" w:rsidRDefault="00D80DCD" w:rsidP="006414CF">
      <w:pPr>
        <w:pStyle w:val="FootnoteText"/>
        <w:jc w:val="both"/>
        <w:rPr>
          <w:rFonts w:ascii="Times New Roman" w:hAnsi="Times New Roman" w:cs="Times New Roman"/>
        </w:rPr>
      </w:pPr>
      <w:r w:rsidRPr="006414CF">
        <w:rPr>
          <w:rStyle w:val="FootnoteReference"/>
          <w:rFonts w:ascii="Times New Roman" w:hAnsi="Times New Roman" w:cs="Times New Roman"/>
        </w:rPr>
        <w:footnoteRef/>
      </w:r>
      <w:r w:rsidRPr="006414CF">
        <w:rPr>
          <w:rFonts w:ascii="Times New Roman" w:hAnsi="Times New Roman" w:cs="Times New Roman"/>
        </w:rPr>
        <w:t xml:space="preserve"> A. Campbell and P. Moffatt, </w:t>
      </w:r>
      <w:r w:rsidR="006414CF">
        <w:rPr>
          <w:rFonts w:ascii="Times New Roman" w:hAnsi="Times New Roman" w:cs="Times New Roman"/>
        </w:rPr>
        <w:t>“</w:t>
      </w:r>
      <w:r w:rsidRPr="006414CF">
        <w:rPr>
          <w:rFonts w:ascii="Times New Roman" w:hAnsi="Times New Roman" w:cs="Times New Roman"/>
        </w:rPr>
        <w:t>Bank insolvency: the introduction of ring-fencing in the UK: an example to be followed?</w:t>
      </w:r>
      <w:r w:rsidR="006414CF">
        <w:rPr>
          <w:rFonts w:ascii="Times New Roman" w:hAnsi="Times New Roman" w:cs="Times New Roman"/>
        </w:rPr>
        <w:t xml:space="preserve">” </w:t>
      </w:r>
      <w:r w:rsidRPr="006414CF">
        <w:rPr>
          <w:rFonts w:ascii="Times New Roman" w:hAnsi="Times New Roman" w:cs="Times New Roman"/>
        </w:rPr>
        <w:t xml:space="preserve">[2019] 4 </w:t>
      </w:r>
      <w:r w:rsidR="0069317F" w:rsidRPr="0069317F">
        <w:rPr>
          <w:rFonts w:ascii="Times New Roman" w:hAnsi="Times New Roman" w:cs="Times New Roman"/>
          <w:i/>
        </w:rPr>
        <w:t>Journal of Business Law</w:t>
      </w:r>
      <w:r w:rsidR="0069317F">
        <w:rPr>
          <w:rFonts w:ascii="Times New Roman" w:hAnsi="Times New Roman" w:cs="Times New Roman"/>
        </w:rPr>
        <w:t xml:space="preserve">, </w:t>
      </w:r>
      <w:r w:rsidRPr="006414CF">
        <w:rPr>
          <w:rFonts w:ascii="Times New Roman" w:hAnsi="Times New Roman" w:cs="Times New Roman"/>
        </w:rPr>
        <w:t>241-261, at 244.</w:t>
      </w:r>
    </w:p>
  </w:footnote>
  <w:footnote w:id="79">
    <w:p w:rsidR="00D80DCD" w:rsidRPr="006414CF" w:rsidRDefault="00D80DCD" w:rsidP="006414CF">
      <w:pPr>
        <w:pStyle w:val="FootnoteText"/>
        <w:jc w:val="both"/>
        <w:rPr>
          <w:rFonts w:ascii="Times New Roman" w:hAnsi="Times New Roman" w:cs="Times New Roman"/>
          <w:color w:val="FF0000"/>
        </w:rPr>
      </w:pPr>
      <w:r w:rsidRPr="006414CF">
        <w:rPr>
          <w:rStyle w:val="FootnoteReference"/>
          <w:rFonts w:ascii="Times New Roman" w:hAnsi="Times New Roman" w:cs="Times New Roman"/>
        </w:rPr>
        <w:footnoteRef/>
      </w:r>
      <w:r w:rsidRPr="006414CF">
        <w:rPr>
          <w:rFonts w:ascii="Times New Roman" w:hAnsi="Times New Roman" w:cs="Times New Roman"/>
        </w:rPr>
        <w:t xml:space="preserve"> The Independent Commission </w:t>
      </w:r>
      <w:r w:rsidR="00A23C22" w:rsidRPr="006414CF">
        <w:rPr>
          <w:rFonts w:ascii="Times New Roman" w:hAnsi="Times New Roman" w:cs="Times New Roman"/>
        </w:rPr>
        <w:t xml:space="preserve">on Banking </w:t>
      </w:r>
      <w:r w:rsidR="001306B5" w:rsidRPr="006414CF">
        <w:rPr>
          <w:rFonts w:ascii="Times New Roman" w:hAnsi="Times New Roman" w:cs="Times New Roman"/>
        </w:rPr>
        <w:t>(</w:t>
      </w:r>
      <w:r w:rsidRPr="006414CF">
        <w:rPr>
          <w:rFonts w:ascii="Times New Roman" w:hAnsi="Times New Roman" w:cs="Times New Roman"/>
        </w:rPr>
        <w:t>ICB</w:t>
      </w:r>
      <w:r w:rsidR="001306B5" w:rsidRPr="006414CF">
        <w:rPr>
          <w:rFonts w:ascii="Times New Roman" w:hAnsi="Times New Roman" w:cs="Times New Roman"/>
        </w:rPr>
        <w:t>)</w:t>
      </w:r>
      <w:r w:rsidRPr="006414CF">
        <w:rPr>
          <w:rFonts w:ascii="Times New Roman" w:hAnsi="Times New Roman" w:cs="Times New Roman"/>
        </w:rPr>
        <w:t xml:space="preserve"> was</w:t>
      </w:r>
      <w:r w:rsidR="00A23C22" w:rsidRPr="006414CF">
        <w:rPr>
          <w:rFonts w:ascii="Times New Roman" w:hAnsi="Times New Roman" w:cs="Times New Roman"/>
        </w:rPr>
        <w:t xml:space="preserve"> established as</w:t>
      </w:r>
      <w:r w:rsidRPr="006414CF">
        <w:rPr>
          <w:rFonts w:ascii="Times New Roman" w:hAnsi="Times New Roman" w:cs="Times New Roman"/>
        </w:rPr>
        <w:t xml:space="preserve"> a United Kingdom government inquiry looking at structural and related non-structural reforms to the UK banking sector to promote financial stability and competition in the aftermath of the 2007-2008 financial crisis. Ring-fencing was one of the key proposals it recommended.&lt;</w:t>
      </w:r>
      <w:hyperlink r:id="rId21" w:history="1">
        <w:r w:rsidR="001306B5" w:rsidRPr="006414CF">
          <w:rPr>
            <w:rStyle w:val="Hyperlink"/>
            <w:rFonts w:ascii="Times New Roman" w:hAnsi="Times New Roman" w:cs="Times New Roman"/>
          </w:rPr>
          <w:t>https://webarchive.nationalarchives.gov.uk/ukgwa/20120827143059/http://bankingcommission.independent.gov.uk///</w:t>
        </w:r>
      </w:hyperlink>
      <w:r w:rsidRPr="006414CF">
        <w:rPr>
          <w:rFonts w:ascii="Times New Roman" w:hAnsi="Times New Roman" w:cs="Times New Roman"/>
        </w:rPr>
        <w:t>&gt;</w:t>
      </w:r>
      <w:r w:rsidRPr="006414CF">
        <w:rPr>
          <w:rFonts w:ascii="Times New Roman" w:hAnsi="Times New Roman" w:cs="Times New Roman"/>
          <w:color w:val="FF0000"/>
        </w:rPr>
        <w:t xml:space="preserve"> </w:t>
      </w:r>
      <w:r w:rsidRPr="006414CF">
        <w:rPr>
          <w:rFonts w:ascii="Times New Roman" w:hAnsi="Times New Roman" w:cs="Times New Roman"/>
        </w:rPr>
        <w:t xml:space="preserve">(accessed 10 </w:t>
      </w:r>
      <w:r w:rsidR="001306B5" w:rsidRPr="006414CF">
        <w:rPr>
          <w:rFonts w:ascii="Times New Roman" w:hAnsi="Times New Roman" w:cs="Times New Roman"/>
        </w:rPr>
        <w:t>July</w:t>
      </w:r>
      <w:r w:rsidRPr="006414CF">
        <w:rPr>
          <w:rFonts w:ascii="Times New Roman" w:hAnsi="Times New Roman" w:cs="Times New Roman"/>
        </w:rPr>
        <w:t xml:space="preserve"> 2022).</w:t>
      </w:r>
    </w:p>
  </w:footnote>
  <w:footnote w:id="80">
    <w:p w:rsidR="006414CF" w:rsidRDefault="006414CF" w:rsidP="006414CF">
      <w:pPr>
        <w:pStyle w:val="FootnoteText"/>
        <w:jc w:val="both"/>
      </w:pPr>
      <w:r w:rsidRPr="006414CF">
        <w:rPr>
          <w:rStyle w:val="FootnoteReference"/>
          <w:rFonts w:ascii="Times New Roman" w:hAnsi="Times New Roman" w:cs="Times New Roman"/>
        </w:rPr>
        <w:footnoteRef/>
      </w:r>
      <w:r w:rsidRPr="006414CF">
        <w:rPr>
          <w:rFonts w:ascii="Times New Roman" w:hAnsi="Times New Roman" w:cs="Times New Roman"/>
        </w:rPr>
        <w:t xml:space="preserve"> Independent Commission on Banking, </w:t>
      </w:r>
      <w:r w:rsidRPr="006414CF">
        <w:rPr>
          <w:rFonts w:ascii="Times New Roman" w:hAnsi="Times New Roman" w:cs="Times New Roman"/>
          <w:i/>
        </w:rPr>
        <w:t>Final Report Recommendations</w:t>
      </w:r>
      <w:r w:rsidRPr="006414CF">
        <w:rPr>
          <w:rFonts w:ascii="Times New Roman" w:hAnsi="Times New Roman" w:cs="Times New Roman"/>
        </w:rPr>
        <w:t xml:space="preserve"> (also known as the </w:t>
      </w:r>
      <w:r w:rsidRPr="006414CF">
        <w:rPr>
          <w:rFonts w:ascii="Times New Roman" w:hAnsi="Times New Roman" w:cs="Times New Roman"/>
          <w:i/>
        </w:rPr>
        <w:t xml:space="preserve">Vickers Report </w:t>
      </w:r>
      <w:r w:rsidRPr="006414CF">
        <w:rPr>
          <w:rFonts w:ascii="Times New Roman" w:hAnsi="Times New Roman" w:cs="Times New Roman"/>
        </w:rPr>
        <w:t>2013). See, &lt;</w:t>
      </w:r>
      <w:hyperlink r:id="rId22" w:history="1">
        <w:r w:rsidRPr="006414CF">
          <w:rPr>
            <w:rStyle w:val="Hyperlink"/>
            <w:rFonts w:ascii="Times New Roman" w:hAnsi="Times New Roman" w:cs="Times New Roman"/>
          </w:rPr>
          <w:t>https://researchbriefings.files.parliament.uk/documents/SN06171/SN06171.pdf</w:t>
        </w:r>
      </w:hyperlink>
      <w:r w:rsidRPr="006414CF">
        <w:rPr>
          <w:rFonts w:ascii="Times New Roman" w:hAnsi="Times New Roman" w:cs="Times New Roman"/>
        </w:rPr>
        <w:t xml:space="preserve"> &gt; (accessed 29 July 2022).</w:t>
      </w:r>
    </w:p>
  </w:footnote>
  <w:footnote w:id="81">
    <w:p w:rsidR="00D80DCD" w:rsidRPr="00A23C22" w:rsidRDefault="00D80DCD" w:rsidP="0004788F">
      <w:pPr>
        <w:pStyle w:val="FootnoteText"/>
        <w:jc w:val="both"/>
        <w:rPr>
          <w:rFonts w:ascii="Times New Roman" w:hAnsi="Times New Roman" w:cs="Times New Roman"/>
        </w:rPr>
      </w:pPr>
      <w:r w:rsidRPr="00A23C22">
        <w:rPr>
          <w:rStyle w:val="FootnoteReference"/>
          <w:rFonts w:ascii="Times New Roman" w:hAnsi="Times New Roman" w:cs="Times New Roman"/>
        </w:rPr>
        <w:footnoteRef/>
      </w:r>
      <w:r w:rsidRPr="00A23C22">
        <w:rPr>
          <w:rFonts w:ascii="Times New Roman" w:hAnsi="Times New Roman" w:cs="Times New Roman"/>
        </w:rPr>
        <w:t xml:space="preserve"> Vickers Report</w:t>
      </w:r>
      <w:r w:rsidR="00A23C22" w:rsidRPr="00A23C22">
        <w:rPr>
          <w:rFonts w:ascii="Times New Roman" w:hAnsi="Times New Roman" w:cs="Times New Roman"/>
        </w:rPr>
        <w:t xml:space="preserve">, </w:t>
      </w:r>
      <w:r w:rsidRPr="00A23C22">
        <w:rPr>
          <w:rFonts w:ascii="Times New Roman" w:hAnsi="Times New Roman" w:cs="Times New Roman"/>
        </w:rPr>
        <w:t>pp.36, 62.</w:t>
      </w:r>
    </w:p>
  </w:footnote>
  <w:footnote w:id="82">
    <w:p w:rsidR="00D80DCD" w:rsidRPr="0004788F" w:rsidRDefault="00D80DCD" w:rsidP="0004788F">
      <w:pPr>
        <w:pStyle w:val="FootnoteText"/>
        <w:jc w:val="both"/>
        <w:rPr>
          <w:rFonts w:ascii="Times New Roman" w:hAnsi="Times New Roman" w:cs="Times New Roman"/>
          <w:color w:val="FF0000"/>
        </w:rPr>
      </w:pPr>
      <w:r w:rsidRPr="00A23C22">
        <w:rPr>
          <w:rStyle w:val="FootnoteReference"/>
          <w:rFonts w:ascii="Times New Roman" w:hAnsi="Times New Roman" w:cs="Times New Roman"/>
        </w:rPr>
        <w:footnoteRef/>
      </w:r>
      <w:r w:rsidRPr="00A23C22">
        <w:rPr>
          <w:rFonts w:ascii="Times New Roman" w:hAnsi="Times New Roman" w:cs="Times New Roman"/>
        </w:rPr>
        <w:t xml:space="preserve"> Vickers Report, pp. 38, 41.</w:t>
      </w:r>
    </w:p>
  </w:footnote>
  <w:footnote w:id="83">
    <w:p w:rsidR="00D80DCD" w:rsidRPr="0004788F" w:rsidRDefault="00D80DCD" w:rsidP="0004788F">
      <w:pPr>
        <w:pStyle w:val="FootnoteText"/>
        <w:jc w:val="both"/>
        <w:rPr>
          <w:rFonts w:ascii="Times New Roman" w:hAnsi="Times New Roman" w:cs="Times New Roman"/>
          <w:color w:val="FF0000"/>
        </w:rPr>
      </w:pPr>
      <w:r w:rsidRPr="00A23C22">
        <w:rPr>
          <w:rStyle w:val="FootnoteReference"/>
          <w:rFonts w:ascii="Times New Roman" w:hAnsi="Times New Roman" w:cs="Times New Roman"/>
        </w:rPr>
        <w:footnoteRef/>
      </w:r>
      <w:r w:rsidRPr="00A23C22">
        <w:rPr>
          <w:rFonts w:ascii="Times New Roman" w:hAnsi="Times New Roman" w:cs="Times New Roman"/>
        </w:rPr>
        <w:t xml:space="preserve"> Vickers Report, pp 51, 52.</w:t>
      </w:r>
    </w:p>
  </w:footnote>
  <w:footnote w:id="84">
    <w:p w:rsidR="00D80DCD" w:rsidRPr="0004788F" w:rsidRDefault="00D80DCD" w:rsidP="0004788F">
      <w:pPr>
        <w:pStyle w:val="FootnoteTex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Vickers Report, pp 52, 53.</w:t>
      </w:r>
    </w:p>
  </w:footnote>
  <w:footnote w:id="85">
    <w:p w:rsidR="00D80DCD" w:rsidRPr="00A23C22" w:rsidRDefault="00D80DCD" w:rsidP="0004788F">
      <w:pPr>
        <w:spacing w:after="0" w:line="240" w:lineRule="exact"/>
        <w:jc w:val="both"/>
        <w:rPr>
          <w:rFonts w:ascii="Times New Roman" w:hAnsi="Times New Roman" w:cs="Times New Roman"/>
          <w:color w:val="FF0000"/>
          <w:sz w:val="20"/>
          <w:szCs w:val="20"/>
        </w:rPr>
      </w:pPr>
      <w:r w:rsidRPr="0004788F">
        <w:rPr>
          <w:rStyle w:val="FootnoteReference"/>
          <w:rFonts w:ascii="Times New Roman" w:hAnsi="Times New Roman" w:cs="Times New Roman"/>
          <w:sz w:val="20"/>
          <w:szCs w:val="20"/>
        </w:rPr>
        <w:footnoteRef/>
      </w:r>
      <w:r w:rsidRPr="0004788F">
        <w:rPr>
          <w:rFonts w:ascii="Times New Roman" w:hAnsi="Times New Roman" w:cs="Times New Roman"/>
          <w:sz w:val="20"/>
          <w:szCs w:val="20"/>
        </w:rPr>
        <w:t xml:space="preserve"> Financial Stability Board, </w:t>
      </w:r>
      <w:r w:rsidRPr="0004788F">
        <w:rPr>
          <w:rFonts w:ascii="Times New Roman" w:hAnsi="Times New Roman" w:cs="Times New Roman"/>
          <w:i/>
          <w:sz w:val="20"/>
          <w:szCs w:val="20"/>
        </w:rPr>
        <w:t>Structural Banking Reforms: Cross-border consistencies and global financial stability implications - Report to G20 Leaders for the November 2014 Summit</w:t>
      </w:r>
      <w:r w:rsidRPr="0004788F">
        <w:rPr>
          <w:rFonts w:ascii="Times New Roman" w:hAnsi="Times New Roman" w:cs="Times New Roman"/>
          <w:sz w:val="20"/>
          <w:szCs w:val="20"/>
        </w:rPr>
        <w:t xml:space="preserve">, </w:t>
      </w:r>
      <w:r w:rsidR="00DB3EA5">
        <w:rPr>
          <w:rFonts w:ascii="Times New Roman" w:hAnsi="Times New Roman" w:cs="Times New Roman"/>
          <w:sz w:val="20"/>
          <w:szCs w:val="20"/>
        </w:rPr>
        <w:t xml:space="preserve"> at </w:t>
      </w:r>
      <w:r w:rsidRPr="0004788F">
        <w:rPr>
          <w:rFonts w:ascii="Times New Roman" w:hAnsi="Times New Roman" w:cs="Times New Roman"/>
          <w:sz w:val="20"/>
          <w:szCs w:val="20"/>
        </w:rPr>
        <w:t xml:space="preserve">pp 1, 2. </w:t>
      </w:r>
      <w:r w:rsidRPr="00A23C22">
        <w:rPr>
          <w:rFonts w:ascii="Times New Roman" w:hAnsi="Times New Roman" w:cs="Times New Roman"/>
          <w:sz w:val="20"/>
          <w:szCs w:val="20"/>
        </w:rPr>
        <w:t>&lt;</w:t>
      </w:r>
      <w:hyperlink r:id="rId23" w:history="1">
        <w:r w:rsidR="00A23C22" w:rsidRPr="00A23C22">
          <w:rPr>
            <w:rStyle w:val="Hyperlink"/>
            <w:rFonts w:ascii="Times New Roman" w:hAnsi="Times New Roman" w:cs="Times New Roman"/>
            <w:sz w:val="20"/>
            <w:szCs w:val="20"/>
          </w:rPr>
          <w:t>https://www.fsb.org/wp-content/uploads/r_141027.pdf%3E</w:t>
        </w:r>
      </w:hyperlink>
      <w:r w:rsidRPr="00A23C22">
        <w:rPr>
          <w:rFonts w:ascii="Times New Roman" w:hAnsi="Times New Roman" w:cs="Times New Roman"/>
          <w:sz w:val="20"/>
          <w:szCs w:val="20"/>
        </w:rPr>
        <w:t>&gt;</w:t>
      </w:r>
      <w:r w:rsidRPr="0004788F">
        <w:rPr>
          <w:rFonts w:ascii="Times New Roman" w:hAnsi="Times New Roman" w:cs="Times New Roman"/>
          <w:sz w:val="20"/>
          <w:szCs w:val="20"/>
        </w:rPr>
        <w:t xml:space="preserve"> (accessed 05 </w:t>
      </w:r>
      <w:r w:rsidR="00A23C22">
        <w:rPr>
          <w:rFonts w:ascii="Times New Roman" w:hAnsi="Times New Roman" w:cs="Times New Roman"/>
          <w:sz w:val="20"/>
          <w:szCs w:val="20"/>
        </w:rPr>
        <w:t>July</w:t>
      </w:r>
      <w:r w:rsidRPr="0004788F">
        <w:rPr>
          <w:rFonts w:ascii="Times New Roman" w:hAnsi="Times New Roman" w:cs="Times New Roman"/>
          <w:sz w:val="20"/>
          <w:szCs w:val="20"/>
        </w:rPr>
        <w:t xml:space="preserve"> 2022).</w:t>
      </w:r>
    </w:p>
  </w:footnote>
  <w:footnote w:id="86">
    <w:p w:rsidR="00D80DCD" w:rsidRPr="0004788F" w:rsidRDefault="00D80DCD" w:rsidP="0004788F">
      <w:pPr>
        <w:pStyle w:val="FootnoteText"/>
        <w:spacing w:line="240" w:lineRule="exact"/>
        <w:jc w:val="both"/>
        <w:rPr>
          <w:rFonts w:ascii="Times New Roman" w:hAnsi="Times New Roman" w:cs="Times New Roman"/>
        </w:rPr>
      </w:pPr>
      <w:r w:rsidRPr="0004788F">
        <w:rPr>
          <w:rStyle w:val="FootnoteReference"/>
          <w:rFonts w:ascii="Times New Roman" w:hAnsi="Times New Roman" w:cs="Times New Roman"/>
        </w:rPr>
        <w:footnoteRef/>
      </w:r>
      <w:r w:rsidRPr="0004788F">
        <w:rPr>
          <w:rFonts w:ascii="Times New Roman" w:hAnsi="Times New Roman" w:cs="Times New Roman"/>
        </w:rPr>
        <w:t xml:space="preserve"> Ibid, at </w:t>
      </w:r>
      <w:proofErr w:type="spellStart"/>
      <w:r w:rsidRPr="0004788F">
        <w:rPr>
          <w:rFonts w:ascii="Times New Roman" w:hAnsi="Times New Roman" w:cs="Times New Roman"/>
        </w:rPr>
        <w:t>pg</w:t>
      </w:r>
      <w:proofErr w:type="spellEnd"/>
      <w:r w:rsidRPr="0004788F">
        <w:rPr>
          <w:rFonts w:ascii="Times New Roman" w:hAnsi="Times New Roman" w:cs="Times New Roman"/>
        </w:rPr>
        <w:t xml:space="preserve"> 2.</w:t>
      </w:r>
    </w:p>
  </w:footnote>
  <w:footnote w:id="87">
    <w:p w:rsidR="004342A8" w:rsidRPr="00BA57E3" w:rsidRDefault="004342A8" w:rsidP="00BA57E3">
      <w:pPr>
        <w:pStyle w:val="FootnoteText"/>
        <w:jc w:val="both"/>
        <w:rPr>
          <w:rFonts w:ascii="Times New Roman" w:hAnsi="Times New Roman" w:cs="Times New Roman"/>
        </w:rPr>
      </w:pPr>
      <w:r w:rsidRPr="00BA57E3">
        <w:rPr>
          <w:rStyle w:val="FootnoteReference"/>
          <w:rFonts w:ascii="Times New Roman" w:hAnsi="Times New Roman" w:cs="Times New Roman"/>
        </w:rPr>
        <w:footnoteRef/>
      </w:r>
      <w:r w:rsidRPr="00BA57E3">
        <w:rPr>
          <w:rFonts w:ascii="Times New Roman" w:hAnsi="Times New Roman" w:cs="Times New Roman"/>
        </w:rPr>
        <w:t xml:space="preserve"> A. Campbell and P. Moffatt, 2016. “Bank insolvency: how can ring-fencing ensure the continuity of banking services in an insolvent banking group?” In: R. Parry and P.J. Omar, eds., </w:t>
      </w:r>
      <w:r w:rsidRPr="00BA57E3">
        <w:rPr>
          <w:rFonts w:ascii="Times New Roman" w:hAnsi="Times New Roman" w:cs="Times New Roman"/>
          <w:i/>
        </w:rPr>
        <w:t>Banking and financial insolvencies: the European regulatory framework: papers from the INSOL Europe Academic Forum Annual Conference,</w:t>
      </w:r>
      <w:r w:rsidRPr="00BA57E3">
        <w:rPr>
          <w:rFonts w:ascii="Times New Roman" w:hAnsi="Times New Roman" w:cs="Times New Roman"/>
        </w:rPr>
        <w:t xml:space="preserve"> (Berlin, Germany), 30 September-1 October 2015. (Nottingham: INSOL Europe, 2016), pp. 3-11.</w:t>
      </w:r>
    </w:p>
  </w:footnote>
  <w:footnote w:id="88">
    <w:p w:rsidR="00563C14" w:rsidRPr="00BA57E3" w:rsidRDefault="00563C14" w:rsidP="00BA57E3">
      <w:pPr>
        <w:pStyle w:val="FootnoteText"/>
        <w:jc w:val="both"/>
        <w:rPr>
          <w:rFonts w:ascii="Times New Roman" w:hAnsi="Times New Roman" w:cs="Times New Roman"/>
        </w:rPr>
      </w:pPr>
      <w:r w:rsidRPr="00BA57E3">
        <w:rPr>
          <w:rStyle w:val="FootnoteReference"/>
          <w:rFonts w:ascii="Times New Roman" w:hAnsi="Times New Roman" w:cs="Times New Roman"/>
        </w:rPr>
        <w:footnoteRef/>
      </w:r>
      <w:r w:rsidRPr="00BA57E3">
        <w:rPr>
          <w:rFonts w:ascii="Times New Roman" w:hAnsi="Times New Roman" w:cs="Times New Roman"/>
        </w:rPr>
        <w:t xml:space="preserve"> Steven L. </w:t>
      </w:r>
      <w:proofErr w:type="spellStart"/>
      <w:r w:rsidRPr="00BA57E3">
        <w:rPr>
          <w:rFonts w:ascii="Times New Roman" w:hAnsi="Times New Roman" w:cs="Times New Roman"/>
        </w:rPr>
        <w:t>Schwarcz</w:t>
      </w:r>
      <w:proofErr w:type="spellEnd"/>
      <w:r w:rsidRPr="00BA57E3">
        <w:rPr>
          <w:rFonts w:ascii="Times New Roman" w:hAnsi="Times New Roman" w:cs="Times New Roman"/>
        </w:rPr>
        <w:t xml:space="preserve">, </w:t>
      </w:r>
      <w:r w:rsidR="00336187">
        <w:rPr>
          <w:rFonts w:ascii="Times New Roman" w:hAnsi="Times New Roman" w:cs="Times New Roman"/>
        </w:rPr>
        <w:t>“</w:t>
      </w:r>
      <w:r w:rsidRPr="00BA57E3">
        <w:rPr>
          <w:rFonts w:ascii="Times New Roman" w:hAnsi="Times New Roman" w:cs="Times New Roman"/>
        </w:rPr>
        <w:t>Ring-Fencing</w:t>
      </w:r>
      <w:r w:rsidR="00336187">
        <w:rPr>
          <w:rFonts w:ascii="Times New Roman" w:hAnsi="Times New Roman" w:cs="Times New Roman"/>
        </w:rPr>
        <w:t>”</w:t>
      </w:r>
      <w:r w:rsidRPr="00BA57E3">
        <w:rPr>
          <w:rFonts w:ascii="Times New Roman" w:hAnsi="Times New Roman" w:cs="Times New Roman"/>
        </w:rPr>
        <w:t xml:space="preserve"> (2014) 87 </w:t>
      </w:r>
      <w:r w:rsidRPr="00BA57E3">
        <w:rPr>
          <w:rFonts w:ascii="Times New Roman" w:hAnsi="Times New Roman" w:cs="Times New Roman"/>
          <w:i/>
        </w:rPr>
        <w:t>Southern California Law Review</w:t>
      </w:r>
      <w:r w:rsidRPr="00BA57E3">
        <w:rPr>
          <w:rFonts w:ascii="Times New Roman" w:hAnsi="Times New Roman" w:cs="Times New Roman"/>
        </w:rPr>
        <w:t xml:space="preserve"> 69, 84.</w:t>
      </w:r>
    </w:p>
  </w:footnote>
  <w:footnote w:id="89">
    <w:p w:rsidR="00336187" w:rsidRPr="00336187" w:rsidRDefault="00336187" w:rsidP="00336187">
      <w:pPr>
        <w:pStyle w:val="FootnoteText"/>
        <w:jc w:val="both"/>
        <w:rPr>
          <w:rFonts w:ascii="Times New Roman" w:hAnsi="Times New Roman" w:cs="Times New Roman"/>
        </w:rPr>
      </w:pPr>
      <w:r w:rsidRPr="00336187">
        <w:rPr>
          <w:rStyle w:val="FootnoteReference"/>
          <w:rFonts w:ascii="Times New Roman" w:hAnsi="Times New Roman" w:cs="Times New Roman"/>
        </w:rPr>
        <w:footnoteRef/>
      </w:r>
      <w:r w:rsidRPr="00336187">
        <w:rPr>
          <w:rFonts w:ascii="Times New Roman" w:hAnsi="Times New Roman" w:cs="Times New Roman"/>
        </w:rPr>
        <w:t xml:space="preserve"> </w:t>
      </w:r>
      <w:bookmarkStart w:id="8" w:name="_Hlk112165063"/>
      <w:r w:rsidRPr="00336187">
        <w:rPr>
          <w:rFonts w:ascii="Times New Roman" w:hAnsi="Times New Roman" w:cs="Times New Roman"/>
        </w:rPr>
        <w:t xml:space="preserve">P. Moffatt and A. Campbell, “UK depositor protection in the aftermath of the banking crisis” (2010) </w:t>
      </w:r>
      <w:r w:rsidRPr="00336187">
        <w:rPr>
          <w:rFonts w:ascii="Times New Roman" w:hAnsi="Times New Roman" w:cs="Times New Roman"/>
          <w:i/>
        </w:rPr>
        <w:t>Journal of International Banking Law and Regulation</w:t>
      </w:r>
      <w:r w:rsidRPr="00336187">
        <w:rPr>
          <w:rFonts w:ascii="Times New Roman" w:hAnsi="Times New Roman" w:cs="Times New Roman"/>
        </w:rPr>
        <w:t>, 25 (10), pp. 486-49</w:t>
      </w:r>
      <w:bookmarkEnd w:id="8"/>
      <w:r w:rsidRPr="00336187">
        <w:rPr>
          <w:rFonts w:ascii="Times New Roman" w:hAnsi="Times New Roman" w:cs="Times New Roman"/>
        </w:rPr>
        <w:t xml:space="preserve">; A. Campbell and P. Moffatt, “Protecting Bank Depositors after Cyprus” (2013) 1 </w:t>
      </w:r>
      <w:proofErr w:type="spellStart"/>
      <w:r w:rsidRPr="00336187">
        <w:rPr>
          <w:rFonts w:ascii="Times New Roman" w:hAnsi="Times New Roman" w:cs="Times New Roman"/>
        </w:rPr>
        <w:t>NIBLeJ</w:t>
      </w:r>
      <w:proofErr w:type="spellEnd"/>
      <w:r w:rsidRPr="00336187">
        <w:rPr>
          <w:rFonts w:ascii="Times New Roman" w:hAnsi="Times New Roman" w:cs="Times New Roman"/>
        </w:rPr>
        <w:t xml:space="preserve"> 4.</w:t>
      </w:r>
    </w:p>
  </w:footnote>
  <w:footnote w:id="90">
    <w:p w:rsidR="00563C14" w:rsidRPr="00336187" w:rsidRDefault="00563C14" w:rsidP="00336187">
      <w:pPr>
        <w:pStyle w:val="FootnoteText"/>
        <w:spacing w:line="240" w:lineRule="exact"/>
        <w:jc w:val="both"/>
        <w:rPr>
          <w:rFonts w:ascii="Times New Roman" w:hAnsi="Times New Roman" w:cs="Times New Roman"/>
        </w:rPr>
      </w:pPr>
      <w:r w:rsidRPr="00336187">
        <w:rPr>
          <w:rStyle w:val="FootnoteReference"/>
          <w:rFonts w:ascii="Times New Roman" w:hAnsi="Times New Roman" w:cs="Times New Roman"/>
        </w:rPr>
        <w:footnoteRef/>
      </w:r>
      <w:r w:rsidRPr="00336187">
        <w:rPr>
          <w:rFonts w:ascii="Times New Roman" w:hAnsi="Times New Roman" w:cs="Times New Roman"/>
        </w:rPr>
        <w:t xml:space="preserve"> Financial Services (Banking Reform) Act 2013, c.33. See particularly, Part 1 of the Act and the insertion of Part 9B on ring-fencing into the Financial Services and Market Act 2000.</w:t>
      </w:r>
    </w:p>
  </w:footnote>
  <w:footnote w:id="91">
    <w:p w:rsidR="00563C14" w:rsidRPr="008A2F5B" w:rsidRDefault="00563C14" w:rsidP="008A2F5B">
      <w:pPr>
        <w:pStyle w:val="FootnoteText"/>
        <w:spacing w:line="240" w:lineRule="exact"/>
        <w:jc w:val="both"/>
        <w:rPr>
          <w:rFonts w:ascii="Times New Roman" w:hAnsi="Times New Roman" w:cs="Times New Roman"/>
        </w:rPr>
      </w:pPr>
      <w:r w:rsidRPr="008A2F5B">
        <w:rPr>
          <w:rStyle w:val="FootnoteReference"/>
          <w:rFonts w:ascii="Times New Roman" w:hAnsi="Times New Roman" w:cs="Times New Roman"/>
        </w:rPr>
        <w:footnoteRef/>
      </w:r>
      <w:r w:rsidRPr="008A2F5B">
        <w:rPr>
          <w:rFonts w:ascii="Times New Roman" w:hAnsi="Times New Roman" w:cs="Times New Roman"/>
        </w:rPr>
        <w:t xml:space="preserve"> Financial Services and Markets Act 2000, c.8.</w:t>
      </w:r>
    </w:p>
  </w:footnote>
  <w:footnote w:id="92">
    <w:p w:rsidR="00563C14" w:rsidRPr="008A2F5B" w:rsidRDefault="00563C14" w:rsidP="008A2F5B">
      <w:pPr>
        <w:spacing w:after="0" w:line="240" w:lineRule="exact"/>
        <w:jc w:val="both"/>
        <w:rPr>
          <w:rFonts w:ascii="Times New Roman" w:hAnsi="Times New Roman" w:cs="Times New Roman"/>
          <w:sz w:val="20"/>
          <w:szCs w:val="20"/>
        </w:rPr>
      </w:pPr>
      <w:r w:rsidRPr="008A2F5B">
        <w:rPr>
          <w:rStyle w:val="FootnoteReference"/>
          <w:rFonts w:ascii="Times New Roman" w:hAnsi="Times New Roman" w:cs="Times New Roman"/>
          <w:sz w:val="20"/>
          <w:szCs w:val="20"/>
        </w:rPr>
        <w:footnoteRef/>
      </w:r>
      <w:r w:rsidRPr="008A2F5B">
        <w:rPr>
          <w:rFonts w:ascii="Times New Roman" w:hAnsi="Times New Roman" w:cs="Times New Roman"/>
          <w:sz w:val="20"/>
          <w:szCs w:val="20"/>
        </w:rPr>
        <w:t xml:space="preserve"> Generally, see Part 9B; Chapter 2, sections 2A, 2AB and 2B – on the amendment to Prudential Regulatory Authority (Bank of England)’s functions and general objectives. Particularly, see s.2B(4A) (a) - (d) on ring-fencing, ring-fenced bodies and body corporates that have a ring-fenced body as a member of its group.</w:t>
      </w:r>
    </w:p>
  </w:footnote>
  <w:footnote w:id="93">
    <w:p w:rsidR="008A2F5B" w:rsidRPr="008A2F5B" w:rsidRDefault="008A2F5B" w:rsidP="008A2F5B">
      <w:pPr>
        <w:pStyle w:val="FootnoteText"/>
        <w:jc w:val="both"/>
        <w:rPr>
          <w:rFonts w:ascii="Times New Roman" w:hAnsi="Times New Roman" w:cs="Times New Roman"/>
        </w:rPr>
      </w:pPr>
      <w:r w:rsidRPr="008A2F5B">
        <w:rPr>
          <w:rStyle w:val="FootnoteReference"/>
          <w:rFonts w:ascii="Times New Roman" w:hAnsi="Times New Roman" w:cs="Times New Roman"/>
        </w:rPr>
        <w:footnoteRef/>
      </w:r>
      <w:r w:rsidRPr="008A2F5B">
        <w:rPr>
          <w:rFonts w:ascii="Times New Roman" w:hAnsi="Times New Roman" w:cs="Times New Roman"/>
        </w:rPr>
        <w:t xml:space="preserve"> I. Mbiti, and D. Weil, “Mobile banking: The impact of M-</w:t>
      </w:r>
      <w:proofErr w:type="spellStart"/>
      <w:r w:rsidRPr="008A2F5B">
        <w:rPr>
          <w:rFonts w:ascii="Times New Roman" w:hAnsi="Times New Roman" w:cs="Times New Roman"/>
        </w:rPr>
        <w:t>Pesa</w:t>
      </w:r>
      <w:proofErr w:type="spellEnd"/>
      <w:r w:rsidRPr="008A2F5B">
        <w:rPr>
          <w:rFonts w:ascii="Times New Roman" w:hAnsi="Times New Roman" w:cs="Times New Roman"/>
        </w:rPr>
        <w:t xml:space="preserve"> in Kenya” in S. Edwards, S. Johnson, &amp; D. Weil (eds.), </w:t>
      </w:r>
      <w:r w:rsidRPr="008A2F5B">
        <w:rPr>
          <w:rFonts w:ascii="Times New Roman" w:hAnsi="Times New Roman" w:cs="Times New Roman"/>
          <w:i/>
        </w:rPr>
        <w:t>African successes, Volume III: Modernization and development</w:t>
      </w:r>
      <w:r w:rsidRPr="008A2F5B">
        <w:rPr>
          <w:rFonts w:ascii="Times New Roman" w:hAnsi="Times New Roman" w:cs="Times New Roman"/>
        </w:rPr>
        <w:t xml:space="preserve"> (Chicago, University of Chicago Press, 2016) pp. 247-293. </w:t>
      </w:r>
    </w:p>
  </w:footnote>
  <w:footnote w:id="94">
    <w:p w:rsidR="00AE7513" w:rsidRPr="0004788F" w:rsidRDefault="00AE7513" w:rsidP="008A2F5B">
      <w:pPr>
        <w:pStyle w:val="FootnoteText"/>
        <w:jc w:val="both"/>
        <w:rPr>
          <w:rFonts w:ascii="Times New Roman" w:hAnsi="Times New Roman" w:cs="Times New Roman"/>
        </w:rPr>
      </w:pPr>
      <w:r w:rsidRPr="008A2F5B">
        <w:rPr>
          <w:rStyle w:val="FootnoteReference"/>
          <w:rFonts w:ascii="Times New Roman" w:hAnsi="Times New Roman" w:cs="Times New Roman"/>
        </w:rPr>
        <w:footnoteRef/>
      </w:r>
      <w:r w:rsidRPr="008A2F5B">
        <w:rPr>
          <w:rFonts w:ascii="Times New Roman" w:hAnsi="Times New Roman" w:cs="Times New Roman"/>
        </w:rPr>
        <w:t xml:space="preserve"> Generally, see, Part IX, ss.39 - 40 National Payments Systems Act 2015, Tanzania on winding-up, receivership or judicial management of participants in payment systems.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30"/>
    <w:rsid w:val="00011AA5"/>
    <w:rsid w:val="00027309"/>
    <w:rsid w:val="00027B41"/>
    <w:rsid w:val="00030367"/>
    <w:rsid w:val="00042A7D"/>
    <w:rsid w:val="0004788F"/>
    <w:rsid w:val="00070B3B"/>
    <w:rsid w:val="0008153B"/>
    <w:rsid w:val="00087946"/>
    <w:rsid w:val="000C2857"/>
    <w:rsid w:val="000C6E51"/>
    <w:rsid w:val="000C702B"/>
    <w:rsid w:val="000D0074"/>
    <w:rsid w:val="001306B5"/>
    <w:rsid w:val="001464CB"/>
    <w:rsid w:val="00146853"/>
    <w:rsid w:val="001615BC"/>
    <w:rsid w:val="001843C5"/>
    <w:rsid w:val="00184FB1"/>
    <w:rsid w:val="00251AF9"/>
    <w:rsid w:val="002B1251"/>
    <w:rsid w:val="002B78A0"/>
    <w:rsid w:val="002C711D"/>
    <w:rsid w:val="002F3843"/>
    <w:rsid w:val="002F434A"/>
    <w:rsid w:val="00300D96"/>
    <w:rsid w:val="00320B7D"/>
    <w:rsid w:val="0032111E"/>
    <w:rsid w:val="00336187"/>
    <w:rsid w:val="00340676"/>
    <w:rsid w:val="0034372F"/>
    <w:rsid w:val="003446E9"/>
    <w:rsid w:val="003521DA"/>
    <w:rsid w:val="00352BA6"/>
    <w:rsid w:val="00374CB2"/>
    <w:rsid w:val="003902E2"/>
    <w:rsid w:val="003A3178"/>
    <w:rsid w:val="003C0108"/>
    <w:rsid w:val="003D5DE7"/>
    <w:rsid w:val="003F2227"/>
    <w:rsid w:val="003F52B8"/>
    <w:rsid w:val="00411E1C"/>
    <w:rsid w:val="00415663"/>
    <w:rsid w:val="00430F53"/>
    <w:rsid w:val="004342A8"/>
    <w:rsid w:val="0047345A"/>
    <w:rsid w:val="0047594D"/>
    <w:rsid w:val="00480E9C"/>
    <w:rsid w:val="00485EE5"/>
    <w:rsid w:val="00490F64"/>
    <w:rsid w:val="004A2950"/>
    <w:rsid w:val="004C0C63"/>
    <w:rsid w:val="004C515B"/>
    <w:rsid w:val="004D0EB9"/>
    <w:rsid w:val="004E22C0"/>
    <w:rsid w:val="004F1707"/>
    <w:rsid w:val="0053006C"/>
    <w:rsid w:val="005416C3"/>
    <w:rsid w:val="0054478A"/>
    <w:rsid w:val="00557DB6"/>
    <w:rsid w:val="00563C14"/>
    <w:rsid w:val="005645EF"/>
    <w:rsid w:val="00565542"/>
    <w:rsid w:val="00611856"/>
    <w:rsid w:val="00614C42"/>
    <w:rsid w:val="006256C3"/>
    <w:rsid w:val="006326DF"/>
    <w:rsid w:val="006414CF"/>
    <w:rsid w:val="00651F39"/>
    <w:rsid w:val="0066244D"/>
    <w:rsid w:val="006637DC"/>
    <w:rsid w:val="00692099"/>
    <w:rsid w:val="0069317F"/>
    <w:rsid w:val="006B0E1E"/>
    <w:rsid w:val="006C1951"/>
    <w:rsid w:val="006C6F30"/>
    <w:rsid w:val="006C7235"/>
    <w:rsid w:val="006D71E6"/>
    <w:rsid w:val="006E299E"/>
    <w:rsid w:val="006F1202"/>
    <w:rsid w:val="00710012"/>
    <w:rsid w:val="00730522"/>
    <w:rsid w:val="007367E0"/>
    <w:rsid w:val="007579CA"/>
    <w:rsid w:val="00780B7E"/>
    <w:rsid w:val="00804B53"/>
    <w:rsid w:val="00826038"/>
    <w:rsid w:val="008617ED"/>
    <w:rsid w:val="00893ECE"/>
    <w:rsid w:val="00894B29"/>
    <w:rsid w:val="008A2F5B"/>
    <w:rsid w:val="008C5847"/>
    <w:rsid w:val="00917D17"/>
    <w:rsid w:val="00925D89"/>
    <w:rsid w:val="00946D88"/>
    <w:rsid w:val="00947829"/>
    <w:rsid w:val="009A19C5"/>
    <w:rsid w:val="009E08D7"/>
    <w:rsid w:val="009F0195"/>
    <w:rsid w:val="009F5E9F"/>
    <w:rsid w:val="00A02B8E"/>
    <w:rsid w:val="00A17B4D"/>
    <w:rsid w:val="00A23C22"/>
    <w:rsid w:val="00A50C89"/>
    <w:rsid w:val="00A6705F"/>
    <w:rsid w:val="00AC625D"/>
    <w:rsid w:val="00AD7806"/>
    <w:rsid w:val="00AE7513"/>
    <w:rsid w:val="00AF5F03"/>
    <w:rsid w:val="00B26077"/>
    <w:rsid w:val="00B36343"/>
    <w:rsid w:val="00B4301A"/>
    <w:rsid w:val="00B50FF1"/>
    <w:rsid w:val="00B64082"/>
    <w:rsid w:val="00B86C4B"/>
    <w:rsid w:val="00B87435"/>
    <w:rsid w:val="00BA1AA5"/>
    <w:rsid w:val="00BA57E3"/>
    <w:rsid w:val="00BD652D"/>
    <w:rsid w:val="00BE56DC"/>
    <w:rsid w:val="00C16CAF"/>
    <w:rsid w:val="00C2270A"/>
    <w:rsid w:val="00C36737"/>
    <w:rsid w:val="00C42432"/>
    <w:rsid w:val="00C42F9D"/>
    <w:rsid w:val="00C62B91"/>
    <w:rsid w:val="00C71CB4"/>
    <w:rsid w:val="00C81ECF"/>
    <w:rsid w:val="00C926C9"/>
    <w:rsid w:val="00CB3CA3"/>
    <w:rsid w:val="00CD3C9B"/>
    <w:rsid w:val="00CF4201"/>
    <w:rsid w:val="00D04D38"/>
    <w:rsid w:val="00D4031D"/>
    <w:rsid w:val="00D62C54"/>
    <w:rsid w:val="00D76376"/>
    <w:rsid w:val="00D80DCD"/>
    <w:rsid w:val="00D92D32"/>
    <w:rsid w:val="00DB27FA"/>
    <w:rsid w:val="00DB3EA5"/>
    <w:rsid w:val="00DD5FEC"/>
    <w:rsid w:val="00DD671A"/>
    <w:rsid w:val="00E22160"/>
    <w:rsid w:val="00E30035"/>
    <w:rsid w:val="00E331CA"/>
    <w:rsid w:val="00E359A2"/>
    <w:rsid w:val="00E54E00"/>
    <w:rsid w:val="00E60EC5"/>
    <w:rsid w:val="00E748A0"/>
    <w:rsid w:val="00EB1AB5"/>
    <w:rsid w:val="00EF0B9E"/>
    <w:rsid w:val="00F26CF7"/>
    <w:rsid w:val="00F60777"/>
    <w:rsid w:val="00FB312D"/>
    <w:rsid w:val="00FB54AC"/>
    <w:rsid w:val="00FB5638"/>
    <w:rsid w:val="00FC3910"/>
    <w:rsid w:val="00FE45B6"/>
    <w:rsid w:val="00FE7C73"/>
    <w:rsid w:val="00FF1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5BCC5-2942-4C3A-9D17-0E62FCDC6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1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42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6C6F30"/>
    <w:rPr>
      <w:vertAlign w:val="superscript"/>
    </w:rPr>
  </w:style>
  <w:style w:type="character" w:styleId="Hyperlink">
    <w:name w:val="Hyperlink"/>
    <w:basedOn w:val="DefaultParagraphFont"/>
    <w:uiPriority w:val="99"/>
    <w:unhideWhenUsed/>
    <w:rsid w:val="006C6F30"/>
    <w:rPr>
      <w:color w:val="0563C1" w:themeColor="hyperlink"/>
      <w:u w:val="single"/>
    </w:rPr>
  </w:style>
  <w:style w:type="paragraph" w:styleId="FootnoteText">
    <w:name w:val="footnote text"/>
    <w:basedOn w:val="Normal"/>
    <w:link w:val="FootnoteTextChar"/>
    <w:uiPriority w:val="99"/>
    <w:unhideWhenUsed/>
    <w:rsid w:val="006C6F30"/>
    <w:pPr>
      <w:spacing w:after="0" w:line="240" w:lineRule="auto"/>
    </w:pPr>
    <w:rPr>
      <w:sz w:val="20"/>
      <w:szCs w:val="20"/>
    </w:rPr>
  </w:style>
  <w:style w:type="character" w:customStyle="1" w:styleId="FootnoteTextChar">
    <w:name w:val="Footnote Text Char"/>
    <w:basedOn w:val="DefaultParagraphFont"/>
    <w:link w:val="FootnoteText"/>
    <w:uiPriority w:val="99"/>
    <w:rsid w:val="006C6F30"/>
    <w:rPr>
      <w:sz w:val="20"/>
      <w:szCs w:val="20"/>
    </w:rPr>
  </w:style>
  <w:style w:type="paragraph" w:styleId="PlainText">
    <w:name w:val="Plain Text"/>
    <w:basedOn w:val="Normal"/>
    <w:link w:val="PlainTextChar"/>
    <w:uiPriority w:val="99"/>
    <w:unhideWhenUsed/>
    <w:rsid w:val="005655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65542"/>
    <w:rPr>
      <w:rFonts w:ascii="Consolas" w:hAnsi="Consolas"/>
      <w:sz w:val="21"/>
      <w:szCs w:val="21"/>
    </w:rPr>
  </w:style>
  <w:style w:type="paragraph" w:styleId="Header">
    <w:name w:val="header"/>
    <w:basedOn w:val="Normal"/>
    <w:link w:val="HeaderChar"/>
    <w:uiPriority w:val="99"/>
    <w:unhideWhenUsed/>
    <w:rsid w:val="00AC6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25D"/>
  </w:style>
  <w:style w:type="paragraph" w:styleId="Footer">
    <w:name w:val="footer"/>
    <w:basedOn w:val="Normal"/>
    <w:link w:val="FooterChar"/>
    <w:uiPriority w:val="99"/>
    <w:unhideWhenUsed/>
    <w:rsid w:val="00AC6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25D"/>
  </w:style>
  <w:style w:type="character" w:customStyle="1" w:styleId="Heading1Char">
    <w:name w:val="Heading 1 Char"/>
    <w:basedOn w:val="DefaultParagraphFont"/>
    <w:link w:val="Heading1"/>
    <w:uiPriority w:val="9"/>
    <w:rsid w:val="009F0195"/>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614C42"/>
    <w:rPr>
      <w:color w:val="605E5C"/>
      <w:shd w:val="clear" w:color="auto" w:fill="E1DFDD"/>
    </w:rPr>
  </w:style>
  <w:style w:type="character" w:customStyle="1" w:styleId="Heading2Char">
    <w:name w:val="Heading 2 Char"/>
    <w:basedOn w:val="DefaultParagraphFont"/>
    <w:link w:val="Heading2"/>
    <w:uiPriority w:val="9"/>
    <w:rsid w:val="00CF420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adi.org/en/" TargetMode="External"/><Relationship Id="rId13" Type="http://schemas.openxmlformats.org/officeDocument/2006/relationships/hyperlink" Target="https://dpf.or.ug/" TargetMode="External"/><Relationship Id="rId18" Type="http://schemas.openxmlformats.org/officeDocument/2006/relationships/hyperlink" Target="https://www.bis.org/publ/work412.pdf" TargetMode="External"/><Relationship Id="rId3" Type="http://schemas.openxmlformats.org/officeDocument/2006/relationships/hyperlink" Target="https://theconversation.com/uganda-takes-another-step-on-e-payments-path-five-things-you-should-know-175605" TargetMode="External"/><Relationship Id="rId21" Type="http://schemas.openxmlformats.org/officeDocument/2006/relationships/hyperlink" Target="https://webarchive.nationalarchives.gov.uk/ukgwa/20120827143059/http://bankingcommission.independent.gov.uk///" TargetMode="External"/><Relationship Id="rId7" Type="http://schemas.openxmlformats.org/officeDocument/2006/relationships/hyperlink" Target="https://openknowledge.worldbank.org/handle/10986/8226?locale-attribute=fr" TargetMode="External"/><Relationship Id="rId12" Type="http://schemas.openxmlformats.org/officeDocument/2006/relationships/hyperlink" Target="https://www.bou.or.ug/bou/bouwebsite/Supervision/" TargetMode="External"/><Relationship Id="rId17" Type="http://schemas.openxmlformats.org/officeDocument/2006/relationships/hyperlink" Target="https://www.independent.co.ug/what-does-separation-of-mobile-money-from-telecoms-mean/" TargetMode="External"/><Relationship Id="rId2" Type="http://schemas.openxmlformats.org/officeDocument/2006/relationships/hyperlink" Target="https://www.worldbank.org/en/topic/financialinclusion/overview" TargetMode="External"/><Relationship Id="rId16" Type="http://schemas.openxmlformats.org/officeDocument/2006/relationships/hyperlink" Target="https://www.bis.org/review/r191007m.pdf" TargetMode="External"/><Relationship Id="rId20" Type="http://schemas.openxmlformats.org/officeDocument/2006/relationships/hyperlink" Target="https://www.bis.org/publ/arpdf/ar2013e.pdf?source=content_type%3Areact%7Cfirst_level_url%3Aarticle%7Csection%3Amain_content%7Cbutton%3Abody_link" TargetMode="External"/><Relationship Id="rId1" Type="http://schemas.openxmlformats.org/officeDocument/2006/relationships/hyperlink" Target="https://olc.worldbank.org/content/africas-pulse-assessing-economic-impact-covid-19-and-policy-responses-sub-saharan-africa" TargetMode="External"/><Relationship Id="rId6" Type="http://schemas.openxmlformats.org/officeDocument/2006/relationships/hyperlink" Target="https://www.fdic.gov/" TargetMode="External"/><Relationship Id="rId11" Type="http://schemas.openxmlformats.org/officeDocument/2006/relationships/hyperlink" Target="https://www.ucc.co.ug/" TargetMode="External"/><Relationship Id="rId5" Type="http://schemas.openxmlformats.org/officeDocument/2006/relationships/hyperlink" Target="https://www.mfw4a.org/publication/rwanda-payment-system-strategy-towards-cashless-rwanda-2018-2024" TargetMode="External"/><Relationship Id="rId15" Type="http://schemas.openxmlformats.org/officeDocument/2006/relationships/hyperlink" Target="https://www.independent.co.ug/customers-bank-deposits-now-protected-up-to-ugx-10m/%3E" TargetMode="External"/><Relationship Id="rId23" Type="http://schemas.openxmlformats.org/officeDocument/2006/relationships/hyperlink" Target="https://www.fsb.org/wp-content/uploads/r_141027.pdf%3E" TargetMode="External"/><Relationship Id="rId10" Type="http://schemas.openxmlformats.org/officeDocument/2006/relationships/hyperlink" Target="https://www.bou.or.ug/bou/bouwebsite/bouwebsitecontent/acts/other_acts_regulations/Mobile-Money-Guidelines-2013.pdf" TargetMode="External"/><Relationship Id="rId19" Type="http://schemas.openxmlformats.org/officeDocument/2006/relationships/hyperlink" Target="https://www.bankofengland.co.uk/speech/2017/putting-up-a-fence" TargetMode="External"/><Relationship Id="rId4" Type="http://schemas.openxmlformats.org/officeDocument/2006/relationships/hyperlink" Target="https://www.centralbank.go.ke/uploads/financial_inclusion/2064908903_2021%20FinAccess%20Survey%20Report%20Launched_15%20Dec%202021.pdf" TargetMode="External"/><Relationship Id="rId9" Type="http://schemas.openxmlformats.org/officeDocument/2006/relationships/hyperlink" Target="https://www.dignited.com/12624/airtel-uganda-is-leading-the-mobile-money-uganda-innovation-train/" TargetMode="External"/><Relationship Id="rId14" Type="http://schemas.openxmlformats.org/officeDocument/2006/relationships/hyperlink" Target="https://www.theeastafrican.co.ke/tea/business/deposit-protection-fund-assets-hit-280m-3725646" TargetMode="External"/><Relationship Id="rId22" Type="http://schemas.openxmlformats.org/officeDocument/2006/relationships/hyperlink" Target="https://researchbriefings.files.parliament.uk/documents/SN06171/SN0617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D572B-B545-40FF-97EA-B03A0034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1</Pages>
  <Words>5541</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Hamiisi Junior Nsubuga</dc:creator>
  <cp:keywords/>
  <dc:description/>
  <cp:lastModifiedBy>Hamiisi Junior Nsubuga</cp:lastModifiedBy>
  <cp:revision>48</cp:revision>
  <dcterms:created xsi:type="dcterms:W3CDTF">2022-03-30T18:31:00Z</dcterms:created>
  <dcterms:modified xsi:type="dcterms:W3CDTF">2022-08-31T14:10:00Z</dcterms:modified>
</cp:coreProperties>
</file>