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22363" w14:textId="77777777" w:rsidR="000420B5" w:rsidRPr="006436E9" w:rsidRDefault="000420B5" w:rsidP="009E41BB">
      <w:pPr>
        <w:pStyle w:val="MDPI11articletype"/>
        <w:rPr>
          <w:lang w:val="en-GB"/>
        </w:rPr>
      </w:pPr>
      <w:r w:rsidRPr="006436E9">
        <w:rPr>
          <w:lang w:val="en-GB"/>
        </w:rPr>
        <w:t>Article</w:t>
      </w:r>
    </w:p>
    <w:p w14:paraId="0D6481AB" w14:textId="2D8DCFF8" w:rsidR="000420B5" w:rsidRPr="006436E9" w:rsidRDefault="000420B5" w:rsidP="009E41BB">
      <w:pPr>
        <w:pStyle w:val="MDPI12title"/>
        <w:rPr>
          <w:lang w:val="en-GB"/>
        </w:rPr>
      </w:pPr>
      <w:r w:rsidRPr="006436E9">
        <w:rPr>
          <w:lang w:val="en-GB"/>
        </w:rPr>
        <w:t xml:space="preserve">Using </w:t>
      </w:r>
      <w:r w:rsidR="009E41BB" w:rsidRPr="006436E9">
        <w:rPr>
          <w:lang w:val="en-GB"/>
        </w:rPr>
        <w:t xml:space="preserve">Primary Care </w:t>
      </w:r>
      <w:r w:rsidRPr="006436E9">
        <w:rPr>
          <w:lang w:val="en-GB"/>
        </w:rPr>
        <w:t xml:space="preserve">and </w:t>
      </w:r>
      <w:r w:rsidR="009E41BB" w:rsidRPr="006436E9">
        <w:rPr>
          <w:lang w:val="en-GB"/>
        </w:rPr>
        <w:t xml:space="preserve">Emergency Department Datasets </w:t>
      </w:r>
      <w:r w:rsidRPr="006436E9">
        <w:rPr>
          <w:lang w:val="en-GB"/>
        </w:rPr>
        <w:t xml:space="preserve">for </w:t>
      </w:r>
      <w:r w:rsidR="009E41BB" w:rsidRPr="006436E9">
        <w:rPr>
          <w:lang w:val="en-GB"/>
        </w:rPr>
        <w:t xml:space="preserve">Researching Violence Victimisation </w:t>
      </w:r>
      <w:r w:rsidRPr="006436E9">
        <w:rPr>
          <w:lang w:val="en-GB"/>
        </w:rPr>
        <w:t xml:space="preserve">in the UK: </w:t>
      </w:r>
      <w:r w:rsidR="009E41BB" w:rsidRPr="006436E9">
        <w:rPr>
          <w:lang w:val="en-GB"/>
        </w:rPr>
        <w:br/>
        <w:t xml:space="preserve">A Methodological Review </w:t>
      </w:r>
      <w:r w:rsidRPr="006436E9">
        <w:rPr>
          <w:lang w:val="en-GB"/>
        </w:rPr>
        <w:t xml:space="preserve">of </w:t>
      </w:r>
      <w:r w:rsidR="009E41BB" w:rsidRPr="006436E9">
        <w:rPr>
          <w:lang w:val="en-GB"/>
        </w:rPr>
        <w:t>Four Sources</w:t>
      </w:r>
    </w:p>
    <w:p w14:paraId="1F8FAF35" w14:textId="2978A6A3" w:rsidR="003D2418" w:rsidRPr="006436E9" w:rsidRDefault="000420B5" w:rsidP="009E41BB">
      <w:pPr>
        <w:pStyle w:val="MDPI13authornames"/>
        <w:rPr>
          <w:lang w:val="en-GB"/>
        </w:rPr>
      </w:pPr>
      <w:r w:rsidRPr="006436E9">
        <w:rPr>
          <w:lang w:val="en-GB"/>
        </w:rPr>
        <w:t xml:space="preserve">Anastasia Fadeeva </w:t>
      </w:r>
      <w:r w:rsidRPr="006436E9">
        <w:rPr>
          <w:vertAlign w:val="superscript"/>
          <w:lang w:val="en-GB"/>
        </w:rPr>
        <w:t>1</w:t>
      </w:r>
      <w:r w:rsidR="005C166E">
        <w:rPr>
          <w:vertAlign w:val="superscript"/>
          <w:lang w:val="en-GB"/>
        </w:rPr>
        <w:t>,</w:t>
      </w:r>
      <w:r w:rsidR="005C166E" w:rsidRPr="005C166E">
        <w:rPr>
          <w:lang w:val="en-GB"/>
        </w:rPr>
        <w:t>*</w:t>
      </w:r>
      <w:r w:rsidRPr="006436E9">
        <w:rPr>
          <w:lang w:val="en-GB"/>
        </w:rPr>
        <w:t xml:space="preserve">, Estela Capelas Barbosa </w:t>
      </w:r>
      <w:r w:rsidR="00D60CA3" w:rsidRPr="006436E9">
        <w:rPr>
          <w:vertAlign w:val="superscript"/>
          <w:lang w:val="en-GB"/>
        </w:rPr>
        <w:t>1,2</w:t>
      </w:r>
      <w:r w:rsidRPr="006436E9">
        <w:rPr>
          <w:rFonts w:eastAsia="SimSun" w:cs="SimSun"/>
          <w:lang w:val="en-GB" w:eastAsia="zh-CN"/>
        </w:rPr>
        <w:t xml:space="preserve">, Alex Walker </w:t>
      </w:r>
      <w:r w:rsidRPr="006436E9">
        <w:rPr>
          <w:vertAlign w:val="superscript"/>
          <w:lang w:val="en-GB"/>
        </w:rPr>
        <w:t>3</w:t>
      </w:r>
      <w:r w:rsidRPr="006436E9">
        <w:rPr>
          <w:rFonts w:eastAsia="SimSun" w:cs="SimSun"/>
          <w:lang w:val="en-GB" w:eastAsia="zh-CN"/>
        </w:rPr>
        <w:t xml:space="preserve"> </w:t>
      </w:r>
      <w:r w:rsidRPr="006436E9">
        <w:rPr>
          <w:lang w:val="en-GB"/>
        </w:rPr>
        <w:t xml:space="preserve">and Sally McManus </w:t>
      </w:r>
      <w:r w:rsidR="00D60CA3" w:rsidRPr="006436E9">
        <w:rPr>
          <w:vertAlign w:val="superscript"/>
          <w:lang w:val="en-GB"/>
        </w:rPr>
        <w:t>1,4</w:t>
      </w:r>
    </w:p>
    <w:tbl>
      <w:tblPr>
        <w:tblStyle w:val="MDPITable"/>
        <w:tblpPr w:leftFromText="198" w:rightFromText="198" w:vertAnchor="page" w:horzAnchor="margin" w:tblpY="9837"/>
        <w:tblW w:w="2409" w:type="dxa"/>
        <w:tblLayout w:type="fixed"/>
        <w:tblLook w:val="04A0" w:firstRow="1" w:lastRow="0" w:firstColumn="1" w:lastColumn="0" w:noHBand="0" w:noVBand="1"/>
      </w:tblPr>
      <w:tblGrid>
        <w:gridCol w:w="2409"/>
      </w:tblGrid>
      <w:tr w:rsidR="003D2418" w:rsidRPr="006436E9" w14:paraId="28F8F284" w14:textId="77777777" w:rsidTr="00D60CA3">
        <w:trPr>
          <w:cantSplit/>
        </w:trPr>
        <w:tc>
          <w:tcPr>
            <w:tcW w:w="2409" w:type="dxa"/>
          </w:tcPr>
          <w:p w14:paraId="664153FA" w14:textId="0B4ABD90" w:rsidR="003D2418" w:rsidRPr="006436E9" w:rsidRDefault="003D2418" w:rsidP="00D60CA3">
            <w:pPr>
              <w:pStyle w:val="MDPI61Citation"/>
              <w:rPr>
                <w:lang w:val="en-GB"/>
              </w:rPr>
            </w:pPr>
            <w:r w:rsidRPr="006436E9">
              <w:rPr>
                <w:b/>
                <w:lang w:val="en-GB"/>
              </w:rPr>
              <w:t>Citation:</w:t>
            </w:r>
            <w:r w:rsidRPr="006436E9">
              <w:rPr>
                <w:lang w:val="en-GB"/>
              </w:rPr>
              <w:t xml:space="preserve"> Fadeeva, Anastasia, Estela Capelas Barbosa, Alex Walker, and Sally McManus. 2024. Using Primary Care and Emergency Department Datasets for Researching Violence Victimisation in the UK: A Methodological Review of Four Sources. </w:t>
            </w:r>
            <w:r w:rsidRPr="006436E9">
              <w:rPr>
                <w:i/>
                <w:lang w:val="en-GB"/>
              </w:rPr>
              <w:t xml:space="preserve">Social Sciences </w:t>
            </w:r>
            <w:r w:rsidRPr="006436E9">
              <w:rPr>
                <w:lang w:val="en-GB"/>
              </w:rPr>
              <w:t>13: x. https://doi.org/10.3390/xxxxx</w:t>
            </w:r>
          </w:p>
          <w:p w14:paraId="733F81D9" w14:textId="2A5670F1" w:rsidR="003D2418" w:rsidRPr="006436E9" w:rsidRDefault="003D2418" w:rsidP="00D60CA3">
            <w:pPr>
              <w:pStyle w:val="MDPI15academiceditor"/>
              <w:spacing w:after="120"/>
              <w:rPr>
                <w:lang w:val="en-GB"/>
              </w:rPr>
            </w:pPr>
            <w:r w:rsidRPr="006436E9">
              <w:rPr>
                <w:lang w:val="en-GB"/>
              </w:rPr>
              <w:t xml:space="preserve">Academic Editor: </w:t>
            </w:r>
            <w:r w:rsidR="006436E9" w:rsidRPr="006436E9">
              <w:rPr>
                <w:lang w:val="en-GB"/>
              </w:rPr>
              <w:t>Thomas McNulty</w:t>
            </w:r>
          </w:p>
          <w:p w14:paraId="66654E7A" w14:textId="35019303" w:rsidR="003D2418" w:rsidRPr="006436E9" w:rsidRDefault="003D2418" w:rsidP="00D60CA3">
            <w:pPr>
              <w:pStyle w:val="MDPI14history"/>
              <w:spacing w:before="120"/>
              <w:rPr>
                <w:lang w:val="en-GB"/>
              </w:rPr>
            </w:pPr>
            <w:r w:rsidRPr="006436E9">
              <w:rPr>
                <w:lang w:val="en-GB"/>
              </w:rPr>
              <w:t>Received: 22 December 2023</w:t>
            </w:r>
          </w:p>
          <w:p w14:paraId="578086D8" w14:textId="2EDC2472" w:rsidR="003D2418" w:rsidRPr="006436E9" w:rsidRDefault="003D2418" w:rsidP="00D60CA3">
            <w:pPr>
              <w:pStyle w:val="MDPI14history"/>
              <w:rPr>
                <w:lang w:val="en-GB"/>
              </w:rPr>
            </w:pPr>
            <w:r w:rsidRPr="006436E9">
              <w:rPr>
                <w:lang w:val="en-GB"/>
              </w:rPr>
              <w:t>Revised: 23 February 2024</w:t>
            </w:r>
          </w:p>
          <w:p w14:paraId="78C1F537" w14:textId="2B514E6C" w:rsidR="003D2418" w:rsidRPr="006436E9" w:rsidRDefault="003D2418" w:rsidP="00D60CA3">
            <w:pPr>
              <w:pStyle w:val="MDPI14history"/>
              <w:rPr>
                <w:lang w:val="en-GB"/>
              </w:rPr>
            </w:pPr>
            <w:r w:rsidRPr="006436E9">
              <w:rPr>
                <w:lang w:val="en-GB"/>
              </w:rPr>
              <w:t>Accepted: 28 February 2024</w:t>
            </w:r>
          </w:p>
          <w:p w14:paraId="43E93CA3" w14:textId="7A01ADB5" w:rsidR="003D2418" w:rsidRPr="006436E9" w:rsidRDefault="003D2418" w:rsidP="00D60CA3">
            <w:pPr>
              <w:pStyle w:val="MDPI14history"/>
              <w:spacing w:after="120"/>
              <w:rPr>
                <w:lang w:val="en-GB"/>
              </w:rPr>
            </w:pPr>
            <w:r w:rsidRPr="006436E9">
              <w:rPr>
                <w:lang w:val="en-GB"/>
              </w:rPr>
              <w:t xml:space="preserve">Published: </w:t>
            </w:r>
            <w:r w:rsidR="00331738">
              <w:rPr>
                <w:lang w:val="en-GB"/>
              </w:rPr>
              <w:t>1 March 2023</w:t>
            </w:r>
          </w:p>
          <w:p w14:paraId="65C80437" w14:textId="77777777" w:rsidR="003D2418" w:rsidRPr="006436E9" w:rsidRDefault="003D2418" w:rsidP="00D60CA3">
            <w:pPr>
              <w:pStyle w:val="MDPI14history"/>
              <w:spacing w:before="120"/>
              <w:rPr>
                <w:lang w:val="en-GB"/>
              </w:rPr>
            </w:pPr>
            <w:r w:rsidRPr="006436E9">
              <w:rPr>
                <w:noProof/>
                <w:lang w:val="en-GB"/>
                <w14:ligatures w14:val="none"/>
              </w:rPr>
              <w:drawing>
                <wp:inline distT="0" distB="0" distL="0" distR="0" wp14:anchorId="717C82B9" wp14:editId="50AFEC11">
                  <wp:extent cx="694800" cy="248400"/>
                  <wp:effectExtent l="0" t="0" r="0" b="0"/>
                  <wp:docPr id="805308271" name="Picture 1"/>
                  <wp:cNvGraphicFramePr/>
                  <a:graphic xmlns:a="http://schemas.openxmlformats.org/drawingml/2006/main">
                    <a:graphicData uri="http://schemas.openxmlformats.org/drawingml/2006/picture">
                      <pic:pic xmlns:pic="http://schemas.openxmlformats.org/drawingml/2006/picture">
                        <pic:nvPicPr>
                          <pic:cNvPr id="805308271" name=""/>
                          <pic:cNvPicPr/>
                        </pic:nvPicPr>
                        <pic:blipFill>
                          <a:blip r:embed="rId11"/>
                          <a:stretch>
                            <a:fillRect/>
                          </a:stretch>
                        </pic:blipFill>
                        <pic:spPr>
                          <a:xfrm>
                            <a:off x="0" y="0"/>
                            <a:ext cx="694800" cy="248400"/>
                          </a:xfrm>
                          <a:prstGeom prst="rect">
                            <a:avLst/>
                          </a:prstGeom>
                        </pic:spPr>
                      </pic:pic>
                    </a:graphicData>
                  </a:graphic>
                </wp:inline>
              </w:drawing>
            </w:r>
          </w:p>
          <w:p w14:paraId="4556AB5D" w14:textId="77777777" w:rsidR="003D2418" w:rsidRPr="006436E9" w:rsidRDefault="003D2418" w:rsidP="00D60CA3">
            <w:pPr>
              <w:pStyle w:val="MDPI72Copyright"/>
              <w:rPr>
                <w:noProof w:val="0"/>
              </w:rPr>
            </w:pPr>
            <w:r w:rsidRPr="006436E9">
              <w:rPr>
                <w:b/>
                <w:noProof w:val="0"/>
              </w:rPr>
              <w:t>Copyright:</w:t>
            </w:r>
            <w:r w:rsidRPr="006436E9">
              <w:rPr>
                <w:noProof w:val="0"/>
              </w:rPr>
              <w:t xml:space="preserve"> © 2024 by the authors. Submitted for possible open access publication under the terms and conditions of the Creative Commons Attribution (CC BY) license (https://creativecommons.org/licenses/by/4.0/).</w:t>
            </w:r>
          </w:p>
        </w:tc>
      </w:tr>
    </w:tbl>
    <w:p w14:paraId="4C38830A" w14:textId="7861F4DF" w:rsidR="000420B5" w:rsidRPr="000B7C8D" w:rsidRDefault="000420B5" w:rsidP="009E41BB">
      <w:pPr>
        <w:pStyle w:val="MDPI16affiliation"/>
        <w:rPr>
          <w:color w:val="auto"/>
          <w:lang w:val="en-GB"/>
        </w:rPr>
      </w:pPr>
      <w:bookmarkStart w:id="0" w:name="_Hlk160108782"/>
      <w:r w:rsidRPr="006436E9">
        <w:rPr>
          <w:vertAlign w:val="superscript"/>
          <w:lang w:val="en-GB"/>
        </w:rPr>
        <w:t>1</w:t>
      </w:r>
      <w:r w:rsidRPr="006436E9">
        <w:rPr>
          <w:lang w:val="en-GB"/>
        </w:rPr>
        <w:tab/>
      </w:r>
      <w:r w:rsidR="00D60CA3" w:rsidRPr="000B7C8D">
        <w:rPr>
          <w:color w:val="auto"/>
          <w:lang w:val="en-GB"/>
        </w:rPr>
        <w:t>Violence and Society Centre, University of London, London</w:t>
      </w:r>
      <w:r w:rsidR="006348E4" w:rsidRPr="000B7C8D">
        <w:rPr>
          <w:color w:val="auto"/>
          <w:lang w:val="en-GB"/>
        </w:rPr>
        <w:t xml:space="preserve"> EC1V 0HB, UK</w:t>
      </w:r>
      <w:bookmarkEnd w:id="0"/>
      <w:r w:rsidR="005C166E" w:rsidRPr="000B7C8D">
        <w:rPr>
          <w:color w:val="auto"/>
          <w:lang w:val="en-GB"/>
        </w:rPr>
        <w:t xml:space="preserve">; </w:t>
      </w:r>
      <w:r w:rsidR="005C166E" w:rsidRPr="000B7C8D">
        <w:rPr>
          <w:color w:val="auto"/>
          <w:lang w:val="en-GB"/>
        </w:rPr>
        <w:br/>
        <w:t>sally.mcmanus@city.ac.uk</w:t>
      </w:r>
      <w:r w:rsidR="005C166E" w:rsidRPr="000B7C8D">
        <w:rPr>
          <w:rStyle w:val="Hyperlink"/>
          <w:color w:val="auto"/>
          <w:u w:val="none"/>
          <w:lang w:val="en-GB"/>
        </w:rPr>
        <w:t xml:space="preserve"> (S.M.)</w:t>
      </w:r>
    </w:p>
    <w:p w14:paraId="7331D29B" w14:textId="73958C73" w:rsidR="00C33084" w:rsidRPr="000B7C8D" w:rsidRDefault="000420B5" w:rsidP="009E41BB">
      <w:pPr>
        <w:pStyle w:val="MDPI16affiliation"/>
        <w:rPr>
          <w:color w:val="auto"/>
          <w:lang w:val="en-GB"/>
        </w:rPr>
      </w:pPr>
      <w:r w:rsidRPr="000B7C8D">
        <w:rPr>
          <w:color w:val="auto"/>
          <w:vertAlign w:val="superscript"/>
          <w:lang w:val="en-GB"/>
        </w:rPr>
        <w:t>2</w:t>
      </w:r>
      <w:r w:rsidRPr="000B7C8D">
        <w:rPr>
          <w:color w:val="auto"/>
          <w:lang w:val="en-GB"/>
        </w:rPr>
        <w:tab/>
      </w:r>
      <w:r w:rsidR="00D60CA3" w:rsidRPr="000B7C8D">
        <w:rPr>
          <w:color w:val="auto"/>
          <w:lang w:val="en-GB"/>
        </w:rPr>
        <w:t xml:space="preserve">Bristol Medical School, </w:t>
      </w:r>
      <w:r w:rsidRPr="000B7C8D">
        <w:rPr>
          <w:color w:val="auto"/>
          <w:lang w:val="en-GB"/>
        </w:rPr>
        <w:t>Bristol University</w:t>
      </w:r>
      <w:r w:rsidR="00D60CA3" w:rsidRPr="000B7C8D">
        <w:rPr>
          <w:color w:val="auto"/>
          <w:lang w:val="en-GB"/>
        </w:rPr>
        <w:t>, Bristol</w:t>
      </w:r>
      <w:r w:rsidR="006348E4" w:rsidRPr="000B7C8D">
        <w:rPr>
          <w:color w:val="auto"/>
          <w:lang w:val="en-GB"/>
        </w:rPr>
        <w:t xml:space="preserve"> BS8 1UD, UK</w:t>
      </w:r>
      <w:r w:rsidR="004565CB">
        <w:rPr>
          <w:color w:val="auto"/>
          <w:lang w:val="en-GB"/>
        </w:rPr>
        <w:t xml:space="preserve">; </w:t>
      </w:r>
      <w:r w:rsidR="004565CB" w:rsidRPr="000B7C8D">
        <w:rPr>
          <w:color w:val="auto"/>
          <w:lang w:val="en-GB"/>
        </w:rPr>
        <w:t>e.capelasbarbosa@bristol.ac.uk (E.C.B.);</w:t>
      </w:r>
    </w:p>
    <w:p w14:paraId="5E50A740" w14:textId="4E9A321A" w:rsidR="000420B5" w:rsidRPr="000B7C8D" w:rsidRDefault="000420B5" w:rsidP="009E41BB">
      <w:pPr>
        <w:pStyle w:val="MDPI16affiliation"/>
        <w:rPr>
          <w:color w:val="auto"/>
          <w:lang w:val="en-GB"/>
        </w:rPr>
      </w:pPr>
      <w:r w:rsidRPr="000B7C8D">
        <w:rPr>
          <w:color w:val="auto"/>
          <w:vertAlign w:val="superscript"/>
          <w:lang w:val="en-GB"/>
        </w:rPr>
        <w:t>3</w:t>
      </w:r>
      <w:r w:rsidRPr="000B7C8D">
        <w:rPr>
          <w:color w:val="auto"/>
          <w:lang w:val="en-GB"/>
        </w:rPr>
        <w:tab/>
        <w:t>Wales Violence Prevention Unit</w:t>
      </w:r>
      <w:r w:rsidR="00D60CA3" w:rsidRPr="000B7C8D">
        <w:rPr>
          <w:color w:val="auto"/>
          <w:lang w:val="en-GB"/>
        </w:rPr>
        <w:t>, Cardiff</w:t>
      </w:r>
      <w:r w:rsidR="006348E4" w:rsidRPr="000B7C8D">
        <w:rPr>
          <w:color w:val="auto"/>
          <w:lang w:val="en-GB"/>
        </w:rPr>
        <w:t xml:space="preserve"> CF10 1AT, UK</w:t>
      </w:r>
      <w:r w:rsidR="006A5CE4" w:rsidRPr="000B7C8D">
        <w:rPr>
          <w:color w:val="auto"/>
          <w:lang w:val="en-GB"/>
        </w:rPr>
        <w:t xml:space="preserve">; </w:t>
      </w:r>
      <w:r w:rsidR="00D60CA3" w:rsidRPr="000B7C8D">
        <w:rPr>
          <w:color w:val="auto"/>
          <w:lang w:val="en-GB"/>
        </w:rPr>
        <w:t>alex.walker2@wales.nhs.uk</w:t>
      </w:r>
    </w:p>
    <w:p w14:paraId="572D1BF0" w14:textId="0E203016" w:rsidR="000420B5" w:rsidRPr="00A30E4F" w:rsidRDefault="000420B5" w:rsidP="009E41BB">
      <w:pPr>
        <w:pStyle w:val="MDPI16affiliation"/>
        <w:rPr>
          <w:rFonts w:eastAsiaTheme="minorEastAsia"/>
          <w:color w:val="auto"/>
          <w:lang w:val="en-GB" w:eastAsia="zh-CN"/>
        </w:rPr>
      </w:pPr>
      <w:r w:rsidRPr="000B7C8D">
        <w:rPr>
          <w:color w:val="auto"/>
          <w:vertAlign w:val="superscript"/>
          <w:lang w:val="en-GB"/>
        </w:rPr>
        <w:t>4</w:t>
      </w:r>
      <w:r w:rsidRPr="000B7C8D">
        <w:rPr>
          <w:color w:val="auto"/>
          <w:lang w:val="en-GB"/>
        </w:rPr>
        <w:tab/>
        <w:t xml:space="preserve">National Centre for Social </w:t>
      </w:r>
      <w:r w:rsidRPr="00A30E4F">
        <w:rPr>
          <w:color w:val="auto"/>
          <w:lang w:val="en-GB"/>
        </w:rPr>
        <w:t>Research</w:t>
      </w:r>
      <w:r w:rsidR="00D60CA3" w:rsidRPr="00A30E4F">
        <w:rPr>
          <w:color w:val="auto"/>
          <w:lang w:val="en-GB"/>
        </w:rPr>
        <w:t>, London</w:t>
      </w:r>
      <w:r w:rsidR="00A30E4F" w:rsidRPr="00A30E4F">
        <w:rPr>
          <w:color w:val="auto"/>
          <w:lang w:val="en-GB"/>
        </w:rPr>
        <w:t xml:space="preserve"> </w:t>
      </w:r>
      <w:r w:rsidR="00A30E4F" w:rsidRPr="00A30E4F">
        <w:rPr>
          <w:rStyle w:val="ui-provider"/>
        </w:rPr>
        <w:t>EC1V 0AX</w:t>
      </w:r>
      <w:r w:rsidR="000C09BD" w:rsidRPr="00A30E4F">
        <w:rPr>
          <w:color w:val="auto"/>
          <w:lang w:val="en-GB"/>
        </w:rPr>
        <w:t>, UK</w:t>
      </w:r>
    </w:p>
    <w:p w14:paraId="7895B048" w14:textId="532308E5" w:rsidR="000420B5" w:rsidRPr="006436E9" w:rsidRDefault="009E41BB" w:rsidP="009E41BB">
      <w:pPr>
        <w:pStyle w:val="MDPI16affiliation"/>
        <w:rPr>
          <w:lang w:val="en-GB"/>
        </w:rPr>
      </w:pPr>
      <w:r w:rsidRPr="000B7C8D">
        <w:rPr>
          <w:b/>
          <w:color w:val="auto"/>
          <w:lang w:val="en-GB"/>
        </w:rPr>
        <w:t>*</w:t>
      </w:r>
      <w:r w:rsidRPr="000B7C8D">
        <w:rPr>
          <w:color w:val="auto"/>
          <w:lang w:val="en-GB"/>
        </w:rPr>
        <w:tab/>
        <w:t xml:space="preserve">Correspondence: </w:t>
      </w:r>
      <w:r w:rsidR="00D60CA3" w:rsidRPr="000B7C8D">
        <w:rPr>
          <w:color w:val="auto"/>
          <w:lang w:val="en-GB"/>
        </w:rPr>
        <w:t>anastasia.fadeeva@city.ac.uk</w:t>
      </w:r>
    </w:p>
    <w:p w14:paraId="2198C227" w14:textId="58B0115A" w:rsidR="000420B5" w:rsidRPr="006436E9" w:rsidRDefault="000420B5" w:rsidP="00CE2618">
      <w:pPr>
        <w:pStyle w:val="MDPI17abstract"/>
        <w:rPr>
          <w:lang w:val="en-GB"/>
        </w:rPr>
      </w:pPr>
      <w:r w:rsidRPr="006436E9">
        <w:rPr>
          <w:b/>
          <w:lang w:val="en-GB"/>
        </w:rPr>
        <w:t xml:space="preserve">Abstract: </w:t>
      </w:r>
      <w:r w:rsidRPr="006436E9">
        <w:rPr>
          <w:lang w:val="en-GB"/>
        </w:rPr>
        <w:t xml:space="preserve">Violence is recognised as a cause of health harm, but </w:t>
      </w:r>
      <w:r w:rsidR="0024060B" w:rsidRPr="006436E9">
        <w:rPr>
          <w:lang w:val="en-GB"/>
        </w:rPr>
        <w:t xml:space="preserve">it </w:t>
      </w:r>
      <w:r w:rsidRPr="006436E9">
        <w:rPr>
          <w:lang w:val="en-GB"/>
        </w:rPr>
        <w:t xml:space="preserve">is not consistently or adequately captured in healthcare data systems. While administrative health records could be valuable sources of information for measuring violence, they remain underutilised in violence-related research. The present research aims to examine the suitability of violence indicators in emergency care, primary care, and linked healthcare datasets. Descriptive analyses were conducted with the 2015/16 Hospital Episode Statistics Accident and Emergency (HES A&amp;E) and </w:t>
      </w:r>
      <w:r w:rsidR="00897B3F" w:rsidRPr="006436E9">
        <w:rPr>
          <w:lang w:val="en-GB"/>
        </w:rPr>
        <w:t xml:space="preserve">the </w:t>
      </w:r>
      <w:r w:rsidRPr="006436E9">
        <w:rPr>
          <w:lang w:val="en-GB"/>
        </w:rPr>
        <w:t xml:space="preserve">2021/22 Emergency Care Data Set (ECDS). The potential of the Clinical Practice Research Datalink (CPRD) and the South Wales Violence Surveillance dataset (a police and </w:t>
      </w:r>
      <w:r w:rsidR="0024060B" w:rsidRPr="006436E9">
        <w:rPr>
          <w:lang w:val="en-GB"/>
        </w:rPr>
        <w:t>e</w:t>
      </w:r>
      <w:r w:rsidRPr="006436E9">
        <w:rPr>
          <w:lang w:val="en-GB"/>
        </w:rPr>
        <w:t xml:space="preserve">mergency </w:t>
      </w:r>
      <w:r w:rsidR="0024060B" w:rsidRPr="006436E9">
        <w:rPr>
          <w:lang w:val="en-GB"/>
        </w:rPr>
        <w:t>d</w:t>
      </w:r>
      <w:r w:rsidRPr="006436E9">
        <w:rPr>
          <w:lang w:val="en-GB"/>
        </w:rPr>
        <w:t xml:space="preserve">epartment (ED) dataset linked by Public Health Wales) were shown using available evidence. Among the discussed datasets, the South Wales Violence Surveillance dataset has the most detail about violent acts and their contexts, while the CPRD includes a more extensive range of socioeconomic factors about patients and extensive linkage with other datasets. Currently, detailed safeguarding information is routinely removed from the ECDS extracts provided to researchers, limiting its utility for violence research. In </w:t>
      </w:r>
      <w:r w:rsidR="0024060B" w:rsidRPr="006436E9">
        <w:rPr>
          <w:lang w:val="en-GB"/>
        </w:rPr>
        <w:t xml:space="preserve">the </w:t>
      </w:r>
      <w:r w:rsidRPr="006436E9">
        <w:rPr>
          <w:lang w:val="en-GB"/>
        </w:rPr>
        <w:t>HES A&amp;E, only physical violence was consistently recorded. Addressing these issues has the potential to improve the use of health administrative data in research on violence.</w:t>
      </w:r>
    </w:p>
    <w:p w14:paraId="7C5D1FB7" w14:textId="67A5D4CE" w:rsidR="000420B5" w:rsidRPr="006436E9" w:rsidRDefault="00CE2618" w:rsidP="00CE2618">
      <w:pPr>
        <w:pStyle w:val="MDPI18keywords"/>
        <w:rPr>
          <w:lang w:val="en-GB"/>
        </w:rPr>
      </w:pPr>
      <w:r w:rsidRPr="006436E9">
        <w:rPr>
          <w:b/>
          <w:lang w:val="en-GB"/>
        </w:rPr>
        <w:t>Keywords:</w:t>
      </w:r>
      <w:r w:rsidR="000420B5" w:rsidRPr="006436E9">
        <w:rPr>
          <w:b/>
          <w:lang w:val="en-GB"/>
        </w:rPr>
        <w:t xml:space="preserve"> </w:t>
      </w:r>
      <w:r w:rsidR="000420B5" w:rsidRPr="006436E9">
        <w:rPr>
          <w:lang w:val="en-GB"/>
        </w:rPr>
        <w:t>violence; abuse; health services; administrative health data; public health</w:t>
      </w:r>
    </w:p>
    <w:p w14:paraId="1B96AF9C" w14:textId="77777777" w:rsidR="000420B5" w:rsidRPr="006436E9" w:rsidRDefault="000420B5" w:rsidP="00CE2618">
      <w:pPr>
        <w:pStyle w:val="MDPI19line"/>
        <w:pBdr>
          <w:bottom w:val="single" w:sz="4" w:space="1" w:color="000000"/>
        </w:pBdr>
        <w:rPr>
          <w:lang w:val="en-GB"/>
        </w:rPr>
      </w:pPr>
    </w:p>
    <w:p w14:paraId="7EDBBE86" w14:textId="2BC79A96" w:rsidR="000420B5" w:rsidRPr="006436E9" w:rsidRDefault="00413456" w:rsidP="00413456">
      <w:pPr>
        <w:pStyle w:val="MDPI21heading1"/>
        <w:rPr>
          <w:lang w:val="en-GB"/>
        </w:rPr>
      </w:pPr>
      <w:r w:rsidRPr="006436E9">
        <w:rPr>
          <w:lang w:val="en-GB"/>
        </w:rPr>
        <w:t xml:space="preserve">1. </w:t>
      </w:r>
      <w:r w:rsidR="000420B5" w:rsidRPr="006436E9">
        <w:rPr>
          <w:lang w:val="en-GB"/>
        </w:rPr>
        <w:t>Introduction</w:t>
      </w:r>
    </w:p>
    <w:p w14:paraId="4F290620" w14:textId="5138CDC4" w:rsidR="000420B5" w:rsidRPr="006436E9" w:rsidRDefault="000420B5" w:rsidP="00413456">
      <w:pPr>
        <w:pStyle w:val="MDPI22heading2"/>
        <w:rPr>
          <w:noProof w:val="0"/>
          <w:lang w:val="en-GB"/>
        </w:rPr>
      </w:pPr>
      <w:r w:rsidRPr="006436E9">
        <w:rPr>
          <w:noProof w:val="0"/>
          <w:lang w:val="en-GB"/>
        </w:rPr>
        <w:t xml:space="preserve">Health </w:t>
      </w:r>
      <w:r w:rsidR="00CE2618" w:rsidRPr="006436E9">
        <w:rPr>
          <w:noProof w:val="0"/>
          <w:lang w:val="en-GB"/>
        </w:rPr>
        <w:t xml:space="preserve">Services Data </w:t>
      </w:r>
      <w:r w:rsidRPr="006436E9">
        <w:rPr>
          <w:noProof w:val="0"/>
          <w:lang w:val="en-GB"/>
        </w:rPr>
        <w:t xml:space="preserve">in </w:t>
      </w:r>
      <w:r w:rsidR="00CE2618" w:rsidRPr="006436E9">
        <w:rPr>
          <w:noProof w:val="0"/>
          <w:lang w:val="en-GB"/>
        </w:rPr>
        <w:t xml:space="preserve">Epidemiological Research </w:t>
      </w:r>
      <w:r w:rsidRPr="006436E9">
        <w:rPr>
          <w:noProof w:val="0"/>
          <w:lang w:val="en-GB"/>
        </w:rPr>
        <w:t xml:space="preserve">on </w:t>
      </w:r>
      <w:r w:rsidR="00CE2618" w:rsidRPr="006436E9">
        <w:rPr>
          <w:noProof w:val="0"/>
          <w:lang w:val="en-GB"/>
        </w:rPr>
        <w:t>Violence</w:t>
      </w:r>
    </w:p>
    <w:p w14:paraId="73DCE5BE" w14:textId="7138C71F" w:rsidR="000420B5" w:rsidRPr="006436E9" w:rsidRDefault="000420B5" w:rsidP="00A5580C">
      <w:pPr>
        <w:pStyle w:val="MDPI31text"/>
        <w:rPr>
          <w:lang w:val="en-GB"/>
        </w:rPr>
      </w:pPr>
      <w:r w:rsidRPr="006436E9">
        <w:rPr>
          <w:lang w:val="en-GB"/>
        </w:rPr>
        <w:t>In 1996, the 49th World Health Assembly adopted a resolution that declared violence as a leading public health problem. There are several reasons for a growing recognition of violence as a problem that could be addressed from a public health perspective. First, violence has considerable impacts on morbidity and mortality across the world, particularly among young people (</w:t>
      </w:r>
      <w:r w:rsidR="00CE2618" w:rsidRPr="006436E9">
        <w:rPr>
          <w:szCs w:val="18"/>
          <w:lang w:val="en-GB"/>
        </w:rPr>
        <w:t>Krug et al. 2002</w:t>
      </w:r>
      <w:r w:rsidR="008C2D43">
        <w:rPr>
          <w:szCs w:val="18"/>
          <w:lang w:val="en-GB"/>
        </w:rPr>
        <w:t xml:space="preserve">, </w:t>
      </w:r>
      <w:r w:rsidR="008C2D43" w:rsidRPr="008C2D43">
        <w:rPr>
          <w:szCs w:val="18"/>
          <w:lang w:val="en-GB"/>
        </w:rPr>
        <w:t>Syed et al. 2021</w:t>
      </w:r>
      <w:r w:rsidRPr="006436E9">
        <w:rPr>
          <w:lang w:val="en-GB"/>
        </w:rPr>
        <w:t>). Second, violence is closely related to socioeconomic, gender, and ethnic inequalities and can be driven by unequal divisions of resources (</w:t>
      </w:r>
      <w:r w:rsidR="00CE2618" w:rsidRPr="006436E9">
        <w:rPr>
          <w:szCs w:val="18"/>
          <w:lang w:val="en-GB"/>
        </w:rPr>
        <w:t>Wilkinson 2004</w:t>
      </w:r>
      <w:r w:rsidRPr="006436E9">
        <w:rPr>
          <w:lang w:val="en-GB"/>
        </w:rPr>
        <w:t>). Furthermore, violence causes and deepens inequalities (</w:t>
      </w:r>
      <w:r w:rsidR="00CE2618" w:rsidRPr="006436E9">
        <w:rPr>
          <w:szCs w:val="18"/>
          <w:lang w:val="en-GB"/>
        </w:rPr>
        <w:t>World Health Organization 2014</w:t>
      </w:r>
      <w:r w:rsidRPr="006436E9">
        <w:rPr>
          <w:lang w:val="en-GB"/>
        </w:rPr>
        <w:t>). Additionally, treating violence as a public health problem puts an onus on policymakers to implement changes to reduce violence and its impacts (</w:t>
      </w:r>
      <w:r w:rsidR="00CE2618" w:rsidRPr="006436E9">
        <w:rPr>
          <w:szCs w:val="18"/>
          <w:lang w:val="en-GB"/>
        </w:rPr>
        <w:t>Heath 2002</w:t>
      </w:r>
      <w:r w:rsidRPr="006436E9">
        <w:rPr>
          <w:lang w:val="en-GB"/>
        </w:rPr>
        <w:t>).</w:t>
      </w:r>
    </w:p>
    <w:p w14:paraId="7C66AE58" w14:textId="52028925" w:rsidR="000420B5" w:rsidRPr="006436E9" w:rsidRDefault="000420B5" w:rsidP="00413456">
      <w:pPr>
        <w:pStyle w:val="MDPI31text"/>
        <w:rPr>
          <w:b/>
          <w:szCs w:val="20"/>
          <w:lang w:val="en-GB"/>
        </w:rPr>
      </w:pPr>
      <w:r w:rsidRPr="006436E9">
        <w:rPr>
          <w:lang w:val="en-GB"/>
        </w:rPr>
        <w:t>Violence, however, differs from many other major public health issues, as it does not fit easily in</w:t>
      </w:r>
      <w:r w:rsidR="0024060B" w:rsidRPr="006436E9">
        <w:rPr>
          <w:lang w:val="en-GB"/>
        </w:rPr>
        <w:t>to</w:t>
      </w:r>
      <w:r w:rsidRPr="006436E9">
        <w:rPr>
          <w:lang w:val="en-GB"/>
        </w:rPr>
        <w:t xml:space="preserve"> traditional classification systems designed for the diagnosis and treatment of communicable- and non-communicable disease</w:t>
      </w:r>
      <w:r w:rsidR="0024060B" w:rsidRPr="006436E9">
        <w:rPr>
          <w:lang w:val="en-GB"/>
        </w:rPr>
        <w:t>s</w:t>
      </w:r>
      <w:r w:rsidRPr="006436E9">
        <w:rPr>
          <w:lang w:val="en-GB"/>
        </w:rPr>
        <w:t xml:space="preserve">. The World Health Organization (WHO) definition of violence highlights two components: the intention to use force or/and </w:t>
      </w:r>
      <w:r w:rsidRPr="006436E9">
        <w:rPr>
          <w:lang w:val="en-GB"/>
        </w:rPr>
        <w:lastRenderedPageBreak/>
        <w:t>cause harm and the actual harm it produces (</w:t>
      </w:r>
      <w:bookmarkStart w:id="1" w:name="_Hlk160032261"/>
      <w:r w:rsidR="00CE2618" w:rsidRPr="006436E9">
        <w:rPr>
          <w:szCs w:val="18"/>
          <w:lang w:val="en-GB"/>
        </w:rPr>
        <w:t>Krug et al. 2002</w:t>
      </w:r>
      <w:bookmarkEnd w:id="1"/>
      <w:r w:rsidRPr="006436E9">
        <w:rPr>
          <w:lang w:val="en-GB"/>
        </w:rPr>
        <w:t>). While criminal justice systems focus more on the former, healthcare systems prioriti</w:t>
      </w:r>
      <w:r w:rsidR="0024060B" w:rsidRPr="006436E9">
        <w:rPr>
          <w:lang w:val="en-GB"/>
        </w:rPr>
        <w:t>s</w:t>
      </w:r>
      <w:r w:rsidRPr="006436E9">
        <w:rPr>
          <w:lang w:val="en-GB"/>
        </w:rPr>
        <w:t xml:space="preserve">e the latter. Medical professionals often lack </w:t>
      </w:r>
      <w:r w:rsidRPr="006436E9">
        <w:rPr>
          <w:szCs w:val="20"/>
          <w:lang w:val="en-GB"/>
        </w:rPr>
        <w:t xml:space="preserve">training on how to inquire about and respond to violence experienced by their patients, and the medical recording systems do not facilitate </w:t>
      </w:r>
      <w:r w:rsidR="0024060B" w:rsidRPr="006436E9">
        <w:rPr>
          <w:szCs w:val="20"/>
          <w:lang w:val="en-GB"/>
        </w:rPr>
        <w:t xml:space="preserve">the </w:t>
      </w:r>
      <w:r w:rsidRPr="006436E9">
        <w:rPr>
          <w:szCs w:val="20"/>
          <w:lang w:val="en-GB"/>
        </w:rPr>
        <w:t>detailed and consistent capture of these experiences (</w:t>
      </w:r>
      <w:r w:rsidR="00CE2618" w:rsidRPr="006436E9">
        <w:rPr>
          <w:szCs w:val="20"/>
          <w:lang w:val="en-GB"/>
        </w:rPr>
        <w:t>Kirk and Bezzant 2020</w:t>
      </w:r>
      <w:r w:rsidRPr="006436E9">
        <w:rPr>
          <w:szCs w:val="20"/>
          <w:lang w:val="en-GB"/>
        </w:rPr>
        <w:t>). The WHO’s International Classification of Diseases (ICD) includes codes for violence. These secondary codes are meant to provide contextual information for resulting injuries and health harms, and they are often missed or inconsistently or incorrectly applied (</w:t>
      </w:r>
      <w:r w:rsidR="00CE2618" w:rsidRPr="006436E9">
        <w:rPr>
          <w:szCs w:val="20"/>
          <w:lang w:val="en-GB"/>
        </w:rPr>
        <w:t>Olive 2018</w:t>
      </w:r>
      <w:r w:rsidRPr="006436E9">
        <w:rPr>
          <w:szCs w:val="20"/>
          <w:lang w:val="en-GB"/>
        </w:rPr>
        <w:t>).</w:t>
      </w:r>
    </w:p>
    <w:p w14:paraId="0A3B5DC8" w14:textId="298FF3AB" w:rsidR="000420B5" w:rsidRPr="006436E9" w:rsidRDefault="000420B5" w:rsidP="00413456">
      <w:pPr>
        <w:pStyle w:val="MDPI31text"/>
        <w:rPr>
          <w:b/>
          <w:szCs w:val="20"/>
          <w:lang w:val="en-GB"/>
        </w:rPr>
      </w:pPr>
      <w:r w:rsidRPr="006436E9">
        <w:rPr>
          <w:szCs w:val="20"/>
          <w:lang w:val="en-GB"/>
        </w:rPr>
        <w:t xml:space="preserve">An epidemiological approach to health problems and their prevention incorporates an understanding of relationships between a cause, </w:t>
      </w:r>
      <w:r w:rsidR="007D3950" w:rsidRPr="006436E9">
        <w:rPr>
          <w:szCs w:val="20"/>
          <w:lang w:val="en-GB"/>
        </w:rPr>
        <w:t xml:space="preserve">its </w:t>
      </w:r>
      <w:r w:rsidRPr="006436E9">
        <w:rPr>
          <w:szCs w:val="20"/>
          <w:lang w:val="en-GB"/>
        </w:rPr>
        <w:t xml:space="preserve">effect, and </w:t>
      </w:r>
      <w:r w:rsidR="007D3950" w:rsidRPr="006436E9">
        <w:rPr>
          <w:szCs w:val="20"/>
          <w:lang w:val="en-GB"/>
        </w:rPr>
        <w:t xml:space="preserve">the </w:t>
      </w:r>
      <w:r w:rsidRPr="006436E9">
        <w:rPr>
          <w:szCs w:val="20"/>
          <w:lang w:val="en-GB"/>
        </w:rPr>
        <w:t xml:space="preserve">environment. Despite focusing on the health effects of violence, health services are in a good position to also collect information on </w:t>
      </w:r>
      <w:r w:rsidR="0024060B" w:rsidRPr="006436E9">
        <w:rPr>
          <w:szCs w:val="20"/>
          <w:lang w:val="en-GB"/>
        </w:rPr>
        <w:t xml:space="preserve">the </w:t>
      </w:r>
      <w:r w:rsidRPr="006436E9">
        <w:rPr>
          <w:szCs w:val="20"/>
          <w:lang w:val="en-GB"/>
        </w:rPr>
        <w:t xml:space="preserve">cause and </w:t>
      </w:r>
      <w:r w:rsidR="0024060B" w:rsidRPr="006436E9">
        <w:rPr>
          <w:szCs w:val="20"/>
          <w:lang w:val="en-GB"/>
        </w:rPr>
        <w:t xml:space="preserve">the </w:t>
      </w:r>
      <w:r w:rsidRPr="006436E9">
        <w:rPr>
          <w:szCs w:val="20"/>
          <w:lang w:val="en-GB"/>
        </w:rPr>
        <w:t>environment, with</w:t>
      </w:r>
      <w:r w:rsidR="0024060B" w:rsidRPr="006436E9">
        <w:rPr>
          <w:szCs w:val="20"/>
          <w:lang w:val="en-GB"/>
        </w:rPr>
        <w:t xml:space="preserve"> the</w:t>
      </w:r>
      <w:r w:rsidRPr="006436E9">
        <w:rPr>
          <w:szCs w:val="20"/>
          <w:lang w:val="en-GB"/>
        </w:rPr>
        <w:t xml:space="preserve"> potential to further understand</w:t>
      </w:r>
      <w:r w:rsidR="0024060B" w:rsidRPr="006436E9">
        <w:rPr>
          <w:szCs w:val="20"/>
          <w:lang w:val="en-GB"/>
        </w:rPr>
        <w:t xml:space="preserve"> </w:t>
      </w:r>
      <w:r w:rsidRPr="006436E9">
        <w:rPr>
          <w:szCs w:val="20"/>
          <w:lang w:val="en-GB"/>
        </w:rPr>
        <w:t>the epidemiology of violence. For example, a breakdown of domestic abuse-related assaults from Accident and Emergency data in Wigan (UK) was shared with the local authority and provided additional information to that available from police. It revealed an upward trend in the number of people attending (that is, presenting to)</w:t>
      </w:r>
      <w:r w:rsidR="005506C6" w:rsidRPr="006436E9">
        <w:rPr>
          <w:bCs/>
          <w:szCs w:val="20"/>
          <w:lang w:val="en-GB"/>
        </w:rPr>
        <w:t xml:space="preserve"> </w:t>
      </w:r>
      <w:r w:rsidRPr="006436E9">
        <w:rPr>
          <w:szCs w:val="20"/>
          <w:lang w:val="en-GB"/>
        </w:rPr>
        <w:t>emergency care due to non-nightlife violence and highlighted a need for a referral pathway for domestic violence (DV) cases (</w:t>
      </w:r>
      <w:r w:rsidR="00CE2618" w:rsidRPr="006436E9">
        <w:rPr>
          <w:szCs w:val="20"/>
          <w:lang w:val="en-GB"/>
        </w:rPr>
        <w:t>Wrightington and Leigh 2014</w:t>
      </w:r>
      <w:r w:rsidRPr="006436E9">
        <w:rPr>
          <w:szCs w:val="20"/>
          <w:lang w:val="en-GB"/>
        </w:rPr>
        <w:t>). Healthcare services are often the first or only point of service contact for violence victims and</w:t>
      </w:r>
      <w:r w:rsidR="0024060B" w:rsidRPr="006436E9">
        <w:rPr>
          <w:szCs w:val="20"/>
          <w:lang w:val="en-GB"/>
        </w:rPr>
        <w:t>,</w:t>
      </w:r>
      <w:r w:rsidRPr="006436E9">
        <w:rPr>
          <w:szCs w:val="20"/>
          <w:lang w:val="en-GB"/>
        </w:rPr>
        <w:t xml:space="preserve"> therefore</w:t>
      </w:r>
      <w:r w:rsidR="0024060B" w:rsidRPr="006436E9">
        <w:rPr>
          <w:szCs w:val="20"/>
          <w:lang w:val="en-GB"/>
        </w:rPr>
        <w:t>,</w:t>
      </w:r>
      <w:r w:rsidRPr="006436E9">
        <w:rPr>
          <w:szCs w:val="20"/>
          <w:lang w:val="en-GB"/>
        </w:rPr>
        <w:t xml:space="preserve"> may provide unique information on </w:t>
      </w:r>
      <w:r w:rsidR="0024060B" w:rsidRPr="006436E9">
        <w:rPr>
          <w:szCs w:val="20"/>
          <w:lang w:val="en-GB"/>
        </w:rPr>
        <w:t xml:space="preserve">the </w:t>
      </w:r>
      <w:r w:rsidRPr="006436E9">
        <w:rPr>
          <w:szCs w:val="20"/>
          <w:lang w:val="en-GB"/>
        </w:rPr>
        <w:t>violence experienced by some populations (</w:t>
      </w:r>
      <w:r w:rsidR="00CE2618" w:rsidRPr="006436E9">
        <w:rPr>
          <w:szCs w:val="20"/>
          <w:lang w:val="en-GB"/>
        </w:rPr>
        <w:t>Richardson et al. 2002</w:t>
      </w:r>
      <w:r w:rsidRPr="006436E9">
        <w:rPr>
          <w:szCs w:val="20"/>
          <w:lang w:val="en-GB"/>
        </w:rPr>
        <w:t>). However, health service datasets are underutilised in epidemiological research on violence, despite their possible advantages. The potential of administrative health data sources needs to be better understood.</w:t>
      </w:r>
    </w:p>
    <w:p w14:paraId="22898638" w14:textId="3AF4814F" w:rsidR="000420B5" w:rsidRPr="006436E9" w:rsidRDefault="000420B5" w:rsidP="00413456">
      <w:pPr>
        <w:pStyle w:val="MDPI31text"/>
        <w:rPr>
          <w:b/>
          <w:szCs w:val="20"/>
          <w:lang w:val="en-GB"/>
        </w:rPr>
      </w:pPr>
      <w:r w:rsidRPr="006436E9">
        <w:rPr>
          <w:szCs w:val="20"/>
          <w:lang w:val="en-GB"/>
        </w:rPr>
        <w:t>Emergency and primary care records jointly cover a large proportion of the population affected by violence (</w:t>
      </w:r>
      <w:r w:rsidR="003E0C33" w:rsidRPr="006436E9">
        <w:rPr>
          <w:szCs w:val="20"/>
          <w:lang w:val="en-GB"/>
        </w:rPr>
        <w:t>Hofner et al. 2005</w:t>
      </w:r>
      <w:r w:rsidRPr="006436E9">
        <w:rPr>
          <w:szCs w:val="20"/>
          <w:lang w:val="en-GB"/>
        </w:rPr>
        <w:t>). Approximately 2.5% of all patients attending an emergency department (ED) in the UK present as victims of violence. The total number of ED patients recorded as victims of violence is 3–10 times higher than the number of victims presenting to and recorded by the police (</w:t>
      </w:r>
      <w:proofErr w:type="spellStart"/>
      <w:r w:rsidR="003E0C33" w:rsidRPr="006436E9">
        <w:rPr>
          <w:szCs w:val="20"/>
          <w:lang w:val="en-GB"/>
        </w:rPr>
        <w:t>Sivarajasingam</w:t>
      </w:r>
      <w:proofErr w:type="spellEnd"/>
      <w:r w:rsidR="003E0C33" w:rsidRPr="006436E9">
        <w:rPr>
          <w:szCs w:val="20"/>
          <w:lang w:val="en-GB"/>
        </w:rPr>
        <w:t xml:space="preserve"> and Shepherd 1995</w:t>
      </w:r>
      <w:r w:rsidRPr="006436E9">
        <w:rPr>
          <w:szCs w:val="20"/>
          <w:lang w:val="en-GB"/>
        </w:rPr>
        <w:t>). Patients may consult an ED to receive treatment for injuries caused by violence. Furthermore, individuals experiencing violence and abuse tend to access EDs more frequently than those not exposed to violence</w:t>
      </w:r>
      <w:r w:rsidR="0024060B" w:rsidRPr="006436E9">
        <w:rPr>
          <w:szCs w:val="20"/>
          <w:lang w:val="en-GB"/>
        </w:rPr>
        <w:t>,</w:t>
      </w:r>
      <w:r w:rsidRPr="006436E9">
        <w:rPr>
          <w:szCs w:val="20"/>
          <w:lang w:val="en-GB"/>
        </w:rPr>
        <w:t xml:space="preserve"> regardless of the reason for attending (</w:t>
      </w:r>
      <w:r w:rsidR="003E0C33" w:rsidRPr="006436E9">
        <w:rPr>
          <w:szCs w:val="20"/>
          <w:lang w:val="en-GB"/>
        </w:rPr>
        <w:t>Eisenstat and Bancroft 1999</w:t>
      </w:r>
      <w:r w:rsidR="00723381">
        <w:rPr>
          <w:szCs w:val="20"/>
          <w:lang w:val="en-GB"/>
        </w:rPr>
        <w:t>;</w:t>
      </w:r>
      <w:r w:rsidRPr="006436E9">
        <w:rPr>
          <w:szCs w:val="20"/>
          <w:lang w:val="en-GB"/>
        </w:rPr>
        <w:t xml:space="preserve"> </w:t>
      </w:r>
      <w:r w:rsidR="003E0C33" w:rsidRPr="006436E9">
        <w:rPr>
          <w:szCs w:val="20"/>
          <w:lang w:val="en-GB"/>
        </w:rPr>
        <w:t>Jewkes 2002</w:t>
      </w:r>
      <w:r w:rsidRPr="006436E9">
        <w:rPr>
          <w:szCs w:val="20"/>
          <w:lang w:val="en-GB"/>
        </w:rPr>
        <w:t>).</w:t>
      </w:r>
    </w:p>
    <w:p w14:paraId="10EECD8A" w14:textId="25969518" w:rsidR="000420B5" w:rsidRPr="006436E9" w:rsidRDefault="000420B5" w:rsidP="00413456">
      <w:pPr>
        <w:pStyle w:val="MDPI31text"/>
        <w:rPr>
          <w:b/>
          <w:szCs w:val="20"/>
          <w:lang w:val="en-GB"/>
        </w:rPr>
      </w:pPr>
      <w:r w:rsidRPr="006436E9">
        <w:rPr>
          <w:szCs w:val="20"/>
          <w:lang w:val="en-GB"/>
        </w:rPr>
        <w:t>Primary care is also frequently the first point of contact for violence victims or a common pathway of discharge from other health services. Victims often present to primary care with long-term physical and psychological harm caused by violence (</w:t>
      </w:r>
      <w:r w:rsidR="003E0C33" w:rsidRPr="006436E9">
        <w:rPr>
          <w:szCs w:val="20"/>
          <w:lang w:val="en-GB"/>
        </w:rPr>
        <w:t>Usta and Taleb 2014</w:t>
      </w:r>
      <w:r w:rsidRPr="006436E9">
        <w:rPr>
          <w:szCs w:val="20"/>
          <w:lang w:val="en-GB"/>
        </w:rPr>
        <w:t>). In terms of mental health harm, primary care is often the first point of contact with a healthcare system</w:t>
      </w:r>
      <w:r w:rsidR="0024060B" w:rsidRPr="006436E9">
        <w:rPr>
          <w:szCs w:val="20"/>
          <w:lang w:val="en-GB"/>
        </w:rPr>
        <w:t xml:space="preserve"> and is</w:t>
      </w:r>
      <w:r w:rsidRPr="006436E9">
        <w:rPr>
          <w:szCs w:val="20"/>
          <w:lang w:val="en-GB"/>
        </w:rPr>
        <w:t xml:space="preserve"> where the majority of these patients are treated (</w:t>
      </w:r>
      <w:r w:rsidR="003E0C33" w:rsidRPr="006436E9">
        <w:rPr>
          <w:szCs w:val="20"/>
          <w:lang w:val="en-GB"/>
        </w:rPr>
        <w:t>Green et al. 2001</w:t>
      </w:r>
      <w:r w:rsidRPr="006436E9">
        <w:rPr>
          <w:szCs w:val="20"/>
          <w:lang w:val="en-GB"/>
        </w:rPr>
        <w:t>). Therefore, for some types of violence</w:t>
      </w:r>
      <w:r w:rsidR="0024060B" w:rsidRPr="006436E9">
        <w:rPr>
          <w:szCs w:val="20"/>
          <w:lang w:val="en-GB"/>
        </w:rPr>
        <w:t>,</w:t>
      </w:r>
      <w:r w:rsidRPr="006436E9">
        <w:rPr>
          <w:szCs w:val="20"/>
          <w:lang w:val="en-GB"/>
        </w:rPr>
        <w:t xml:space="preserve"> such as domestic violence, </w:t>
      </w:r>
      <w:r w:rsidR="0024060B" w:rsidRPr="006436E9">
        <w:rPr>
          <w:szCs w:val="20"/>
          <w:lang w:val="en-GB"/>
        </w:rPr>
        <w:t xml:space="preserve">in which </w:t>
      </w:r>
      <w:r w:rsidRPr="006436E9">
        <w:rPr>
          <w:szCs w:val="20"/>
          <w:lang w:val="en-GB"/>
        </w:rPr>
        <w:t>mental health harm might be more prominent (</w:t>
      </w:r>
      <w:r w:rsidR="003E0C33" w:rsidRPr="006436E9">
        <w:rPr>
          <w:szCs w:val="20"/>
          <w:lang w:val="en-GB"/>
        </w:rPr>
        <w:t>Howard et al. 2010</w:t>
      </w:r>
      <w:r w:rsidRPr="006436E9">
        <w:rPr>
          <w:szCs w:val="20"/>
          <w:lang w:val="en-GB"/>
        </w:rPr>
        <w:t>), primary care records can be a particularly suitable data source. The present research aims to examine the utility of four existing administrative health datasets</w:t>
      </w:r>
      <w:r w:rsidR="005506C6" w:rsidRPr="006436E9">
        <w:rPr>
          <w:b/>
          <w:szCs w:val="20"/>
          <w:lang w:val="en-GB"/>
        </w:rPr>
        <w:t xml:space="preserve"> </w:t>
      </w:r>
      <w:r w:rsidRPr="006436E9">
        <w:rPr>
          <w:szCs w:val="20"/>
          <w:lang w:val="en-GB"/>
        </w:rPr>
        <w:t>for measuring violence (</w:t>
      </w:r>
      <w:r w:rsidR="003E0C33" w:rsidRPr="006436E9">
        <w:rPr>
          <w:szCs w:val="20"/>
          <w:lang w:val="en-GB"/>
        </w:rPr>
        <w:t>Blom et al. 2023</w:t>
      </w:r>
      <w:r w:rsidRPr="006436E9">
        <w:rPr>
          <w:szCs w:val="20"/>
          <w:lang w:val="en-GB"/>
        </w:rPr>
        <w:t>), focusing on emergency care and primary care in England and a linked ED</w:t>
      </w:r>
      <w:r w:rsidR="0024060B" w:rsidRPr="006436E9">
        <w:rPr>
          <w:szCs w:val="20"/>
          <w:lang w:val="en-GB"/>
        </w:rPr>
        <w:t>–</w:t>
      </w:r>
      <w:r w:rsidRPr="006436E9">
        <w:rPr>
          <w:szCs w:val="20"/>
          <w:lang w:val="en-GB"/>
        </w:rPr>
        <w:t>police dataset from Wales.</w:t>
      </w:r>
    </w:p>
    <w:p w14:paraId="344FEDA4" w14:textId="0C71C973" w:rsidR="000420B5" w:rsidRPr="006436E9" w:rsidRDefault="00413456" w:rsidP="00413456">
      <w:pPr>
        <w:pStyle w:val="MDPI21heading1"/>
        <w:rPr>
          <w:lang w:val="en-GB"/>
        </w:rPr>
      </w:pPr>
      <w:r w:rsidRPr="006436E9">
        <w:rPr>
          <w:lang w:val="en-GB"/>
        </w:rPr>
        <w:t xml:space="preserve">2. </w:t>
      </w:r>
      <w:r w:rsidR="000420B5" w:rsidRPr="006436E9">
        <w:rPr>
          <w:lang w:val="en-GB"/>
        </w:rPr>
        <w:t>Methods</w:t>
      </w:r>
    </w:p>
    <w:p w14:paraId="795C837E" w14:textId="0A165BBE" w:rsidR="000420B5" w:rsidRPr="006436E9" w:rsidRDefault="00413456" w:rsidP="00413456">
      <w:pPr>
        <w:pStyle w:val="MDPI22heading2"/>
        <w:rPr>
          <w:noProof w:val="0"/>
          <w:lang w:val="en-GB"/>
        </w:rPr>
      </w:pPr>
      <w:r w:rsidRPr="006436E9">
        <w:rPr>
          <w:noProof w:val="0"/>
          <w:lang w:val="en-GB"/>
        </w:rPr>
        <w:t xml:space="preserve">2.1. </w:t>
      </w:r>
      <w:r w:rsidR="000420B5" w:rsidRPr="006436E9">
        <w:rPr>
          <w:noProof w:val="0"/>
          <w:lang w:val="en-GB"/>
        </w:rPr>
        <w:t xml:space="preserve">Data </w:t>
      </w:r>
      <w:r w:rsidR="00AD6BF8" w:rsidRPr="006436E9">
        <w:rPr>
          <w:noProof w:val="0"/>
          <w:lang w:val="en-GB"/>
        </w:rPr>
        <w:t>Sources</w:t>
      </w:r>
    </w:p>
    <w:p w14:paraId="6D2D6D96" w14:textId="39CB1790" w:rsidR="000420B5" w:rsidRPr="006436E9" w:rsidRDefault="000420B5" w:rsidP="00413456">
      <w:pPr>
        <w:pStyle w:val="MDPI31text"/>
        <w:rPr>
          <w:szCs w:val="20"/>
          <w:lang w:val="en-GB"/>
        </w:rPr>
      </w:pPr>
      <w:r w:rsidRPr="006436E9">
        <w:rPr>
          <w:szCs w:val="20"/>
          <w:lang w:val="en-GB"/>
        </w:rPr>
        <w:t xml:space="preserve">The example datasets for emergency department patients </w:t>
      </w:r>
      <w:r w:rsidR="0024060B" w:rsidRPr="006436E9">
        <w:rPr>
          <w:szCs w:val="20"/>
          <w:lang w:val="en-GB"/>
        </w:rPr>
        <w:t xml:space="preserve">were </w:t>
      </w:r>
      <w:r w:rsidRPr="006436E9">
        <w:rPr>
          <w:szCs w:val="20"/>
          <w:lang w:val="en-GB"/>
        </w:rPr>
        <w:t xml:space="preserve">the Hospital Episodes Statistics Accident and Emergency (HES A&amp;E) dataset and </w:t>
      </w:r>
      <w:r w:rsidR="0024060B" w:rsidRPr="006436E9">
        <w:rPr>
          <w:szCs w:val="20"/>
          <w:lang w:val="en-GB"/>
        </w:rPr>
        <w:t xml:space="preserve">the </w:t>
      </w:r>
      <w:r w:rsidRPr="006436E9">
        <w:rPr>
          <w:szCs w:val="20"/>
          <w:lang w:val="en-GB"/>
        </w:rPr>
        <w:t xml:space="preserve">Emergency Care Data Set (ECDS), and for primary care patients, </w:t>
      </w:r>
      <w:r w:rsidR="0024060B" w:rsidRPr="006436E9">
        <w:rPr>
          <w:szCs w:val="20"/>
          <w:lang w:val="en-GB"/>
        </w:rPr>
        <w:t xml:space="preserve">the example dataset is </w:t>
      </w:r>
      <w:r w:rsidRPr="006436E9">
        <w:rPr>
          <w:szCs w:val="20"/>
          <w:lang w:val="en-GB"/>
        </w:rPr>
        <w:t xml:space="preserve">the Clinical Practice Research Datalink (CPRD). Unlike locally held data, these datasets contain less detailed clinical and demographic information but provide large national samples broadly representative of the general population (NHS users) and are available in forms intended to facilitate research. In </w:t>
      </w:r>
      <w:r w:rsidR="0024060B" w:rsidRPr="006436E9">
        <w:rPr>
          <w:szCs w:val="20"/>
          <w:lang w:val="en-GB"/>
        </w:rPr>
        <w:t xml:space="preserve">the </w:t>
      </w:r>
      <w:r w:rsidRPr="006436E9">
        <w:rPr>
          <w:szCs w:val="20"/>
          <w:lang w:val="en-GB"/>
        </w:rPr>
        <w:t xml:space="preserve">present research, ECDS data collected between April 2021 and March 2022 </w:t>
      </w:r>
      <w:r w:rsidRPr="006436E9">
        <w:rPr>
          <w:szCs w:val="20"/>
          <w:lang w:val="en-GB"/>
        </w:rPr>
        <w:lastRenderedPageBreak/>
        <w:t xml:space="preserve">and HES A&amp;E data collected between April 2015 and March 2016 (before the introduction of </w:t>
      </w:r>
      <w:r w:rsidR="0024060B" w:rsidRPr="006436E9">
        <w:rPr>
          <w:szCs w:val="20"/>
          <w:lang w:val="en-GB"/>
        </w:rPr>
        <w:t xml:space="preserve">the </w:t>
      </w:r>
      <w:r w:rsidRPr="006436E9">
        <w:rPr>
          <w:szCs w:val="20"/>
          <w:lang w:val="en-GB"/>
        </w:rPr>
        <w:t xml:space="preserve">ECDS) were analysed to estimate the prevalence of violence by demographic and area-level characteristics. The potential of </w:t>
      </w:r>
      <w:r w:rsidR="0024060B" w:rsidRPr="006436E9">
        <w:rPr>
          <w:szCs w:val="20"/>
          <w:lang w:val="en-GB"/>
        </w:rPr>
        <w:t xml:space="preserve">the </w:t>
      </w:r>
      <w:r w:rsidRPr="006436E9">
        <w:rPr>
          <w:szCs w:val="20"/>
          <w:lang w:val="en-GB"/>
        </w:rPr>
        <w:t>CPRD for examining the distribution of violence and abuse was shown using already available evidence (</w:t>
      </w:r>
      <w:bookmarkStart w:id="2" w:name="_Hlk160032438"/>
      <w:r w:rsidR="00AD6BF8" w:rsidRPr="006436E9">
        <w:rPr>
          <w:szCs w:val="20"/>
          <w:lang w:val="en-GB"/>
        </w:rPr>
        <w:t>Jewkes 2002</w:t>
      </w:r>
      <w:bookmarkEnd w:id="2"/>
      <w:r w:rsidR="00C61B6E" w:rsidRPr="006436E9">
        <w:rPr>
          <w:szCs w:val="20"/>
          <w:lang w:val="en-GB"/>
        </w:rPr>
        <w:t>;</w:t>
      </w:r>
      <w:r w:rsidR="00AD6BF8" w:rsidRPr="006436E9">
        <w:rPr>
          <w:szCs w:val="20"/>
          <w:lang w:val="en-GB"/>
        </w:rPr>
        <w:t xml:space="preserve"> </w:t>
      </w:r>
      <w:bookmarkStart w:id="3" w:name="_Hlk160032448"/>
      <w:r w:rsidR="00AD6BF8" w:rsidRPr="006436E9">
        <w:rPr>
          <w:szCs w:val="20"/>
          <w:lang w:val="en-GB"/>
        </w:rPr>
        <w:t>Usta and Taleb 2014</w:t>
      </w:r>
      <w:bookmarkEnd w:id="3"/>
      <w:r w:rsidR="00C61B6E" w:rsidRPr="006436E9">
        <w:rPr>
          <w:szCs w:val="20"/>
          <w:lang w:val="en-GB"/>
        </w:rPr>
        <w:t>;</w:t>
      </w:r>
      <w:r w:rsidR="00AD6BF8" w:rsidRPr="006436E9">
        <w:rPr>
          <w:szCs w:val="20"/>
          <w:lang w:val="en-GB"/>
        </w:rPr>
        <w:t xml:space="preserve"> </w:t>
      </w:r>
      <w:bookmarkStart w:id="4" w:name="_Hlk160032459"/>
      <w:r w:rsidR="00AD6BF8" w:rsidRPr="006436E9">
        <w:rPr>
          <w:szCs w:val="20"/>
          <w:lang w:val="en-GB"/>
        </w:rPr>
        <w:t>Green et al. 2001</w:t>
      </w:r>
      <w:bookmarkEnd w:id="4"/>
      <w:r w:rsidRPr="006436E9">
        <w:rPr>
          <w:szCs w:val="20"/>
          <w:lang w:val="en-GB"/>
        </w:rPr>
        <w:t>).</w:t>
      </w:r>
    </w:p>
    <w:p w14:paraId="02D1F43B" w14:textId="0D5957A7" w:rsidR="000420B5" w:rsidRPr="006436E9" w:rsidRDefault="000420B5" w:rsidP="00413456">
      <w:pPr>
        <w:pStyle w:val="MDPI31text"/>
        <w:rPr>
          <w:szCs w:val="20"/>
          <w:lang w:val="en-GB"/>
        </w:rPr>
      </w:pPr>
      <w:r w:rsidRPr="006436E9">
        <w:rPr>
          <w:szCs w:val="20"/>
          <w:lang w:val="en-GB"/>
        </w:rPr>
        <w:t>In this research, there was no access to the CPRD and South Wales Violence Surveillance data, but the datasets were reviewed using data dictionaries and available research evidence (</w:t>
      </w:r>
      <w:r w:rsidR="00C61B6E" w:rsidRPr="006436E9">
        <w:rPr>
          <w:szCs w:val="20"/>
          <w:lang w:val="en-GB"/>
        </w:rPr>
        <w:t>Jewkes 2002; Usta and Taleb 2014; Green et al. 2001</w:t>
      </w:r>
      <w:r w:rsidRPr="006436E9">
        <w:rPr>
          <w:szCs w:val="20"/>
          <w:lang w:val="en-GB"/>
        </w:rPr>
        <w:t>). The CPRD was included in the review as an example of a primary care dataset that could provide valuable insights on violence distribution in comparison with emergency care data. In addition, we reviewed the South Wales Violence Surveillance dataset</w:t>
      </w:r>
      <w:r w:rsidR="0024060B" w:rsidRPr="006436E9">
        <w:rPr>
          <w:szCs w:val="20"/>
          <w:lang w:val="en-GB"/>
        </w:rPr>
        <w:t>,</w:t>
      </w:r>
      <w:r w:rsidRPr="006436E9">
        <w:rPr>
          <w:szCs w:val="20"/>
          <w:lang w:val="en-GB"/>
        </w:rPr>
        <w:t xml:space="preserve"> a linked ED and police dataset from South Wales. Public Health Wales (PHW) has linked ED data from three health boards (out of seven) across South Wales with data from </w:t>
      </w:r>
      <w:r w:rsidR="0024060B" w:rsidRPr="006436E9">
        <w:rPr>
          <w:szCs w:val="20"/>
          <w:lang w:val="en-GB"/>
        </w:rPr>
        <w:t xml:space="preserve">the </w:t>
      </w:r>
      <w:r w:rsidRPr="006436E9">
        <w:rPr>
          <w:szCs w:val="20"/>
          <w:lang w:val="en-GB"/>
        </w:rPr>
        <w:t>South Wales Police. The initiative was influenced by the original work on sharing data relevant to violence prevention between emergency departments in Cardiff, the police, and local authorities</w:t>
      </w:r>
      <w:r w:rsidR="0024060B" w:rsidRPr="006436E9">
        <w:rPr>
          <w:szCs w:val="20"/>
          <w:lang w:val="en-GB"/>
        </w:rPr>
        <w:t>,</w:t>
      </w:r>
      <w:r w:rsidRPr="006436E9">
        <w:rPr>
          <w:szCs w:val="20"/>
          <w:lang w:val="en-GB"/>
        </w:rPr>
        <w:t xml:space="preserve"> referred to as the ‘Cardiff Model’ (</w:t>
      </w:r>
      <w:bookmarkStart w:id="5" w:name="_Hlk160032467"/>
      <w:r w:rsidR="00C61B6E" w:rsidRPr="006436E9">
        <w:rPr>
          <w:szCs w:val="20"/>
          <w:lang w:val="en-GB"/>
        </w:rPr>
        <w:t>Howard et al. 2010</w:t>
      </w:r>
      <w:bookmarkEnd w:id="5"/>
      <w:r w:rsidRPr="006436E9">
        <w:rPr>
          <w:szCs w:val="20"/>
          <w:lang w:val="en-GB"/>
        </w:rPr>
        <w:t>). The combined dataset provides an opportunity to explore violence from the perspectives of two settings</w:t>
      </w:r>
      <w:r w:rsidR="0024060B" w:rsidRPr="006436E9">
        <w:rPr>
          <w:szCs w:val="20"/>
          <w:lang w:val="en-GB"/>
        </w:rPr>
        <w:t>—</w:t>
      </w:r>
      <w:r w:rsidRPr="006436E9">
        <w:rPr>
          <w:szCs w:val="20"/>
          <w:lang w:val="en-GB"/>
        </w:rPr>
        <w:t>health and crime.</w:t>
      </w:r>
    </w:p>
    <w:p w14:paraId="4B931BBA" w14:textId="01F48C00" w:rsidR="000420B5" w:rsidRPr="006436E9" w:rsidRDefault="00413456" w:rsidP="00413456">
      <w:pPr>
        <w:pStyle w:val="MDPI22heading2"/>
        <w:spacing w:before="240"/>
        <w:rPr>
          <w:noProof w:val="0"/>
          <w:lang w:val="en-GB"/>
        </w:rPr>
      </w:pPr>
      <w:r w:rsidRPr="006436E9">
        <w:rPr>
          <w:noProof w:val="0"/>
          <w:lang w:val="en-GB"/>
        </w:rPr>
        <w:t xml:space="preserve">2.2. </w:t>
      </w:r>
      <w:r w:rsidR="000420B5" w:rsidRPr="006436E9">
        <w:rPr>
          <w:noProof w:val="0"/>
          <w:lang w:val="en-GB"/>
        </w:rPr>
        <w:t>Measures</w:t>
      </w:r>
    </w:p>
    <w:p w14:paraId="659B936D" w14:textId="6110FF04" w:rsidR="000420B5" w:rsidRPr="006436E9" w:rsidRDefault="000420B5" w:rsidP="00723381">
      <w:pPr>
        <w:pStyle w:val="MDPI31text"/>
        <w:rPr>
          <w:lang w:val="en-GB"/>
        </w:rPr>
      </w:pPr>
      <w:r w:rsidRPr="006436E9">
        <w:rPr>
          <w:lang w:val="en-GB"/>
        </w:rPr>
        <w:t>Tables 1</w:t>
      </w:r>
      <w:r w:rsidR="005C03EF" w:rsidRPr="006436E9">
        <w:rPr>
          <w:lang w:val="en-GB"/>
        </w:rPr>
        <w:t>–</w:t>
      </w:r>
      <w:r w:rsidRPr="006436E9">
        <w:rPr>
          <w:lang w:val="en-GB"/>
        </w:rPr>
        <w:t xml:space="preserve">4 present all </w:t>
      </w:r>
      <w:r w:rsidR="0024060B" w:rsidRPr="006436E9">
        <w:rPr>
          <w:lang w:val="en-GB"/>
        </w:rPr>
        <w:t xml:space="preserve">the </w:t>
      </w:r>
      <w:r w:rsidRPr="006436E9">
        <w:rPr>
          <w:lang w:val="en-GB"/>
        </w:rPr>
        <w:t>measures of violence</w:t>
      </w:r>
      <w:r w:rsidR="0024060B" w:rsidRPr="006436E9">
        <w:rPr>
          <w:lang w:val="en-GB"/>
        </w:rPr>
        <w:t>,</w:t>
      </w:r>
      <w:r w:rsidRPr="006436E9">
        <w:rPr>
          <w:lang w:val="en-GB"/>
        </w:rPr>
        <w:t xml:space="preserve"> including the indicator of violent acts and harms, sociodemographic characteristics</w:t>
      </w:r>
      <w:r w:rsidR="0024060B" w:rsidRPr="006436E9">
        <w:rPr>
          <w:lang w:val="en-GB"/>
        </w:rPr>
        <w:t>,</w:t>
      </w:r>
      <w:r w:rsidRPr="006436E9">
        <w:rPr>
          <w:lang w:val="en-GB"/>
        </w:rPr>
        <w:t xml:space="preserve"> and other contextual information.</w:t>
      </w:r>
    </w:p>
    <w:p w14:paraId="54A18D91" w14:textId="1F4F09D4" w:rsidR="00BF0910" w:rsidRPr="00723381" w:rsidRDefault="009671F7" w:rsidP="00723381">
      <w:pPr>
        <w:pStyle w:val="MDPI23heading3"/>
        <w:spacing w:before="240"/>
        <w:rPr>
          <w:lang w:val="en-GB"/>
        </w:rPr>
      </w:pPr>
      <w:r>
        <w:rPr>
          <w:lang w:val="en-GB"/>
        </w:rPr>
        <w:t xml:space="preserve">2.2.1. </w:t>
      </w:r>
      <w:r w:rsidR="000420B5" w:rsidRPr="00723381">
        <w:rPr>
          <w:lang w:val="en-GB"/>
        </w:rPr>
        <w:t xml:space="preserve">Violence </w:t>
      </w:r>
      <w:r w:rsidR="00723381" w:rsidRPr="00723381">
        <w:rPr>
          <w:lang w:val="en-GB"/>
        </w:rPr>
        <w:t>Indicators</w:t>
      </w:r>
    </w:p>
    <w:p w14:paraId="1C7399D0" w14:textId="56CEBFD1" w:rsidR="000420B5" w:rsidRPr="006436E9" w:rsidRDefault="0024060B" w:rsidP="00723381">
      <w:pPr>
        <w:pStyle w:val="MDPI31text"/>
        <w:rPr>
          <w:lang w:val="en-GB"/>
        </w:rPr>
      </w:pPr>
      <w:r w:rsidRPr="006436E9">
        <w:rPr>
          <w:lang w:val="en-GB"/>
        </w:rPr>
        <w:t xml:space="preserve">The </w:t>
      </w:r>
      <w:r w:rsidR="000420B5" w:rsidRPr="006436E9">
        <w:rPr>
          <w:lang w:val="en-GB"/>
        </w:rPr>
        <w:t>HES A&amp;E classification has a ‘Patient group’ variable, for which one of the categories includes ‘Assault’ (</w:t>
      </w:r>
      <w:r w:rsidR="005C03EF" w:rsidRPr="006436E9">
        <w:rPr>
          <w:lang w:val="en-GB"/>
        </w:rPr>
        <w:t>NHS Digital 2021</w:t>
      </w:r>
      <w:r w:rsidR="000420B5" w:rsidRPr="006436E9">
        <w:rPr>
          <w:lang w:val="en-GB"/>
        </w:rPr>
        <w:t>). This category was used to identify cases of violence among patients in the dataset.</w:t>
      </w:r>
      <w:r w:rsidR="000420B5" w:rsidRPr="006436E9">
        <w:rPr>
          <w:i/>
          <w:lang w:val="en-GB"/>
        </w:rPr>
        <w:t xml:space="preserve"> </w:t>
      </w:r>
      <w:r w:rsidR="000420B5" w:rsidRPr="006436E9">
        <w:rPr>
          <w:lang w:val="en-GB"/>
        </w:rPr>
        <w:t xml:space="preserve">In </w:t>
      </w:r>
      <w:r w:rsidRPr="006436E9">
        <w:rPr>
          <w:lang w:val="en-GB"/>
        </w:rPr>
        <w:t xml:space="preserve">the </w:t>
      </w:r>
      <w:r w:rsidR="000420B5" w:rsidRPr="006436E9">
        <w:rPr>
          <w:lang w:val="en-GB"/>
        </w:rPr>
        <w:t>ECDS, violence was identified using the categories ‘Alleged victim of physical assault by lone assailant (situation)’ and ‘Alleged victim of physical assault by multiple assailants’ from the ‘Injury Intention’ variable.</w:t>
      </w:r>
    </w:p>
    <w:p w14:paraId="04B0C4EB" w14:textId="6B37A1D7" w:rsidR="000420B5" w:rsidRPr="006436E9" w:rsidRDefault="00413456" w:rsidP="00413456">
      <w:pPr>
        <w:pStyle w:val="MDPI41tablecaption"/>
        <w:jc w:val="both"/>
        <w:rPr>
          <w:lang w:val="en-GB"/>
        </w:rPr>
      </w:pPr>
      <w:r w:rsidRPr="006436E9">
        <w:rPr>
          <w:b/>
          <w:lang w:val="en-GB"/>
        </w:rPr>
        <w:t xml:space="preserve">Table 1. </w:t>
      </w:r>
      <w:r w:rsidR="000420B5" w:rsidRPr="006436E9">
        <w:rPr>
          <w:lang w:val="en-GB"/>
        </w:rPr>
        <w:t xml:space="preserve">Violence and other relevant items in the Hospital Episode Statistics Accident </w:t>
      </w:r>
      <w:r w:rsidR="0024060B" w:rsidRPr="006436E9">
        <w:rPr>
          <w:lang w:val="en-GB"/>
        </w:rPr>
        <w:t>and</w:t>
      </w:r>
      <w:r w:rsidR="000420B5" w:rsidRPr="006436E9">
        <w:rPr>
          <w:lang w:val="en-GB"/>
        </w:rPr>
        <w:t xml:space="preserve"> Emergency (HES A&amp;E)</w:t>
      </w:r>
      <w:r w:rsidRPr="006436E9">
        <w:rPr>
          <w:lang w:val="en-GB"/>
        </w:rPr>
        <w:t>.</w:t>
      </w:r>
    </w:p>
    <w:tbl>
      <w:tblPr>
        <w:tblStyle w:val="PlainTable2"/>
        <w:tblW w:w="10465" w:type="dxa"/>
        <w:tblLayout w:type="fixed"/>
        <w:tblLook w:val="04A0" w:firstRow="1" w:lastRow="0" w:firstColumn="1" w:lastColumn="0" w:noHBand="0" w:noVBand="1"/>
      </w:tblPr>
      <w:tblGrid>
        <w:gridCol w:w="5232"/>
        <w:gridCol w:w="5233"/>
      </w:tblGrid>
      <w:tr w:rsidR="000420B5" w:rsidRPr="006436E9" w14:paraId="682D8022" w14:textId="77777777" w:rsidTr="00B56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auto"/>
              <w:bottom w:val="single" w:sz="4" w:space="0" w:color="auto"/>
            </w:tcBorders>
          </w:tcPr>
          <w:p w14:paraId="0C7F0BBE" w14:textId="77777777" w:rsidR="000420B5" w:rsidRPr="006436E9" w:rsidRDefault="000420B5" w:rsidP="00B56191">
            <w:pPr>
              <w:autoSpaceDE w:val="0"/>
              <w:autoSpaceDN w:val="0"/>
              <w:adjustRightInd w:val="0"/>
              <w:snapToGrid w:val="0"/>
              <w:spacing w:line="240" w:lineRule="auto"/>
              <w:jc w:val="left"/>
              <w:rPr>
                <w:b w:val="0"/>
                <w:noProof w:val="0"/>
                <w:lang w:val="en-GB"/>
              </w:rPr>
            </w:pPr>
            <w:bookmarkStart w:id="6" w:name="_Hlk159341587"/>
            <w:r w:rsidRPr="006436E9">
              <w:rPr>
                <w:noProof w:val="0"/>
                <w:lang w:val="en-GB"/>
              </w:rPr>
              <w:t>Information</w:t>
            </w:r>
          </w:p>
        </w:tc>
        <w:tc>
          <w:tcPr>
            <w:tcW w:w="0" w:type="dxa"/>
            <w:tcBorders>
              <w:top w:val="single" w:sz="8" w:space="0" w:color="auto"/>
              <w:bottom w:val="single" w:sz="4" w:space="0" w:color="auto"/>
            </w:tcBorders>
          </w:tcPr>
          <w:p w14:paraId="00F23D7C" w14:textId="0E4401C3" w:rsidR="000420B5" w:rsidRPr="006436E9" w:rsidRDefault="000420B5" w:rsidP="00B56191">
            <w:pPr>
              <w:autoSpaceDE w:val="0"/>
              <w:autoSpaceDN w:val="0"/>
              <w:adjustRightInd w:val="0"/>
              <w:snapToGrid w:val="0"/>
              <w:spacing w:line="240" w:lineRule="auto"/>
              <w:jc w:val="left"/>
              <w:cnfStyle w:val="100000000000" w:firstRow="1" w:lastRow="0" w:firstColumn="0" w:lastColumn="0" w:oddVBand="0" w:evenVBand="0" w:oddHBand="0" w:evenHBand="0" w:firstRowFirstColumn="0" w:firstRowLastColumn="0" w:lastRowFirstColumn="0" w:lastRowLastColumn="0"/>
              <w:rPr>
                <w:b w:val="0"/>
                <w:noProof w:val="0"/>
                <w:lang w:val="en-GB"/>
              </w:rPr>
            </w:pPr>
            <w:bookmarkStart w:id="7" w:name="_Hlk159342030"/>
            <w:r w:rsidRPr="006436E9">
              <w:rPr>
                <w:noProof w:val="0"/>
                <w:lang w:val="en-GB"/>
              </w:rPr>
              <w:t xml:space="preserve">Hospital Episode Statistics Accident </w:t>
            </w:r>
            <w:r w:rsidR="0024060B" w:rsidRPr="006436E9">
              <w:rPr>
                <w:noProof w:val="0"/>
                <w:lang w:val="en-GB"/>
              </w:rPr>
              <w:t>and</w:t>
            </w:r>
            <w:r w:rsidRPr="006436E9">
              <w:rPr>
                <w:noProof w:val="0"/>
                <w:lang w:val="en-GB"/>
              </w:rPr>
              <w:t xml:space="preserve"> Emergency (HES A&amp;E)</w:t>
            </w:r>
            <w:bookmarkEnd w:id="7"/>
          </w:p>
        </w:tc>
      </w:tr>
      <w:tr w:rsidR="000420B5" w:rsidRPr="006436E9" w14:paraId="3E0C06F8" w14:textId="77777777" w:rsidTr="00B56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34997A23" w14:textId="77777777" w:rsidR="000420B5" w:rsidRPr="006436E9" w:rsidRDefault="000420B5" w:rsidP="00B56191">
            <w:pPr>
              <w:autoSpaceDE w:val="0"/>
              <w:autoSpaceDN w:val="0"/>
              <w:adjustRightInd w:val="0"/>
              <w:snapToGrid w:val="0"/>
              <w:spacing w:line="240" w:lineRule="auto"/>
              <w:jc w:val="left"/>
              <w:rPr>
                <w:b w:val="0"/>
                <w:bCs w:val="0"/>
                <w:noProof w:val="0"/>
                <w:lang w:val="en-GB"/>
              </w:rPr>
            </w:pPr>
            <w:r w:rsidRPr="006436E9">
              <w:rPr>
                <w:b w:val="0"/>
                <w:bCs w:val="0"/>
                <w:noProof w:val="0"/>
                <w:lang w:val="en-GB"/>
              </w:rPr>
              <w:t>Violence indicators</w:t>
            </w:r>
          </w:p>
        </w:tc>
        <w:tc>
          <w:tcPr>
            <w:tcW w:w="0" w:type="dxa"/>
            <w:tcBorders>
              <w:top w:val="single" w:sz="4" w:space="0" w:color="auto"/>
              <w:bottom w:val="single" w:sz="4" w:space="0" w:color="auto"/>
            </w:tcBorders>
          </w:tcPr>
          <w:p w14:paraId="7EEF5139" w14:textId="77777777" w:rsidR="000420B5" w:rsidRPr="006436E9" w:rsidRDefault="000420B5" w:rsidP="00B56191">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‘Patient group’ (includes ‘Assault’ category)</w:t>
            </w:r>
          </w:p>
        </w:tc>
      </w:tr>
      <w:tr w:rsidR="000420B5" w:rsidRPr="006436E9" w14:paraId="16C74BE8" w14:textId="77777777" w:rsidTr="00B56191">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6E743D52" w14:textId="77777777" w:rsidR="000420B5" w:rsidRPr="006436E9" w:rsidRDefault="000420B5" w:rsidP="00B56191">
            <w:pPr>
              <w:autoSpaceDE w:val="0"/>
              <w:autoSpaceDN w:val="0"/>
              <w:adjustRightInd w:val="0"/>
              <w:snapToGrid w:val="0"/>
              <w:spacing w:line="240" w:lineRule="auto"/>
              <w:jc w:val="left"/>
              <w:rPr>
                <w:b w:val="0"/>
                <w:bCs w:val="0"/>
                <w:noProof w:val="0"/>
                <w:lang w:val="en-GB"/>
              </w:rPr>
            </w:pPr>
            <w:r w:rsidRPr="006436E9">
              <w:rPr>
                <w:b w:val="0"/>
                <w:bCs w:val="0"/>
                <w:noProof w:val="0"/>
                <w:lang w:val="en-GB"/>
              </w:rPr>
              <w:t>Contextual information associated with violence</w:t>
            </w:r>
          </w:p>
        </w:tc>
        <w:tc>
          <w:tcPr>
            <w:tcW w:w="0" w:type="dxa"/>
            <w:tcBorders>
              <w:top w:val="single" w:sz="4" w:space="0" w:color="auto"/>
              <w:bottom w:val="single" w:sz="4" w:space="0" w:color="auto"/>
            </w:tcBorders>
          </w:tcPr>
          <w:p w14:paraId="7C615BD6" w14:textId="77777777" w:rsidR="000420B5" w:rsidRPr="006436E9" w:rsidRDefault="000420B5" w:rsidP="00B56191">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Arrival date and time</w:t>
            </w:r>
          </w:p>
          <w:p w14:paraId="3E0D140F" w14:textId="77777777" w:rsidR="000420B5" w:rsidRPr="006436E9" w:rsidRDefault="000420B5" w:rsidP="00B56191">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Incident location type (home, work, public space)</w:t>
            </w:r>
          </w:p>
        </w:tc>
      </w:tr>
      <w:tr w:rsidR="000420B5" w:rsidRPr="006436E9" w14:paraId="3D80CBB0" w14:textId="77777777" w:rsidTr="00B56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76B7CF8E" w14:textId="77777777" w:rsidR="000420B5" w:rsidRPr="006436E9" w:rsidRDefault="000420B5" w:rsidP="00B56191">
            <w:pPr>
              <w:autoSpaceDE w:val="0"/>
              <w:autoSpaceDN w:val="0"/>
              <w:adjustRightInd w:val="0"/>
              <w:snapToGrid w:val="0"/>
              <w:spacing w:line="240" w:lineRule="auto"/>
              <w:jc w:val="left"/>
              <w:rPr>
                <w:b w:val="0"/>
                <w:bCs w:val="0"/>
                <w:noProof w:val="0"/>
                <w:lang w:val="en-GB"/>
              </w:rPr>
            </w:pPr>
            <w:r w:rsidRPr="006436E9">
              <w:rPr>
                <w:b w:val="0"/>
                <w:bCs w:val="0"/>
                <w:noProof w:val="0"/>
                <w:lang w:val="en-GB"/>
              </w:rPr>
              <w:t>Clinical (including harm)</w:t>
            </w:r>
          </w:p>
        </w:tc>
        <w:tc>
          <w:tcPr>
            <w:tcW w:w="0" w:type="dxa"/>
            <w:tcBorders>
              <w:top w:val="single" w:sz="4" w:space="0" w:color="auto"/>
              <w:bottom w:val="single" w:sz="4" w:space="0" w:color="auto"/>
            </w:tcBorders>
          </w:tcPr>
          <w:p w14:paraId="04A27758" w14:textId="77777777" w:rsidR="000420B5" w:rsidRPr="006436E9" w:rsidRDefault="000420B5" w:rsidP="00B56191">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Diagnoses (up to 12 codes)</w:t>
            </w:r>
          </w:p>
          <w:p w14:paraId="67C92F14" w14:textId="77777777" w:rsidR="000420B5" w:rsidRPr="006436E9" w:rsidRDefault="000420B5" w:rsidP="00B56191">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Anatomical area and side</w:t>
            </w:r>
          </w:p>
          <w:p w14:paraId="2C1FF061" w14:textId="77777777" w:rsidR="000420B5" w:rsidRPr="006436E9" w:rsidRDefault="000420B5" w:rsidP="00B56191">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Investigations and treatments</w:t>
            </w:r>
          </w:p>
          <w:p w14:paraId="6055721B" w14:textId="77777777" w:rsidR="000420B5" w:rsidRPr="006436E9" w:rsidRDefault="000420B5" w:rsidP="00B56191">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Source of referral</w:t>
            </w:r>
          </w:p>
          <w:p w14:paraId="490770D7" w14:textId="77777777" w:rsidR="000420B5" w:rsidRPr="006436E9" w:rsidRDefault="000420B5" w:rsidP="00B56191">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Attendance disposal (referral)</w:t>
            </w:r>
          </w:p>
        </w:tc>
      </w:tr>
      <w:tr w:rsidR="000420B5" w:rsidRPr="006436E9" w14:paraId="663E386B" w14:textId="77777777" w:rsidTr="00B56191">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1112E1C7" w14:textId="77777777" w:rsidR="000420B5" w:rsidRPr="006436E9" w:rsidRDefault="000420B5" w:rsidP="00B56191">
            <w:pPr>
              <w:autoSpaceDE w:val="0"/>
              <w:autoSpaceDN w:val="0"/>
              <w:adjustRightInd w:val="0"/>
              <w:snapToGrid w:val="0"/>
              <w:spacing w:line="240" w:lineRule="auto"/>
              <w:jc w:val="left"/>
              <w:rPr>
                <w:b w:val="0"/>
                <w:bCs w:val="0"/>
                <w:noProof w:val="0"/>
                <w:lang w:val="en-GB"/>
              </w:rPr>
            </w:pPr>
            <w:r w:rsidRPr="006436E9">
              <w:rPr>
                <w:b w:val="0"/>
                <w:bCs w:val="0"/>
                <w:noProof w:val="0"/>
                <w:lang w:val="en-GB"/>
              </w:rPr>
              <w:t>Social factors</w:t>
            </w:r>
          </w:p>
        </w:tc>
        <w:tc>
          <w:tcPr>
            <w:tcW w:w="0" w:type="dxa"/>
            <w:tcBorders>
              <w:top w:val="single" w:sz="4" w:space="0" w:color="auto"/>
              <w:bottom w:val="single" w:sz="4" w:space="0" w:color="auto"/>
            </w:tcBorders>
          </w:tcPr>
          <w:p w14:paraId="1C6C43AC" w14:textId="77777777" w:rsidR="000420B5" w:rsidRPr="006436E9" w:rsidRDefault="000420B5" w:rsidP="00B56191">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Age</w:t>
            </w:r>
          </w:p>
          <w:p w14:paraId="006CCFB1" w14:textId="77777777" w:rsidR="000420B5" w:rsidRPr="006436E9" w:rsidRDefault="000420B5" w:rsidP="00B56191">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Gender</w:t>
            </w:r>
          </w:p>
          <w:p w14:paraId="6968613C" w14:textId="77777777" w:rsidR="000420B5" w:rsidRPr="006436E9" w:rsidRDefault="000420B5" w:rsidP="00B56191">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Ethnic group (may not be available)</w:t>
            </w:r>
          </w:p>
          <w:p w14:paraId="646733E1" w14:textId="77777777" w:rsidR="000420B5" w:rsidRPr="006436E9" w:rsidRDefault="000420B5" w:rsidP="00B56191">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 xml:space="preserve">Local authority (LA) district of residence, LA district </w:t>
            </w:r>
          </w:p>
        </w:tc>
      </w:tr>
      <w:tr w:rsidR="000420B5" w:rsidRPr="006436E9" w14:paraId="75CF4D09" w14:textId="77777777" w:rsidTr="00B56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7C076078" w14:textId="77777777" w:rsidR="000420B5" w:rsidRPr="006436E9" w:rsidRDefault="000420B5" w:rsidP="00B56191">
            <w:pPr>
              <w:autoSpaceDE w:val="0"/>
              <w:autoSpaceDN w:val="0"/>
              <w:adjustRightInd w:val="0"/>
              <w:snapToGrid w:val="0"/>
              <w:spacing w:line="240" w:lineRule="auto"/>
              <w:jc w:val="left"/>
              <w:rPr>
                <w:b w:val="0"/>
                <w:bCs w:val="0"/>
                <w:noProof w:val="0"/>
                <w:lang w:val="en-GB"/>
              </w:rPr>
            </w:pPr>
            <w:r w:rsidRPr="006436E9">
              <w:rPr>
                <w:b w:val="0"/>
                <w:bCs w:val="0"/>
                <w:noProof w:val="0"/>
                <w:lang w:val="en-GB"/>
              </w:rPr>
              <w:t>Coding system</w:t>
            </w:r>
          </w:p>
        </w:tc>
        <w:tc>
          <w:tcPr>
            <w:tcW w:w="0" w:type="dxa"/>
            <w:tcBorders>
              <w:top w:val="single" w:sz="4" w:space="0" w:color="auto"/>
              <w:bottom w:val="single" w:sz="4" w:space="0" w:color="auto"/>
            </w:tcBorders>
          </w:tcPr>
          <w:p w14:paraId="420CE89C" w14:textId="77777777" w:rsidR="000420B5" w:rsidRPr="006436E9" w:rsidRDefault="000420B5" w:rsidP="00B56191">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HES A&amp;E coding system</w:t>
            </w:r>
          </w:p>
          <w:p w14:paraId="04447CD2" w14:textId="77777777" w:rsidR="000420B5" w:rsidRPr="006436E9" w:rsidRDefault="000420B5" w:rsidP="00B56191">
            <w:pPr>
              <w:autoSpaceDE w:val="0"/>
              <w:autoSpaceDN w:val="0"/>
              <w:adjustRightInd w:val="0"/>
              <w:snapToGrid w:val="0"/>
              <w:spacing w:line="240" w:lineRule="auto"/>
              <w:ind w:left="504" w:hanging="504"/>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International Classification of Diseases (ICD) and the Operating Procedure Codes Supplement (OPCS)</w:t>
            </w:r>
          </w:p>
          <w:p w14:paraId="52753717" w14:textId="77777777" w:rsidR="000420B5" w:rsidRPr="006436E9" w:rsidRDefault="000420B5" w:rsidP="00B56191">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Read codes</w:t>
            </w:r>
          </w:p>
        </w:tc>
      </w:tr>
      <w:tr w:rsidR="000420B5" w:rsidRPr="006436E9" w14:paraId="1A4F1F65" w14:textId="77777777" w:rsidTr="00B56191">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8" w:space="0" w:color="auto"/>
            </w:tcBorders>
          </w:tcPr>
          <w:p w14:paraId="2CCB50C0" w14:textId="77777777" w:rsidR="000420B5" w:rsidRPr="006436E9" w:rsidRDefault="000420B5" w:rsidP="00B56191">
            <w:pPr>
              <w:autoSpaceDE w:val="0"/>
              <w:autoSpaceDN w:val="0"/>
              <w:adjustRightInd w:val="0"/>
              <w:snapToGrid w:val="0"/>
              <w:spacing w:line="240" w:lineRule="auto"/>
              <w:jc w:val="left"/>
              <w:rPr>
                <w:b w:val="0"/>
                <w:bCs w:val="0"/>
                <w:noProof w:val="0"/>
                <w:lang w:val="en-GB"/>
              </w:rPr>
            </w:pPr>
            <w:r w:rsidRPr="006436E9">
              <w:rPr>
                <w:b w:val="0"/>
                <w:bCs w:val="0"/>
                <w:noProof w:val="0"/>
                <w:lang w:val="en-GB"/>
              </w:rPr>
              <w:t>Geographical scope</w:t>
            </w:r>
          </w:p>
        </w:tc>
        <w:tc>
          <w:tcPr>
            <w:tcW w:w="0" w:type="dxa"/>
            <w:tcBorders>
              <w:top w:val="single" w:sz="4" w:space="0" w:color="auto"/>
              <w:bottom w:val="single" w:sz="8" w:space="0" w:color="auto"/>
            </w:tcBorders>
          </w:tcPr>
          <w:p w14:paraId="0EE5A09B" w14:textId="77777777" w:rsidR="000420B5" w:rsidRPr="006436E9" w:rsidRDefault="000420B5" w:rsidP="00B56191">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England</w:t>
            </w:r>
          </w:p>
        </w:tc>
      </w:tr>
    </w:tbl>
    <w:bookmarkEnd w:id="6"/>
    <w:p w14:paraId="4BADF8FF" w14:textId="18AFBE1F" w:rsidR="000420B5" w:rsidRPr="006436E9" w:rsidRDefault="00413456" w:rsidP="00413456">
      <w:pPr>
        <w:pStyle w:val="MDPI41tablecaption"/>
        <w:rPr>
          <w:lang w:val="en-GB"/>
        </w:rPr>
      </w:pPr>
      <w:r w:rsidRPr="006436E9">
        <w:rPr>
          <w:b/>
          <w:lang w:val="en-GB"/>
        </w:rPr>
        <w:lastRenderedPageBreak/>
        <w:t xml:space="preserve">Table 2. </w:t>
      </w:r>
      <w:r w:rsidR="000420B5" w:rsidRPr="006436E9">
        <w:rPr>
          <w:lang w:val="en-GB"/>
        </w:rPr>
        <w:t>Violence and other relevant items in the Emergency Care Data Set (ECDS)</w:t>
      </w:r>
      <w:r w:rsidRPr="006436E9">
        <w:rPr>
          <w:lang w:val="en-GB"/>
        </w:rPr>
        <w:t>.</w:t>
      </w:r>
    </w:p>
    <w:tbl>
      <w:tblPr>
        <w:tblStyle w:val="PlainTable2"/>
        <w:tblW w:w="10465" w:type="dxa"/>
        <w:tblLayout w:type="fixed"/>
        <w:tblLook w:val="04A0" w:firstRow="1" w:lastRow="0" w:firstColumn="1" w:lastColumn="0" w:noHBand="0" w:noVBand="1"/>
      </w:tblPr>
      <w:tblGrid>
        <w:gridCol w:w="5232"/>
        <w:gridCol w:w="5233"/>
      </w:tblGrid>
      <w:tr w:rsidR="000420B5" w:rsidRPr="006436E9" w14:paraId="2428BF41" w14:textId="77777777" w:rsidTr="00B948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auto"/>
              <w:bottom w:val="single" w:sz="4" w:space="0" w:color="auto"/>
            </w:tcBorders>
          </w:tcPr>
          <w:p w14:paraId="6C36282C" w14:textId="77777777" w:rsidR="000420B5" w:rsidRPr="006436E9" w:rsidRDefault="000420B5" w:rsidP="00413456">
            <w:pPr>
              <w:autoSpaceDE w:val="0"/>
              <w:autoSpaceDN w:val="0"/>
              <w:adjustRightInd w:val="0"/>
              <w:snapToGrid w:val="0"/>
              <w:spacing w:line="240" w:lineRule="auto"/>
              <w:jc w:val="left"/>
              <w:rPr>
                <w:b w:val="0"/>
                <w:noProof w:val="0"/>
                <w:lang w:val="en-GB"/>
              </w:rPr>
            </w:pPr>
            <w:bookmarkStart w:id="8" w:name="_Hlk159341786"/>
            <w:r w:rsidRPr="006436E9">
              <w:rPr>
                <w:noProof w:val="0"/>
                <w:lang w:val="en-GB"/>
              </w:rPr>
              <w:t>Information</w:t>
            </w:r>
          </w:p>
        </w:tc>
        <w:tc>
          <w:tcPr>
            <w:tcW w:w="0" w:type="dxa"/>
            <w:tcBorders>
              <w:top w:val="single" w:sz="8" w:space="0" w:color="auto"/>
              <w:bottom w:val="single" w:sz="4" w:space="0" w:color="auto"/>
            </w:tcBorders>
          </w:tcPr>
          <w:p w14:paraId="74B02282" w14:textId="77777777" w:rsidR="000420B5" w:rsidRPr="006436E9" w:rsidRDefault="000420B5" w:rsidP="00413456">
            <w:pPr>
              <w:autoSpaceDE w:val="0"/>
              <w:autoSpaceDN w:val="0"/>
              <w:adjustRightInd w:val="0"/>
              <w:snapToGrid w:val="0"/>
              <w:spacing w:line="240" w:lineRule="auto"/>
              <w:jc w:val="left"/>
              <w:cnfStyle w:val="100000000000" w:firstRow="1" w:lastRow="0" w:firstColumn="0" w:lastColumn="0" w:oddVBand="0" w:evenVBand="0" w:oddHBand="0" w:evenHBand="0" w:firstRowFirstColumn="0" w:firstRowLastColumn="0" w:lastRowFirstColumn="0" w:lastRowLastColumn="0"/>
              <w:rPr>
                <w:b w:val="0"/>
                <w:noProof w:val="0"/>
                <w:lang w:val="en-GB"/>
              </w:rPr>
            </w:pPr>
            <w:r w:rsidRPr="006436E9">
              <w:rPr>
                <w:noProof w:val="0"/>
                <w:lang w:val="en-GB"/>
              </w:rPr>
              <w:t>Emergency Care Data Set (ECDS)</w:t>
            </w:r>
          </w:p>
        </w:tc>
      </w:tr>
      <w:tr w:rsidR="000420B5" w:rsidRPr="006436E9" w14:paraId="219D1A7C" w14:textId="77777777" w:rsidTr="00B56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4A3DD4FD"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Violence indicators</w:t>
            </w:r>
          </w:p>
        </w:tc>
        <w:tc>
          <w:tcPr>
            <w:tcW w:w="0" w:type="dxa"/>
            <w:tcBorders>
              <w:top w:val="single" w:sz="4" w:space="0" w:color="auto"/>
              <w:bottom w:val="single" w:sz="4" w:space="0" w:color="auto"/>
            </w:tcBorders>
          </w:tcPr>
          <w:p w14:paraId="4120C67A" w14:textId="77777777" w:rsidR="000420B5" w:rsidRPr="006436E9" w:rsidRDefault="000420B5" w:rsidP="005C03EF">
            <w:pPr>
              <w:autoSpaceDE w:val="0"/>
              <w:autoSpaceDN w:val="0"/>
              <w:adjustRightInd w:val="0"/>
              <w:snapToGrid w:val="0"/>
              <w:spacing w:line="240" w:lineRule="auto"/>
              <w:ind w:left="504" w:hanging="504"/>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‘Injury intention’ (includes ‘Alleged victim of physical assault by lone assailant (situation)’ and ‘Alleged victim of physical assault by multiple assailants’)</w:t>
            </w:r>
          </w:p>
          <w:p w14:paraId="216B049F" w14:textId="2A4BEC59" w:rsidR="000420B5" w:rsidRPr="006436E9" w:rsidRDefault="000420B5" w:rsidP="005C03EF">
            <w:pPr>
              <w:autoSpaceDE w:val="0"/>
              <w:autoSpaceDN w:val="0"/>
              <w:adjustRightInd w:val="0"/>
              <w:snapToGrid w:val="0"/>
              <w:spacing w:line="240" w:lineRule="auto"/>
              <w:ind w:left="504" w:hanging="504"/>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Safeguarding concerns including DV, possible grooming target, FGM</w:t>
            </w:r>
            <w:r w:rsidR="0024060B" w:rsidRPr="006436E9">
              <w:rPr>
                <w:noProof w:val="0"/>
                <w:lang w:val="en-GB"/>
              </w:rPr>
              <w:t>,</w:t>
            </w:r>
            <w:r w:rsidRPr="006436E9">
              <w:rPr>
                <w:noProof w:val="0"/>
                <w:lang w:val="en-GB"/>
              </w:rPr>
              <w:t xml:space="preserve"> etc. (may not be available)</w:t>
            </w:r>
          </w:p>
        </w:tc>
      </w:tr>
      <w:tr w:rsidR="000420B5" w:rsidRPr="006436E9" w14:paraId="02B51E15" w14:textId="77777777" w:rsidTr="00B56191">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230DCEE8"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Contextual information associated with violence</w:t>
            </w:r>
          </w:p>
        </w:tc>
        <w:tc>
          <w:tcPr>
            <w:tcW w:w="0" w:type="dxa"/>
            <w:tcBorders>
              <w:top w:val="single" w:sz="4" w:space="0" w:color="auto"/>
              <w:bottom w:val="single" w:sz="4" w:space="0" w:color="auto"/>
            </w:tcBorders>
          </w:tcPr>
          <w:p w14:paraId="63C7552C" w14:textId="535A9709"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 xml:space="preserve">Relationship between the victim and </w:t>
            </w:r>
            <w:r w:rsidR="0024060B" w:rsidRPr="006436E9">
              <w:rPr>
                <w:noProof w:val="0"/>
                <w:lang w:val="en-GB"/>
              </w:rPr>
              <w:t xml:space="preserve">the </w:t>
            </w:r>
            <w:r w:rsidRPr="006436E9">
              <w:rPr>
                <w:noProof w:val="0"/>
                <w:lang w:val="en-GB"/>
              </w:rPr>
              <w:t>perpetrator</w:t>
            </w:r>
          </w:p>
          <w:p w14:paraId="711B7058"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Arrival date and time</w:t>
            </w:r>
          </w:p>
          <w:p w14:paraId="44B1C75F"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Date and time that the injury occurred</w:t>
            </w:r>
          </w:p>
          <w:p w14:paraId="733A5476"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Place exact (latitude and longitude)</w:t>
            </w:r>
          </w:p>
          <w:p w14:paraId="1FC7219D"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Description of the exact locality at which the injury occurred</w:t>
            </w:r>
          </w:p>
          <w:p w14:paraId="3561497F" w14:textId="77777777" w:rsidR="000420B5" w:rsidRPr="006436E9" w:rsidRDefault="000420B5" w:rsidP="005C03EF">
            <w:pPr>
              <w:autoSpaceDE w:val="0"/>
              <w:autoSpaceDN w:val="0"/>
              <w:adjustRightInd w:val="0"/>
              <w:snapToGrid w:val="0"/>
              <w:spacing w:line="240" w:lineRule="auto"/>
              <w:ind w:left="504" w:hanging="504"/>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Type of location at which the person was present when the injury occurred (e.g., home, licensed premises)</w:t>
            </w:r>
          </w:p>
          <w:p w14:paraId="704D4F39" w14:textId="77777777" w:rsidR="000420B5" w:rsidRPr="006436E9" w:rsidRDefault="000420B5" w:rsidP="005C03EF">
            <w:pPr>
              <w:autoSpaceDE w:val="0"/>
              <w:autoSpaceDN w:val="0"/>
              <w:adjustRightInd w:val="0"/>
              <w:snapToGrid w:val="0"/>
              <w:spacing w:line="240" w:lineRule="auto"/>
              <w:ind w:left="504" w:hanging="504"/>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Type of activity being undertaken by the person at the moment the injury occurred (e.g., working/education, leisure at home)</w:t>
            </w:r>
          </w:p>
          <w:p w14:paraId="60E51F7D"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Mechanism of injury (e.g., blunt injury, poisoning)</w:t>
            </w:r>
          </w:p>
          <w:p w14:paraId="50F5D9E6" w14:textId="77777777" w:rsidR="000420B5" w:rsidRPr="006436E9" w:rsidRDefault="000420B5" w:rsidP="005C03EF">
            <w:pPr>
              <w:autoSpaceDE w:val="0"/>
              <w:autoSpaceDN w:val="0"/>
              <w:adjustRightInd w:val="0"/>
              <w:snapToGrid w:val="0"/>
              <w:spacing w:line="240" w:lineRule="auto"/>
              <w:ind w:left="504" w:hanging="504"/>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Drugs or alcohol used by the patient, which are thought likely to have contributed to the need to attend the emergency department (ED)</w:t>
            </w:r>
          </w:p>
        </w:tc>
      </w:tr>
      <w:tr w:rsidR="000420B5" w:rsidRPr="006436E9" w14:paraId="11D9CC77" w14:textId="77777777" w:rsidTr="00B56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794FB0B7"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Clinical (including harm)</w:t>
            </w:r>
          </w:p>
        </w:tc>
        <w:tc>
          <w:tcPr>
            <w:tcW w:w="0" w:type="dxa"/>
            <w:tcBorders>
              <w:top w:val="single" w:sz="4" w:space="0" w:color="auto"/>
              <w:bottom w:val="single" w:sz="4" w:space="0" w:color="auto"/>
            </w:tcBorders>
          </w:tcPr>
          <w:p w14:paraId="013B5951"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Chief complaint</w:t>
            </w:r>
          </w:p>
          <w:p w14:paraId="5CDE3424"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Diagnoses</w:t>
            </w:r>
          </w:p>
          <w:p w14:paraId="5383405D"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Acuity</w:t>
            </w:r>
          </w:p>
          <w:p w14:paraId="6D491BAE"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Investigations and treatments</w:t>
            </w:r>
          </w:p>
          <w:p w14:paraId="28B7D1A2"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Source of referral</w:t>
            </w:r>
          </w:p>
          <w:p w14:paraId="2EF1EB3A"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Referred service</w:t>
            </w:r>
          </w:p>
        </w:tc>
      </w:tr>
      <w:tr w:rsidR="000420B5" w:rsidRPr="006436E9" w14:paraId="18BDFC9D" w14:textId="77777777" w:rsidTr="00B56191">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6B85B424"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Social factors</w:t>
            </w:r>
          </w:p>
        </w:tc>
        <w:tc>
          <w:tcPr>
            <w:tcW w:w="0" w:type="dxa"/>
            <w:tcBorders>
              <w:top w:val="single" w:sz="4" w:space="0" w:color="auto"/>
              <w:bottom w:val="single" w:sz="4" w:space="0" w:color="auto"/>
            </w:tcBorders>
          </w:tcPr>
          <w:p w14:paraId="035CAACA"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Age</w:t>
            </w:r>
          </w:p>
          <w:p w14:paraId="1510B577"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Gender</w:t>
            </w:r>
          </w:p>
          <w:p w14:paraId="3D0E64E8"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Ethnic group (may not be available)</w:t>
            </w:r>
          </w:p>
          <w:p w14:paraId="6C41E77A"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Preferred language</w:t>
            </w:r>
          </w:p>
          <w:p w14:paraId="375A334C"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Interpreter language</w:t>
            </w:r>
          </w:p>
          <w:p w14:paraId="1A6ECDBE"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Overseas visitor status</w:t>
            </w:r>
          </w:p>
          <w:p w14:paraId="27D7B16A"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Accommodation (residence) status</w:t>
            </w:r>
          </w:p>
        </w:tc>
      </w:tr>
      <w:tr w:rsidR="000420B5" w:rsidRPr="006436E9" w14:paraId="78DEAFDD" w14:textId="77777777" w:rsidTr="00B948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4B90C2FD"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Coding system</w:t>
            </w:r>
          </w:p>
        </w:tc>
        <w:tc>
          <w:tcPr>
            <w:tcW w:w="0" w:type="dxa"/>
            <w:tcBorders>
              <w:top w:val="single" w:sz="4" w:space="0" w:color="auto"/>
              <w:bottom w:val="single" w:sz="4" w:space="0" w:color="auto"/>
            </w:tcBorders>
          </w:tcPr>
          <w:p w14:paraId="0B954758"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SNOMED CT</w:t>
            </w:r>
          </w:p>
        </w:tc>
      </w:tr>
      <w:tr w:rsidR="000420B5" w:rsidRPr="006436E9" w14:paraId="0972878E" w14:textId="77777777" w:rsidTr="00B94801">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8" w:space="0" w:color="auto"/>
            </w:tcBorders>
          </w:tcPr>
          <w:p w14:paraId="120DBAA2"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Geographical scope</w:t>
            </w:r>
          </w:p>
        </w:tc>
        <w:tc>
          <w:tcPr>
            <w:tcW w:w="0" w:type="dxa"/>
            <w:tcBorders>
              <w:top w:val="single" w:sz="4" w:space="0" w:color="auto"/>
              <w:bottom w:val="single" w:sz="8" w:space="0" w:color="auto"/>
            </w:tcBorders>
          </w:tcPr>
          <w:p w14:paraId="33BD8A61"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England</w:t>
            </w:r>
          </w:p>
        </w:tc>
      </w:tr>
    </w:tbl>
    <w:bookmarkEnd w:id="8"/>
    <w:p w14:paraId="31FE73F8" w14:textId="38A0E144" w:rsidR="000420B5" w:rsidRPr="006436E9" w:rsidRDefault="00413456" w:rsidP="00413456">
      <w:pPr>
        <w:pStyle w:val="MDPI41tablecaption"/>
        <w:rPr>
          <w:lang w:val="en-GB"/>
        </w:rPr>
      </w:pPr>
      <w:r w:rsidRPr="006436E9">
        <w:rPr>
          <w:b/>
          <w:lang w:val="en-GB"/>
        </w:rPr>
        <w:t xml:space="preserve">Table 3. </w:t>
      </w:r>
      <w:r w:rsidR="000420B5" w:rsidRPr="006436E9">
        <w:rPr>
          <w:lang w:val="en-GB"/>
        </w:rPr>
        <w:t>Violence and other relevant items in the South Wales Violence Surveillance dataset</w:t>
      </w:r>
      <w:r w:rsidRPr="006436E9">
        <w:rPr>
          <w:lang w:val="en-GB"/>
        </w:rPr>
        <w:t>.</w:t>
      </w:r>
    </w:p>
    <w:tbl>
      <w:tblPr>
        <w:tblStyle w:val="PlainTable2"/>
        <w:tblW w:w="10465" w:type="dxa"/>
        <w:tblLayout w:type="fixed"/>
        <w:tblLook w:val="04A0" w:firstRow="1" w:lastRow="0" w:firstColumn="1" w:lastColumn="0" w:noHBand="0" w:noVBand="1"/>
      </w:tblPr>
      <w:tblGrid>
        <w:gridCol w:w="5232"/>
        <w:gridCol w:w="5233"/>
      </w:tblGrid>
      <w:tr w:rsidR="000420B5" w:rsidRPr="006436E9" w14:paraId="12E27870" w14:textId="77777777" w:rsidTr="00B948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auto"/>
            </w:tcBorders>
          </w:tcPr>
          <w:p w14:paraId="09B3CBB0" w14:textId="77777777" w:rsidR="000420B5" w:rsidRPr="006436E9" w:rsidRDefault="000420B5" w:rsidP="00413456">
            <w:pPr>
              <w:autoSpaceDE w:val="0"/>
              <w:autoSpaceDN w:val="0"/>
              <w:adjustRightInd w:val="0"/>
              <w:snapToGrid w:val="0"/>
              <w:spacing w:line="240" w:lineRule="auto"/>
              <w:jc w:val="left"/>
              <w:rPr>
                <w:b w:val="0"/>
                <w:noProof w:val="0"/>
                <w:lang w:val="en-GB"/>
              </w:rPr>
            </w:pPr>
            <w:r w:rsidRPr="006436E9">
              <w:rPr>
                <w:noProof w:val="0"/>
                <w:lang w:val="en-GB"/>
              </w:rPr>
              <w:t>Information</w:t>
            </w:r>
          </w:p>
        </w:tc>
        <w:tc>
          <w:tcPr>
            <w:tcW w:w="0" w:type="dxa"/>
            <w:tcBorders>
              <w:top w:val="single" w:sz="8" w:space="0" w:color="auto"/>
            </w:tcBorders>
          </w:tcPr>
          <w:p w14:paraId="5199C334" w14:textId="7BBBCA32" w:rsidR="000420B5" w:rsidRPr="006436E9" w:rsidRDefault="000420B5" w:rsidP="00413456">
            <w:pPr>
              <w:autoSpaceDE w:val="0"/>
              <w:autoSpaceDN w:val="0"/>
              <w:adjustRightInd w:val="0"/>
              <w:snapToGrid w:val="0"/>
              <w:spacing w:line="240" w:lineRule="auto"/>
              <w:jc w:val="left"/>
              <w:cnfStyle w:val="100000000000" w:firstRow="1" w:lastRow="0" w:firstColumn="0" w:lastColumn="0" w:oddVBand="0" w:evenVBand="0" w:oddHBand="0" w:evenHBand="0" w:firstRowFirstColumn="0" w:firstRowLastColumn="0" w:lastRowFirstColumn="0" w:lastRowLastColumn="0"/>
              <w:rPr>
                <w:b w:val="0"/>
                <w:noProof w:val="0"/>
                <w:lang w:val="en-GB"/>
              </w:rPr>
            </w:pPr>
            <w:r w:rsidRPr="006436E9">
              <w:rPr>
                <w:noProof w:val="0"/>
                <w:lang w:val="en-GB"/>
              </w:rPr>
              <w:t xml:space="preserve">South Wales </w:t>
            </w:r>
            <w:r w:rsidR="00150D17" w:rsidRPr="006436E9">
              <w:rPr>
                <w:noProof w:val="0"/>
                <w:lang w:val="en-GB"/>
              </w:rPr>
              <w:t>Dataset</w:t>
            </w:r>
          </w:p>
        </w:tc>
      </w:tr>
      <w:tr w:rsidR="000420B5" w:rsidRPr="006436E9" w14:paraId="643E8B21" w14:textId="77777777" w:rsidTr="00B56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Pr>
          <w:p w14:paraId="15330C4C"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Violence indicators</w:t>
            </w:r>
          </w:p>
        </w:tc>
        <w:tc>
          <w:tcPr>
            <w:tcW w:w="0" w:type="dxa"/>
            <w:tcBorders>
              <w:bottom w:val="single" w:sz="4" w:space="0" w:color="auto"/>
            </w:tcBorders>
          </w:tcPr>
          <w:p w14:paraId="5346F554" w14:textId="0683DECD"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NHS attendance code (includes information on injury intention)</w:t>
            </w:r>
          </w:p>
        </w:tc>
      </w:tr>
      <w:tr w:rsidR="000420B5" w:rsidRPr="006436E9" w14:paraId="279B8BD3" w14:textId="77777777" w:rsidTr="00B56191">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4E6C553E"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Contextual information associated with violence</w:t>
            </w:r>
          </w:p>
        </w:tc>
        <w:tc>
          <w:tcPr>
            <w:tcW w:w="0" w:type="dxa"/>
            <w:tcBorders>
              <w:top w:val="single" w:sz="4" w:space="0" w:color="auto"/>
              <w:bottom w:val="single" w:sz="4" w:space="0" w:color="auto"/>
            </w:tcBorders>
          </w:tcPr>
          <w:p w14:paraId="2D0F06B6"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Mechanism of injury</w:t>
            </w:r>
          </w:p>
          <w:p w14:paraId="34815021"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Time of assault</w:t>
            </w:r>
          </w:p>
          <w:p w14:paraId="5FEBDDEC"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Date of assault</w:t>
            </w:r>
          </w:p>
          <w:p w14:paraId="76ADA210"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Assault site description</w:t>
            </w:r>
          </w:p>
          <w:p w14:paraId="7E2F3F43"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lastRenderedPageBreak/>
              <w:t>•</w:t>
            </w:r>
            <w:r w:rsidRPr="006436E9">
              <w:rPr>
                <w:noProof w:val="0"/>
                <w:lang w:val="en-GB"/>
              </w:rPr>
              <w:tab/>
              <w:t>Assault site text (specific named location of assault)</w:t>
            </w:r>
          </w:p>
          <w:p w14:paraId="759AEC7D"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Visit date and time</w:t>
            </w:r>
          </w:p>
          <w:p w14:paraId="536F810D"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Arrival day</w:t>
            </w:r>
          </w:p>
          <w:p w14:paraId="77B6C37C"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Relationship between the victim and perpetrator</w:t>
            </w:r>
          </w:p>
          <w:p w14:paraId="39765E3D"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p>
          <w:p w14:paraId="0D0A1D1C"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From the police data:</w:t>
            </w:r>
          </w:p>
          <w:p w14:paraId="580B7192"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Type of violence</w:t>
            </w:r>
          </w:p>
          <w:p w14:paraId="4A10C2EF"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Motivation for violence</w:t>
            </w:r>
          </w:p>
          <w:p w14:paraId="00131CF3"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Weapon used</w:t>
            </w:r>
          </w:p>
          <w:p w14:paraId="784A4CBF"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Substance used by offended</w:t>
            </w:r>
          </w:p>
          <w:p w14:paraId="556F3D9D" w14:textId="19B140DF"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 xml:space="preserve">Indication </w:t>
            </w:r>
            <w:r w:rsidR="0024060B" w:rsidRPr="006436E9">
              <w:rPr>
                <w:noProof w:val="0"/>
                <w:lang w:val="en-GB"/>
              </w:rPr>
              <w:t xml:space="preserve">of </w:t>
            </w:r>
            <w:r w:rsidRPr="006436E9">
              <w:rPr>
                <w:noProof w:val="0"/>
                <w:lang w:val="en-GB"/>
              </w:rPr>
              <w:t>whether act of violence reached the threshold for crime</w:t>
            </w:r>
          </w:p>
        </w:tc>
      </w:tr>
      <w:tr w:rsidR="000420B5" w:rsidRPr="006436E9" w14:paraId="08D62CC9" w14:textId="77777777" w:rsidTr="00B56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154FE4B0"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lastRenderedPageBreak/>
              <w:t>Clinical (including harm)</w:t>
            </w:r>
          </w:p>
        </w:tc>
        <w:tc>
          <w:tcPr>
            <w:tcW w:w="0" w:type="dxa"/>
            <w:tcBorders>
              <w:top w:val="single" w:sz="4" w:space="0" w:color="auto"/>
              <w:bottom w:val="single" w:sz="4" w:space="0" w:color="auto"/>
            </w:tcBorders>
          </w:tcPr>
          <w:p w14:paraId="3504EEE8"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Initial complaint</w:t>
            </w:r>
          </w:p>
          <w:p w14:paraId="194E1240"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Diagnoses</w:t>
            </w:r>
          </w:p>
          <w:p w14:paraId="631EDE2A"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Attendance outcome</w:t>
            </w:r>
          </w:p>
          <w:p w14:paraId="323DE4F3"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Chronic alcohol abuse</w:t>
            </w:r>
          </w:p>
          <w:p w14:paraId="0B850324"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Chronic drug abuse</w:t>
            </w:r>
          </w:p>
        </w:tc>
      </w:tr>
      <w:tr w:rsidR="000420B5" w:rsidRPr="006436E9" w14:paraId="69CF4635" w14:textId="77777777" w:rsidTr="00B56191">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1B80D10C"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Social factors</w:t>
            </w:r>
          </w:p>
        </w:tc>
        <w:tc>
          <w:tcPr>
            <w:tcW w:w="0" w:type="dxa"/>
            <w:tcBorders>
              <w:top w:val="single" w:sz="4" w:space="0" w:color="auto"/>
              <w:bottom w:val="single" w:sz="4" w:space="0" w:color="auto"/>
            </w:tcBorders>
          </w:tcPr>
          <w:p w14:paraId="37E06B6A"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Age</w:t>
            </w:r>
          </w:p>
          <w:p w14:paraId="378581DF"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Sex</w:t>
            </w:r>
          </w:p>
          <w:p w14:paraId="17D422FA"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Gender (from the police data)</w:t>
            </w:r>
          </w:p>
          <w:p w14:paraId="404E97ED"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Ethnicity (from the police data)</w:t>
            </w:r>
          </w:p>
          <w:p w14:paraId="22274766"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Lower Super Output Area (LSOA)</w:t>
            </w:r>
          </w:p>
          <w:p w14:paraId="57EAE7E6"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Homelessness</w:t>
            </w:r>
          </w:p>
        </w:tc>
      </w:tr>
      <w:tr w:rsidR="000420B5" w:rsidRPr="006436E9" w14:paraId="01B45C24" w14:textId="77777777" w:rsidTr="00B948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4FC54F6C"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Coding system</w:t>
            </w:r>
          </w:p>
        </w:tc>
        <w:tc>
          <w:tcPr>
            <w:tcW w:w="0" w:type="dxa"/>
            <w:tcBorders>
              <w:top w:val="single" w:sz="4" w:space="0" w:color="auto"/>
              <w:bottom w:val="single" w:sz="4" w:space="0" w:color="auto"/>
            </w:tcBorders>
          </w:tcPr>
          <w:p w14:paraId="5F84B8DA"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NHS Wales Data Dictionary</w:t>
            </w:r>
          </w:p>
        </w:tc>
      </w:tr>
      <w:tr w:rsidR="000420B5" w:rsidRPr="006436E9" w14:paraId="3A396959" w14:textId="77777777" w:rsidTr="00B94801">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8" w:space="0" w:color="auto"/>
            </w:tcBorders>
          </w:tcPr>
          <w:p w14:paraId="7F3F757D"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Geographical scope</w:t>
            </w:r>
          </w:p>
        </w:tc>
        <w:tc>
          <w:tcPr>
            <w:tcW w:w="0" w:type="dxa"/>
            <w:tcBorders>
              <w:top w:val="single" w:sz="4" w:space="0" w:color="auto"/>
              <w:bottom w:val="single" w:sz="8" w:space="0" w:color="auto"/>
            </w:tcBorders>
          </w:tcPr>
          <w:p w14:paraId="408B4741"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South Wales</w:t>
            </w:r>
          </w:p>
        </w:tc>
      </w:tr>
    </w:tbl>
    <w:p w14:paraId="133F9A86" w14:textId="76F135E1" w:rsidR="000420B5" w:rsidRPr="006436E9" w:rsidRDefault="00413456" w:rsidP="00413456">
      <w:pPr>
        <w:pStyle w:val="MDPI41tablecaption"/>
        <w:rPr>
          <w:lang w:val="en-GB"/>
        </w:rPr>
      </w:pPr>
      <w:r w:rsidRPr="006436E9">
        <w:rPr>
          <w:b/>
          <w:lang w:val="en-GB"/>
        </w:rPr>
        <w:t xml:space="preserve">Table 4. </w:t>
      </w:r>
      <w:r w:rsidR="000420B5" w:rsidRPr="006436E9">
        <w:rPr>
          <w:lang w:val="en-GB"/>
        </w:rPr>
        <w:t>Violence and other relevant items in the Clinical Practice Research Datalink (CPRD)</w:t>
      </w:r>
      <w:r w:rsidRPr="006436E9">
        <w:rPr>
          <w:lang w:val="en-GB"/>
        </w:rPr>
        <w:t>.</w:t>
      </w:r>
    </w:p>
    <w:tbl>
      <w:tblPr>
        <w:tblStyle w:val="PlainTable2"/>
        <w:tblW w:w="10465" w:type="dxa"/>
        <w:tblLayout w:type="fixed"/>
        <w:tblLook w:val="04A0" w:firstRow="1" w:lastRow="0" w:firstColumn="1" w:lastColumn="0" w:noHBand="0" w:noVBand="1"/>
      </w:tblPr>
      <w:tblGrid>
        <w:gridCol w:w="5245"/>
        <w:gridCol w:w="5220"/>
      </w:tblGrid>
      <w:tr w:rsidR="000420B5" w:rsidRPr="006436E9" w14:paraId="4D24F3C9" w14:textId="77777777" w:rsidTr="00B948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Borders>
              <w:top w:val="single" w:sz="8" w:space="0" w:color="auto"/>
            </w:tcBorders>
          </w:tcPr>
          <w:p w14:paraId="0A17C15A" w14:textId="77777777" w:rsidR="000420B5" w:rsidRPr="006436E9" w:rsidRDefault="000420B5" w:rsidP="00413456">
            <w:pPr>
              <w:autoSpaceDE w:val="0"/>
              <w:autoSpaceDN w:val="0"/>
              <w:adjustRightInd w:val="0"/>
              <w:snapToGrid w:val="0"/>
              <w:spacing w:line="240" w:lineRule="auto"/>
              <w:jc w:val="left"/>
              <w:rPr>
                <w:b w:val="0"/>
                <w:noProof w:val="0"/>
                <w:lang w:val="en-GB"/>
              </w:rPr>
            </w:pPr>
            <w:r w:rsidRPr="006436E9">
              <w:rPr>
                <w:noProof w:val="0"/>
                <w:lang w:val="en-GB"/>
              </w:rPr>
              <w:t>Information</w:t>
            </w:r>
          </w:p>
        </w:tc>
        <w:tc>
          <w:tcPr>
            <w:tcW w:w="5220" w:type="dxa"/>
            <w:tcBorders>
              <w:top w:val="single" w:sz="8" w:space="0" w:color="auto"/>
            </w:tcBorders>
          </w:tcPr>
          <w:p w14:paraId="4C6155CA" w14:textId="77777777" w:rsidR="000420B5" w:rsidRPr="006436E9" w:rsidRDefault="000420B5" w:rsidP="00413456">
            <w:pPr>
              <w:autoSpaceDE w:val="0"/>
              <w:autoSpaceDN w:val="0"/>
              <w:adjustRightInd w:val="0"/>
              <w:snapToGrid w:val="0"/>
              <w:spacing w:line="240" w:lineRule="auto"/>
              <w:jc w:val="left"/>
              <w:cnfStyle w:val="100000000000" w:firstRow="1" w:lastRow="0" w:firstColumn="0" w:lastColumn="0" w:oddVBand="0" w:evenVBand="0" w:oddHBand="0" w:evenHBand="0" w:firstRowFirstColumn="0" w:firstRowLastColumn="0" w:lastRowFirstColumn="0" w:lastRowLastColumn="0"/>
              <w:rPr>
                <w:b w:val="0"/>
                <w:noProof w:val="0"/>
                <w:lang w:val="en-GB"/>
              </w:rPr>
            </w:pPr>
            <w:r w:rsidRPr="006436E9">
              <w:rPr>
                <w:noProof w:val="0"/>
                <w:lang w:val="en-GB"/>
              </w:rPr>
              <w:t>Clinical Practice Research Datalink (CPRD)</w:t>
            </w:r>
          </w:p>
        </w:tc>
      </w:tr>
      <w:tr w:rsidR="000420B5" w:rsidRPr="006436E9" w14:paraId="7791C30D" w14:textId="77777777" w:rsidTr="00B56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Borders>
              <w:bottom w:val="single" w:sz="4" w:space="0" w:color="auto"/>
            </w:tcBorders>
          </w:tcPr>
          <w:p w14:paraId="1DA931D9"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Violence indicators</w:t>
            </w:r>
          </w:p>
        </w:tc>
        <w:tc>
          <w:tcPr>
            <w:tcW w:w="5220" w:type="dxa"/>
            <w:tcBorders>
              <w:bottom w:val="single" w:sz="4" w:space="0" w:color="auto"/>
            </w:tcBorders>
          </w:tcPr>
          <w:p w14:paraId="7EEA24C6" w14:textId="489E148F"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Safeguarding codes used for children and adults at risk</w:t>
            </w:r>
            <w:r w:rsidR="0024060B" w:rsidRPr="006436E9">
              <w:rPr>
                <w:noProof w:val="0"/>
                <w:lang w:val="en-GB"/>
              </w:rPr>
              <w:t>,</w:t>
            </w:r>
            <w:r w:rsidRPr="006436E9">
              <w:rPr>
                <w:noProof w:val="0"/>
                <w:lang w:val="en-GB"/>
              </w:rPr>
              <w:t xml:space="preserve"> e.g., for domestic violence (DV), female genital mutilation (FGM)</w:t>
            </w:r>
          </w:p>
        </w:tc>
      </w:tr>
      <w:tr w:rsidR="000420B5" w:rsidRPr="006436E9" w14:paraId="1F3FB225" w14:textId="77777777" w:rsidTr="00B56191">
        <w:tc>
          <w:tcPr>
            <w:cnfStyle w:val="001000000000" w:firstRow="0" w:lastRow="0" w:firstColumn="1" w:lastColumn="0" w:oddVBand="0" w:evenVBand="0" w:oddHBand="0" w:evenHBand="0" w:firstRowFirstColumn="0" w:firstRowLastColumn="0" w:lastRowFirstColumn="0" w:lastRowLastColumn="0"/>
            <w:tcW w:w="5245" w:type="dxa"/>
            <w:tcBorders>
              <w:top w:val="single" w:sz="4" w:space="0" w:color="auto"/>
              <w:bottom w:val="single" w:sz="4" w:space="0" w:color="auto"/>
            </w:tcBorders>
          </w:tcPr>
          <w:p w14:paraId="2DF4C522"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Contextual information associated with violence</w:t>
            </w:r>
          </w:p>
        </w:tc>
        <w:tc>
          <w:tcPr>
            <w:tcW w:w="5220" w:type="dxa"/>
            <w:tcBorders>
              <w:top w:val="single" w:sz="4" w:space="0" w:color="auto"/>
              <w:bottom w:val="single" w:sz="4" w:space="0" w:color="auto"/>
            </w:tcBorders>
          </w:tcPr>
          <w:p w14:paraId="223B6320"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Event date (date associated with the event, as entered by the GP)</w:t>
            </w:r>
          </w:p>
          <w:p w14:paraId="5B5677D3" w14:textId="3359AF01"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Type of consultation (e.g., surgery consultation, night visit, emergency</w:t>
            </w:r>
            <w:r w:rsidR="0024060B" w:rsidRPr="006436E9">
              <w:rPr>
                <w:noProof w:val="0"/>
                <w:lang w:val="en-GB"/>
              </w:rPr>
              <w:t>,</w:t>
            </w:r>
            <w:r w:rsidRPr="006436E9">
              <w:rPr>
                <w:noProof w:val="0"/>
                <w:lang w:val="en-GB"/>
              </w:rPr>
              <w:t xml:space="preserve"> etc.)</w:t>
            </w:r>
          </w:p>
        </w:tc>
      </w:tr>
      <w:tr w:rsidR="000420B5" w:rsidRPr="006436E9" w14:paraId="46BF2E6C" w14:textId="77777777" w:rsidTr="00B56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Borders>
              <w:top w:val="single" w:sz="4" w:space="0" w:color="auto"/>
              <w:bottom w:val="single" w:sz="4" w:space="0" w:color="auto"/>
            </w:tcBorders>
          </w:tcPr>
          <w:p w14:paraId="69A1FCC5"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Clinical (including harm)</w:t>
            </w:r>
          </w:p>
        </w:tc>
        <w:tc>
          <w:tcPr>
            <w:tcW w:w="5220" w:type="dxa"/>
            <w:tcBorders>
              <w:top w:val="single" w:sz="4" w:space="0" w:color="auto"/>
              <w:bottom w:val="single" w:sz="4" w:space="0" w:color="auto"/>
            </w:tcBorders>
          </w:tcPr>
          <w:p w14:paraId="066B0EC7"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Symptoms</w:t>
            </w:r>
          </w:p>
          <w:p w14:paraId="54228969"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Signs</w:t>
            </w:r>
          </w:p>
          <w:p w14:paraId="4BFE65EC"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Diagnoses</w:t>
            </w:r>
          </w:p>
          <w:p w14:paraId="7998F455"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Tests and prescriptions (for drugs and appliances)</w:t>
            </w:r>
          </w:p>
          <w:p w14:paraId="7BE26CC4"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Source of referral</w:t>
            </w:r>
          </w:p>
          <w:p w14:paraId="3873A034"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Referral</w:t>
            </w:r>
          </w:p>
          <w:p w14:paraId="46D5AE40"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Lifestyle factors: smoking, alcohol, obesity, substance misuse</w:t>
            </w:r>
          </w:p>
          <w:p w14:paraId="0E8AB268" w14:textId="77777777" w:rsidR="000420B5" w:rsidRPr="006436E9" w:rsidRDefault="000420B5" w:rsidP="00413456">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Learning disability</w:t>
            </w:r>
          </w:p>
          <w:p w14:paraId="79EAFB7F" w14:textId="73879620" w:rsidR="000420B5" w:rsidRPr="006436E9" w:rsidRDefault="000420B5" w:rsidP="00DA13B0">
            <w:pPr>
              <w:autoSpaceDE w:val="0"/>
              <w:autoSpaceDN w:val="0"/>
              <w:adjustRightInd w:val="0"/>
              <w:snapToGrid w:val="0"/>
              <w:spacing w:line="240" w:lineRule="auto"/>
              <w:ind w:left="504" w:hanging="504"/>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Data from other linked datasets</w:t>
            </w:r>
            <w:r w:rsidR="0024060B" w:rsidRPr="006436E9">
              <w:rPr>
                <w:noProof w:val="0"/>
                <w:lang w:val="en-GB"/>
              </w:rPr>
              <w:t>,</w:t>
            </w:r>
            <w:r w:rsidRPr="006436E9">
              <w:rPr>
                <w:noProof w:val="0"/>
                <w:lang w:val="en-GB"/>
              </w:rPr>
              <w:t xml:space="preserve"> e.g., Mental Health Dataset, Cancer Registration, HES Admitted Patient Care</w:t>
            </w:r>
          </w:p>
        </w:tc>
      </w:tr>
      <w:tr w:rsidR="000420B5" w:rsidRPr="006436E9" w14:paraId="38A98E14" w14:textId="77777777" w:rsidTr="00B56191">
        <w:tc>
          <w:tcPr>
            <w:cnfStyle w:val="001000000000" w:firstRow="0" w:lastRow="0" w:firstColumn="1" w:lastColumn="0" w:oddVBand="0" w:evenVBand="0" w:oddHBand="0" w:evenHBand="0" w:firstRowFirstColumn="0" w:firstRowLastColumn="0" w:lastRowFirstColumn="0" w:lastRowLastColumn="0"/>
            <w:tcW w:w="5245" w:type="dxa"/>
            <w:tcBorders>
              <w:top w:val="single" w:sz="4" w:space="0" w:color="auto"/>
              <w:bottom w:val="single" w:sz="4" w:space="0" w:color="auto"/>
            </w:tcBorders>
          </w:tcPr>
          <w:p w14:paraId="2F64C5AB"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Social factors</w:t>
            </w:r>
          </w:p>
        </w:tc>
        <w:tc>
          <w:tcPr>
            <w:tcW w:w="5220" w:type="dxa"/>
            <w:tcBorders>
              <w:top w:val="single" w:sz="4" w:space="0" w:color="auto"/>
              <w:bottom w:val="single" w:sz="4" w:space="0" w:color="auto"/>
            </w:tcBorders>
          </w:tcPr>
          <w:p w14:paraId="48000231"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Age</w:t>
            </w:r>
          </w:p>
          <w:p w14:paraId="4361002C"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Gender</w:t>
            </w:r>
          </w:p>
          <w:p w14:paraId="7B5060D0"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lastRenderedPageBreak/>
              <w:t>•</w:t>
            </w:r>
            <w:r w:rsidRPr="006436E9">
              <w:rPr>
                <w:noProof w:val="0"/>
                <w:lang w:val="en-GB"/>
              </w:rPr>
              <w:tab/>
              <w:t>Ethnicity</w:t>
            </w:r>
          </w:p>
          <w:p w14:paraId="559EFAAE"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First language</w:t>
            </w:r>
          </w:p>
          <w:p w14:paraId="4F03CD70"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Country of birth</w:t>
            </w:r>
          </w:p>
          <w:p w14:paraId="5FED0E90" w14:textId="33974435"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Type of residence: including homelessness, care home, prison</w:t>
            </w:r>
          </w:p>
          <w:p w14:paraId="24549217"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Living arrangements (e.g., alone, cohabitation)</w:t>
            </w:r>
          </w:p>
          <w:p w14:paraId="5B7545C9"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Religion</w:t>
            </w:r>
          </w:p>
          <w:p w14:paraId="3D030A29"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w:t>
            </w:r>
            <w:r w:rsidRPr="006436E9">
              <w:rPr>
                <w:noProof w:val="0"/>
                <w:lang w:val="en-GB"/>
              </w:rPr>
              <w:tab/>
              <w:t>Marital status</w:t>
            </w:r>
          </w:p>
        </w:tc>
      </w:tr>
      <w:tr w:rsidR="000420B5" w:rsidRPr="006436E9" w14:paraId="458AB14D" w14:textId="77777777" w:rsidTr="00B948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Borders>
              <w:top w:val="single" w:sz="4" w:space="0" w:color="auto"/>
              <w:bottom w:val="single" w:sz="4" w:space="0" w:color="auto"/>
            </w:tcBorders>
          </w:tcPr>
          <w:p w14:paraId="5BBC5E2B"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lastRenderedPageBreak/>
              <w:t>Coding system</w:t>
            </w:r>
          </w:p>
        </w:tc>
        <w:tc>
          <w:tcPr>
            <w:tcW w:w="5220" w:type="dxa"/>
            <w:tcBorders>
              <w:top w:val="single" w:sz="4" w:space="0" w:color="auto"/>
              <w:bottom w:val="single" w:sz="4" w:space="0" w:color="auto"/>
            </w:tcBorders>
          </w:tcPr>
          <w:p w14:paraId="64758DB5" w14:textId="5C2FCD88" w:rsidR="000420B5" w:rsidRPr="006436E9" w:rsidRDefault="000420B5" w:rsidP="00DA13B0">
            <w:pPr>
              <w:autoSpaceDE w:val="0"/>
              <w:autoSpaceDN w:val="0"/>
              <w:adjustRightInd w:val="0"/>
              <w:snapToGrid w:val="0"/>
              <w:spacing w:line="240" w:lineRule="auto"/>
              <w:ind w:left="504" w:hanging="504"/>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Read codes</w:t>
            </w:r>
            <w:r w:rsidR="0024060B" w:rsidRPr="006436E9">
              <w:rPr>
                <w:noProof w:val="0"/>
                <w:lang w:val="en-GB"/>
              </w:rPr>
              <w:t>;</w:t>
            </w:r>
            <w:r w:rsidRPr="006436E9">
              <w:rPr>
                <w:noProof w:val="0"/>
                <w:lang w:val="en-GB"/>
              </w:rPr>
              <w:t xml:space="preserve"> </w:t>
            </w:r>
            <w:r w:rsidR="0024060B" w:rsidRPr="006436E9">
              <w:rPr>
                <w:noProof w:val="0"/>
                <w:lang w:val="en-GB"/>
              </w:rPr>
              <w:t>f</w:t>
            </w:r>
            <w:r w:rsidRPr="006436E9">
              <w:rPr>
                <w:noProof w:val="0"/>
                <w:lang w:val="en-GB"/>
              </w:rPr>
              <w:t>rom April 2018, Read codes are prospectively mapped to SNOMED CT codes</w:t>
            </w:r>
          </w:p>
          <w:p w14:paraId="0CCA3CC9" w14:textId="77777777" w:rsidR="000420B5" w:rsidRPr="006436E9" w:rsidRDefault="000420B5" w:rsidP="00DA13B0">
            <w:pPr>
              <w:autoSpaceDE w:val="0"/>
              <w:autoSpaceDN w:val="0"/>
              <w:adjustRightInd w:val="0"/>
              <w:snapToGrid w:val="0"/>
              <w:spacing w:line="240" w:lineRule="auto"/>
              <w:ind w:left="504" w:hanging="504"/>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r w:rsidRPr="006436E9">
              <w:rPr>
                <w:noProof w:val="0"/>
                <w:lang w:val="en-GB"/>
              </w:rPr>
              <w:tab/>
              <w:t>Prescriptions are automatically recorded with a product name and British National Formulary code</w:t>
            </w:r>
          </w:p>
        </w:tc>
      </w:tr>
      <w:tr w:rsidR="000420B5" w:rsidRPr="006436E9" w14:paraId="50352EF9" w14:textId="77777777" w:rsidTr="00B94801">
        <w:tc>
          <w:tcPr>
            <w:cnfStyle w:val="001000000000" w:firstRow="0" w:lastRow="0" w:firstColumn="1" w:lastColumn="0" w:oddVBand="0" w:evenVBand="0" w:oddHBand="0" w:evenHBand="0" w:firstRowFirstColumn="0" w:firstRowLastColumn="0" w:lastRowFirstColumn="0" w:lastRowLastColumn="0"/>
            <w:tcW w:w="5245" w:type="dxa"/>
            <w:tcBorders>
              <w:top w:val="single" w:sz="4" w:space="0" w:color="auto"/>
              <w:bottom w:val="single" w:sz="8" w:space="0" w:color="auto"/>
            </w:tcBorders>
          </w:tcPr>
          <w:p w14:paraId="74C0BF58" w14:textId="77777777" w:rsidR="000420B5" w:rsidRPr="006436E9" w:rsidRDefault="000420B5" w:rsidP="00413456">
            <w:pPr>
              <w:autoSpaceDE w:val="0"/>
              <w:autoSpaceDN w:val="0"/>
              <w:adjustRightInd w:val="0"/>
              <w:snapToGrid w:val="0"/>
              <w:spacing w:line="240" w:lineRule="auto"/>
              <w:jc w:val="left"/>
              <w:rPr>
                <w:b w:val="0"/>
                <w:bCs w:val="0"/>
                <w:noProof w:val="0"/>
                <w:lang w:val="en-GB"/>
              </w:rPr>
            </w:pPr>
            <w:r w:rsidRPr="006436E9">
              <w:rPr>
                <w:b w:val="0"/>
                <w:bCs w:val="0"/>
                <w:noProof w:val="0"/>
                <w:lang w:val="en-GB"/>
              </w:rPr>
              <w:t>Geographical scope</w:t>
            </w:r>
          </w:p>
        </w:tc>
        <w:tc>
          <w:tcPr>
            <w:tcW w:w="5220" w:type="dxa"/>
            <w:tcBorders>
              <w:top w:val="single" w:sz="4" w:space="0" w:color="auto"/>
              <w:bottom w:val="single" w:sz="8" w:space="0" w:color="auto"/>
            </w:tcBorders>
          </w:tcPr>
          <w:p w14:paraId="21799426" w14:textId="77777777" w:rsidR="000420B5" w:rsidRPr="006436E9" w:rsidRDefault="000420B5" w:rsidP="00413456">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England</w:t>
            </w:r>
          </w:p>
        </w:tc>
      </w:tr>
    </w:tbl>
    <w:p w14:paraId="00AB8E1A" w14:textId="27FDD46F" w:rsidR="000420B5" w:rsidRPr="006436E9" w:rsidRDefault="000420B5" w:rsidP="00DA13B0">
      <w:pPr>
        <w:pStyle w:val="MDPI31text"/>
        <w:spacing w:before="240"/>
        <w:rPr>
          <w:lang w:val="en-GB"/>
        </w:rPr>
      </w:pPr>
      <w:r w:rsidRPr="006436E9">
        <w:rPr>
          <w:iCs/>
          <w:lang w:val="en-GB"/>
        </w:rPr>
        <w:t>Location of incident</w:t>
      </w:r>
      <w:r w:rsidRPr="006436E9">
        <w:rPr>
          <w:lang w:val="en-GB"/>
        </w:rPr>
        <w:t xml:space="preserve">. </w:t>
      </w:r>
      <w:r w:rsidR="0024060B" w:rsidRPr="006436E9">
        <w:rPr>
          <w:lang w:val="en-GB"/>
        </w:rPr>
        <w:t xml:space="preserve">The </w:t>
      </w:r>
      <w:r w:rsidRPr="006436E9">
        <w:rPr>
          <w:lang w:val="en-GB"/>
        </w:rPr>
        <w:t xml:space="preserve">HES A&amp;E collected ‘Incident location type’, which characterised the place where the incident that led to </w:t>
      </w:r>
      <w:r w:rsidR="0024060B" w:rsidRPr="006436E9">
        <w:rPr>
          <w:lang w:val="en-GB"/>
        </w:rPr>
        <w:t xml:space="preserve">the </w:t>
      </w:r>
      <w:r w:rsidRPr="006436E9">
        <w:rPr>
          <w:lang w:val="en-GB"/>
        </w:rPr>
        <w:t xml:space="preserve">A&amp;E episode occurred. The categories for the location type were ‘Home’, ‘Work’, ‘Educational establishment’, ‘Public place’, ‘Other’, and ‘Not known’. In </w:t>
      </w:r>
      <w:r w:rsidR="0024060B" w:rsidRPr="006436E9">
        <w:rPr>
          <w:lang w:val="en-GB"/>
        </w:rPr>
        <w:t xml:space="preserve">the </w:t>
      </w:r>
      <w:r w:rsidRPr="006436E9">
        <w:rPr>
          <w:lang w:val="en-GB"/>
        </w:rPr>
        <w:t>ECDS</w:t>
      </w:r>
      <w:r w:rsidR="0024060B" w:rsidRPr="006436E9">
        <w:rPr>
          <w:lang w:val="en-GB"/>
        </w:rPr>
        <w:t>,</w:t>
      </w:r>
      <w:r w:rsidRPr="006436E9">
        <w:rPr>
          <w:lang w:val="en-GB"/>
        </w:rPr>
        <w:t xml:space="preserve"> a ‘Place of injury’ data item was used to identify the type of location at which the injury occurred and included the following categories: ‘Home’, ‘Outdoor’, ‘Entertainment’, ‘Public area’, ‘Public transport’, ‘Private vehicle’, ‘Residential/nursing home’, ‘Student accommodation’, ‘Hotel/B&amp;B’, ‘Custodial services’, and ‘Hostel/homeless’ (</w:t>
      </w:r>
      <w:r w:rsidR="00DA13B0" w:rsidRPr="006436E9">
        <w:rPr>
          <w:szCs w:val="18"/>
          <w:lang w:val="en-GB"/>
        </w:rPr>
        <w:t>NHS Digital 2023</w:t>
      </w:r>
      <w:r w:rsidRPr="006436E9">
        <w:rPr>
          <w:lang w:val="en-GB"/>
        </w:rPr>
        <w:t>).</w:t>
      </w:r>
    </w:p>
    <w:p w14:paraId="5077196A" w14:textId="52FAA24A" w:rsidR="000420B5" w:rsidRPr="006436E9" w:rsidRDefault="009671F7" w:rsidP="00413456">
      <w:pPr>
        <w:pStyle w:val="MDPI23heading3"/>
        <w:spacing w:before="240"/>
        <w:rPr>
          <w:lang w:val="en-GB"/>
        </w:rPr>
      </w:pPr>
      <w:r>
        <w:rPr>
          <w:lang w:val="en-GB"/>
        </w:rPr>
        <w:t xml:space="preserve">2.2.2. </w:t>
      </w:r>
      <w:r w:rsidR="000420B5" w:rsidRPr="006436E9">
        <w:rPr>
          <w:lang w:val="en-GB"/>
        </w:rPr>
        <w:t xml:space="preserve">Sociodemographic </w:t>
      </w:r>
      <w:r w:rsidR="00994411" w:rsidRPr="006436E9">
        <w:rPr>
          <w:lang w:val="en-GB"/>
        </w:rPr>
        <w:t>Characteristics</w:t>
      </w:r>
    </w:p>
    <w:p w14:paraId="0416EA87" w14:textId="088B14CD" w:rsidR="000420B5" w:rsidRPr="006436E9" w:rsidRDefault="000420B5" w:rsidP="00413456">
      <w:pPr>
        <w:pStyle w:val="MDPI31text"/>
        <w:rPr>
          <w:lang w:val="en-GB"/>
        </w:rPr>
      </w:pPr>
      <w:r w:rsidRPr="006436E9">
        <w:rPr>
          <w:iCs/>
          <w:lang w:val="en-GB"/>
        </w:rPr>
        <w:t>Age.</w:t>
      </w:r>
      <w:r w:rsidRPr="006436E9">
        <w:rPr>
          <w:lang w:val="en-GB"/>
        </w:rPr>
        <w:t xml:space="preserve"> Participant age was grouped for analysis (under 18, 18</w:t>
      </w:r>
      <w:r w:rsidR="00994411" w:rsidRPr="006436E9">
        <w:rPr>
          <w:lang w:val="en-GB"/>
        </w:rPr>
        <w:t>–</w:t>
      </w:r>
      <w:r w:rsidRPr="006436E9">
        <w:rPr>
          <w:lang w:val="en-GB"/>
        </w:rPr>
        <w:t>24, 25</w:t>
      </w:r>
      <w:r w:rsidR="00994411" w:rsidRPr="006436E9">
        <w:rPr>
          <w:lang w:val="en-GB"/>
        </w:rPr>
        <w:t>–</w:t>
      </w:r>
      <w:r w:rsidRPr="006436E9">
        <w:rPr>
          <w:lang w:val="en-GB"/>
        </w:rPr>
        <w:t>34, 35</w:t>
      </w:r>
      <w:r w:rsidR="00994411" w:rsidRPr="006436E9">
        <w:rPr>
          <w:lang w:val="en-GB"/>
        </w:rPr>
        <w:t>–</w:t>
      </w:r>
      <w:r w:rsidRPr="006436E9">
        <w:rPr>
          <w:lang w:val="en-GB"/>
        </w:rPr>
        <w:t>44, 45</w:t>
      </w:r>
      <w:r w:rsidR="00994411" w:rsidRPr="006436E9">
        <w:rPr>
          <w:lang w:val="en-GB"/>
        </w:rPr>
        <w:t>–</w:t>
      </w:r>
      <w:r w:rsidRPr="006436E9">
        <w:rPr>
          <w:lang w:val="en-GB"/>
        </w:rPr>
        <w:t>54, 55</w:t>
      </w:r>
      <w:r w:rsidR="00994411" w:rsidRPr="006436E9">
        <w:rPr>
          <w:lang w:val="en-GB"/>
        </w:rPr>
        <w:t>–</w:t>
      </w:r>
      <w:r w:rsidRPr="006436E9">
        <w:rPr>
          <w:lang w:val="en-GB"/>
        </w:rPr>
        <w:t>64, and 65 and older) in both</w:t>
      </w:r>
      <w:r w:rsidR="0024060B" w:rsidRPr="006436E9">
        <w:rPr>
          <w:lang w:val="en-GB"/>
        </w:rPr>
        <w:t xml:space="preserve"> the</w:t>
      </w:r>
      <w:r w:rsidRPr="006436E9">
        <w:rPr>
          <w:lang w:val="en-GB"/>
        </w:rPr>
        <w:t xml:space="preserve"> HES A&amp;E and ECDS datasets.</w:t>
      </w:r>
    </w:p>
    <w:p w14:paraId="7E2FF503" w14:textId="60FC0971" w:rsidR="000420B5" w:rsidRPr="006436E9" w:rsidRDefault="000420B5" w:rsidP="00413456">
      <w:pPr>
        <w:pStyle w:val="MDPI31text"/>
        <w:rPr>
          <w:lang w:val="en-GB"/>
        </w:rPr>
      </w:pPr>
      <w:r w:rsidRPr="006436E9">
        <w:rPr>
          <w:iCs/>
          <w:lang w:val="en-GB"/>
        </w:rPr>
        <w:t>Gender.</w:t>
      </w:r>
      <w:r w:rsidRPr="006436E9">
        <w:rPr>
          <w:lang w:val="en-GB"/>
        </w:rPr>
        <w:t xml:space="preserve"> We use the term ‘gender’ because this was the term mostly used in the dataset documentation. </w:t>
      </w:r>
      <w:r w:rsidR="0024060B" w:rsidRPr="006436E9">
        <w:rPr>
          <w:lang w:val="en-GB"/>
        </w:rPr>
        <w:t xml:space="preserve">The </w:t>
      </w:r>
      <w:r w:rsidRPr="006436E9">
        <w:rPr>
          <w:lang w:val="en-GB"/>
        </w:rPr>
        <w:t xml:space="preserve">HES A&amp;E includes </w:t>
      </w:r>
      <w:r w:rsidR="0024060B" w:rsidRPr="006436E9">
        <w:rPr>
          <w:lang w:val="en-GB"/>
        </w:rPr>
        <w:t xml:space="preserve">the </w:t>
      </w:r>
      <w:r w:rsidRPr="006436E9">
        <w:rPr>
          <w:lang w:val="en-GB"/>
        </w:rPr>
        <w:t>item ‘Current gender of patient’, which has the following categories: ‘Female’, ‘Male’, ‘Not specified’, and ‘Not known’ (</w:t>
      </w:r>
      <w:r w:rsidR="00A35B83" w:rsidRPr="006436E9">
        <w:rPr>
          <w:lang w:val="en-GB"/>
        </w:rPr>
        <w:t>NHS Digital 2021</w:t>
      </w:r>
      <w:r w:rsidRPr="006436E9">
        <w:rPr>
          <w:lang w:val="en-GB"/>
        </w:rPr>
        <w:t xml:space="preserve">). </w:t>
      </w:r>
      <w:r w:rsidR="0024060B" w:rsidRPr="006436E9">
        <w:rPr>
          <w:lang w:val="en-GB"/>
        </w:rPr>
        <w:t xml:space="preserve">The </w:t>
      </w:r>
      <w:r w:rsidRPr="006436E9">
        <w:rPr>
          <w:lang w:val="en-GB"/>
        </w:rPr>
        <w:t>ECDS contains ‘Person stated gender’, which has ‘Male’, ‘Female’, ‘Indeterminate’, and ‘Unknown (not recorded)’ categories (</w:t>
      </w:r>
      <w:r w:rsidR="00A35B83" w:rsidRPr="006436E9">
        <w:rPr>
          <w:szCs w:val="18"/>
          <w:lang w:val="en-GB"/>
        </w:rPr>
        <w:t>NHS England 2015</w:t>
      </w:r>
      <w:r w:rsidRPr="006436E9">
        <w:rPr>
          <w:lang w:val="en-GB"/>
        </w:rPr>
        <w:t>). Gender refers to “socially constructed roles, behaviours, activities and attributes associated with a particular gender</w:t>
      </w:r>
      <w:r w:rsidR="009E1A1C">
        <w:rPr>
          <w:lang w:val="en-GB"/>
        </w:rPr>
        <w:t>”</w:t>
      </w:r>
      <w:r w:rsidRPr="006436E9">
        <w:rPr>
          <w:lang w:val="en-GB"/>
        </w:rPr>
        <w:t xml:space="preserve"> (</w:t>
      </w:r>
      <w:proofErr w:type="spellStart"/>
      <w:r w:rsidR="00A35B83" w:rsidRPr="006436E9">
        <w:rPr>
          <w:szCs w:val="18"/>
          <w:lang w:val="en-GB"/>
        </w:rPr>
        <w:t>Meyersfeld</w:t>
      </w:r>
      <w:proofErr w:type="spellEnd"/>
      <w:r w:rsidR="00A35B83" w:rsidRPr="006436E9">
        <w:rPr>
          <w:szCs w:val="18"/>
          <w:lang w:val="en-GB"/>
        </w:rPr>
        <w:t xml:space="preserve"> 2012</w:t>
      </w:r>
      <w:r w:rsidRPr="006436E9">
        <w:rPr>
          <w:lang w:val="en-GB"/>
        </w:rPr>
        <w:t>) and goes beyond binary classification. However, we used the ‘Male’ and ‘Female’ categories</w:t>
      </w:r>
      <w:r w:rsidR="0024060B" w:rsidRPr="006436E9">
        <w:rPr>
          <w:lang w:val="en-GB"/>
        </w:rPr>
        <w:t>, as</w:t>
      </w:r>
      <w:r w:rsidRPr="006436E9">
        <w:rPr>
          <w:lang w:val="en-GB"/>
        </w:rPr>
        <w:t xml:space="preserve"> the count for other categories was insufficient for statistical analysis.</w:t>
      </w:r>
    </w:p>
    <w:p w14:paraId="10D7683B" w14:textId="5982AB80" w:rsidR="000420B5" w:rsidRPr="006436E9" w:rsidRDefault="000420B5" w:rsidP="00413456">
      <w:pPr>
        <w:pStyle w:val="MDPI31text"/>
        <w:rPr>
          <w:lang w:val="en-GB"/>
        </w:rPr>
      </w:pPr>
      <w:r w:rsidRPr="006436E9">
        <w:rPr>
          <w:lang w:val="en-GB"/>
        </w:rPr>
        <w:t xml:space="preserve">Index of Multiple Deprivation (IMD). </w:t>
      </w:r>
      <w:r w:rsidR="0024060B" w:rsidRPr="006436E9">
        <w:rPr>
          <w:lang w:val="en-GB"/>
        </w:rPr>
        <w:t xml:space="preserve">The </w:t>
      </w:r>
      <w:r w:rsidRPr="006436E9">
        <w:rPr>
          <w:lang w:val="en-GB"/>
        </w:rPr>
        <w:t>HES A&amp;E includes information on patients’ area</w:t>
      </w:r>
      <w:r w:rsidR="007D3950" w:rsidRPr="006436E9">
        <w:rPr>
          <w:lang w:val="en-GB"/>
        </w:rPr>
        <w:t>s</w:t>
      </w:r>
      <w:r w:rsidRPr="006436E9">
        <w:rPr>
          <w:lang w:val="en-GB"/>
        </w:rPr>
        <w:t xml:space="preserve"> of residence (</w:t>
      </w:r>
      <w:r w:rsidR="0024060B" w:rsidRPr="006436E9">
        <w:rPr>
          <w:lang w:val="en-GB"/>
        </w:rPr>
        <w:t xml:space="preserve">the </w:t>
      </w:r>
      <w:r w:rsidRPr="006436E9">
        <w:rPr>
          <w:lang w:val="en-GB"/>
        </w:rPr>
        <w:t>Lower Super Output Area (LSOA) derived from patient</w:t>
      </w:r>
      <w:r w:rsidR="0024060B" w:rsidRPr="006436E9">
        <w:rPr>
          <w:lang w:val="en-GB"/>
        </w:rPr>
        <w:t>s’</w:t>
      </w:r>
      <w:r w:rsidRPr="006436E9">
        <w:rPr>
          <w:lang w:val="en-GB"/>
        </w:rPr>
        <w:t xml:space="preserve"> postcode</w:t>
      </w:r>
      <w:r w:rsidR="0024060B" w:rsidRPr="006436E9">
        <w:rPr>
          <w:lang w:val="en-GB"/>
        </w:rPr>
        <w:t>s</w:t>
      </w:r>
      <w:r w:rsidRPr="006436E9">
        <w:rPr>
          <w:lang w:val="en-GB"/>
        </w:rPr>
        <w:t>). IMD deciles were calculated by ranking LSOAs from the most deprived to the least deprived (</w:t>
      </w:r>
      <w:r w:rsidR="00A35B83" w:rsidRPr="006436E9">
        <w:rPr>
          <w:szCs w:val="18"/>
          <w:lang w:val="en-GB"/>
        </w:rPr>
        <w:t>Bowie 2019</w:t>
      </w:r>
      <w:r w:rsidRPr="006436E9">
        <w:rPr>
          <w:lang w:val="en-GB"/>
        </w:rPr>
        <w:t xml:space="preserve">) and used to measure the level of area deprivation in </w:t>
      </w:r>
      <w:r w:rsidR="0024060B" w:rsidRPr="006436E9">
        <w:rPr>
          <w:lang w:val="en-GB"/>
        </w:rPr>
        <w:t xml:space="preserve">the </w:t>
      </w:r>
      <w:r w:rsidRPr="006436E9">
        <w:rPr>
          <w:lang w:val="en-GB"/>
        </w:rPr>
        <w:t>HES A&amp;E data.</w:t>
      </w:r>
    </w:p>
    <w:p w14:paraId="32C667E4" w14:textId="6B02B92D" w:rsidR="000420B5" w:rsidRPr="006436E9" w:rsidRDefault="00413456" w:rsidP="00413456">
      <w:pPr>
        <w:pStyle w:val="MDPI22heading2"/>
        <w:spacing w:before="240"/>
        <w:rPr>
          <w:noProof w:val="0"/>
          <w:lang w:val="en-GB"/>
        </w:rPr>
      </w:pPr>
      <w:r w:rsidRPr="006436E9">
        <w:rPr>
          <w:noProof w:val="0"/>
          <w:lang w:val="en-GB"/>
        </w:rPr>
        <w:t xml:space="preserve">2.3. </w:t>
      </w:r>
      <w:r w:rsidR="000420B5" w:rsidRPr="006436E9">
        <w:rPr>
          <w:noProof w:val="0"/>
          <w:lang w:val="en-GB"/>
        </w:rPr>
        <w:t xml:space="preserve">Data </w:t>
      </w:r>
      <w:r w:rsidR="00A35B83" w:rsidRPr="006436E9">
        <w:rPr>
          <w:noProof w:val="0"/>
          <w:lang w:val="en-GB"/>
        </w:rPr>
        <w:t>Access</w:t>
      </w:r>
    </w:p>
    <w:p w14:paraId="008C621C" w14:textId="24F6553D" w:rsidR="008F3740" w:rsidRDefault="000420B5" w:rsidP="00413456">
      <w:pPr>
        <w:pStyle w:val="MDPI31text"/>
        <w:rPr>
          <w:lang w:val="en-GB"/>
        </w:rPr>
      </w:pPr>
      <w:r w:rsidRPr="006436E9">
        <w:rPr>
          <w:lang w:val="en-GB"/>
        </w:rPr>
        <w:t xml:space="preserve">Access was provided to HES A&amp;E and ECDS data via a secondment with the Department of Health and Social Care (DHSC). The data were accessed using the NHS England Secure Data Environment (SDE) Service through the Data Access Request Service (DARS). All extractions </w:t>
      </w:r>
      <w:r w:rsidR="0024060B" w:rsidRPr="006436E9">
        <w:rPr>
          <w:lang w:val="en-GB"/>
        </w:rPr>
        <w:t xml:space="preserve">were </w:t>
      </w:r>
      <w:r w:rsidRPr="006436E9">
        <w:rPr>
          <w:lang w:val="en-GB"/>
        </w:rPr>
        <w:t xml:space="preserve">made </w:t>
      </w:r>
      <w:r w:rsidR="0024060B" w:rsidRPr="006436E9">
        <w:rPr>
          <w:lang w:val="en-GB"/>
        </w:rPr>
        <w:t>following</w:t>
      </w:r>
      <w:r w:rsidRPr="006436E9">
        <w:rPr>
          <w:lang w:val="en-GB"/>
        </w:rPr>
        <w:t xml:space="preserve"> the data minimisation principle</w:t>
      </w:r>
      <w:r w:rsidR="0024060B" w:rsidRPr="006436E9">
        <w:rPr>
          <w:lang w:val="en-GB"/>
        </w:rPr>
        <w:t>;</w:t>
      </w:r>
      <w:r w:rsidRPr="006436E9">
        <w:rPr>
          <w:lang w:val="en-GB"/>
        </w:rPr>
        <w:t xml:space="preserve"> therefore</w:t>
      </w:r>
      <w:r w:rsidR="0024060B" w:rsidRPr="006436E9">
        <w:rPr>
          <w:lang w:val="en-GB"/>
        </w:rPr>
        <w:t>,</w:t>
      </w:r>
      <w:r w:rsidRPr="006436E9">
        <w:rPr>
          <w:lang w:val="en-GB"/>
        </w:rPr>
        <w:t xml:space="preserve"> more data may exist beyond the extract. The ethnicity field in </w:t>
      </w:r>
      <w:r w:rsidR="0024060B" w:rsidRPr="006436E9">
        <w:rPr>
          <w:lang w:val="en-GB"/>
        </w:rPr>
        <w:t xml:space="preserve">the </w:t>
      </w:r>
      <w:r w:rsidRPr="006436E9">
        <w:rPr>
          <w:lang w:val="en-GB"/>
        </w:rPr>
        <w:t xml:space="preserve">HES A&amp;E and ECDS </w:t>
      </w:r>
      <w:r w:rsidR="007D3950" w:rsidRPr="006436E9">
        <w:rPr>
          <w:lang w:val="en-GB"/>
        </w:rPr>
        <w:t xml:space="preserve">was </w:t>
      </w:r>
      <w:r w:rsidRPr="006436E9">
        <w:rPr>
          <w:lang w:val="en-GB"/>
        </w:rPr>
        <w:t xml:space="preserve">not accessible through </w:t>
      </w:r>
      <w:r w:rsidR="0024060B" w:rsidRPr="006436E9">
        <w:rPr>
          <w:lang w:val="en-GB"/>
        </w:rPr>
        <w:t xml:space="preserve">the </w:t>
      </w:r>
      <w:r w:rsidRPr="006436E9">
        <w:rPr>
          <w:lang w:val="en-GB"/>
        </w:rPr>
        <w:t xml:space="preserve">DARS </w:t>
      </w:r>
      <w:r w:rsidR="0024060B" w:rsidRPr="006436E9">
        <w:rPr>
          <w:lang w:val="en-GB"/>
        </w:rPr>
        <w:t xml:space="preserve">at </w:t>
      </w:r>
      <w:r w:rsidRPr="006436E9">
        <w:rPr>
          <w:lang w:val="en-GB"/>
        </w:rPr>
        <w:t>the time of the analysis.</w:t>
      </w:r>
    </w:p>
    <w:p w14:paraId="1930B917" w14:textId="77777777" w:rsidR="008F3740" w:rsidRDefault="008F3740">
      <w:pPr>
        <w:spacing w:line="240" w:lineRule="auto"/>
        <w:jc w:val="left"/>
        <w:rPr>
          <w:rFonts w:eastAsia="Times New Roman"/>
          <w:noProof w:val="0"/>
          <w:snapToGrid w:val="0"/>
          <w:kern w:val="2"/>
          <w:szCs w:val="22"/>
          <w:lang w:val="en-GB" w:eastAsia="de-DE" w:bidi="en-US"/>
          <w14:ligatures w14:val="standardContextual"/>
        </w:rPr>
      </w:pPr>
      <w:r>
        <w:rPr>
          <w:lang w:val="en-GB"/>
        </w:rPr>
        <w:br w:type="page"/>
      </w:r>
    </w:p>
    <w:p w14:paraId="249C7C34" w14:textId="6DE6DDCB" w:rsidR="000420B5" w:rsidRPr="006436E9" w:rsidRDefault="00413456" w:rsidP="00413456">
      <w:pPr>
        <w:pStyle w:val="MDPI22heading2"/>
        <w:spacing w:before="240"/>
        <w:rPr>
          <w:noProof w:val="0"/>
          <w:lang w:val="en-GB"/>
        </w:rPr>
      </w:pPr>
      <w:r w:rsidRPr="006436E9">
        <w:rPr>
          <w:noProof w:val="0"/>
          <w:lang w:val="en-GB"/>
        </w:rPr>
        <w:lastRenderedPageBreak/>
        <w:t xml:space="preserve">2.4. </w:t>
      </w:r>
      <w:r w:rsidR="000420B5" w:rsidRPr="006436E9">
        <w:rPr>
          <w:noProof w:val="0"/>
          <w:lang w:val="en-GB"/>
        </w:rPr>
        <w:t xml:space="preserve">Statistical </w:t>
      </w:r>
      <w:r w:rsidR="00A35B83" w:rsidRPr="006436E9">
        <w:rPr>
          <w:noProof w:val="0"/>
          <w:lang w:val="en-GB"/>
        </w:rPr>
        <w:t>Analysis</w:t>
      </w:r>
    </w:p>
    <w:p w14:paraId="22559AEE" w14:textId="770E9BDC" w:rsidR="000420B5" w:rsidRPr="006436E9" w:rsidRDefault="0024060B" w:rsidP="00413456">
      <w:pPr>
        <w:pStyle w:val="MDPI31text"/>
        <w:rPr>
          <w:lang w:val="en-GB"/>
        </w:rPr>
      </w:pPr>
      <w:r w:rsidRPr="006436E9">
        <w:rPr>
          <w:lang w:val="en-GB"/>
        </w:rPr>
        <w:t>A d</w:t>
      </w:r>
      <w:r w:rsidR="000420B5" w:rsidRPr="006436E9">
        <w:rPr>
          <w:lang w:val="en-GB"/>
        </w:rPr>
        <w:t xml:space="preserve">escriptive analysis </w:t>
      </w:r>
      <w:r w:rsidRPr="006436E9">
        <w:rPr>
          <w:lang w:val="en-GB"/>
        </w:rPr>
        <w:t xml:space="preserve">of </w:t>
      </w:r>
      <w:r w:rsidR="007D3950" w:rsidRPr="006436E9">
        <w:rPr>
          <w:lang w:val="en-GB"/>
        </w:rPr>
        <w:t xml:space="preserve">the </w:t>
      </w:r>
      <w:r w:rsidR="000420B5" w:rsidRPr="006436E9">
        <w:rPr>
          <w:lang w:val="en-GB"/>
        </w:rPr>
        <w:t xml:space="preserve">prevalence of violence and comparisons by age, gender, and area-level deprivation (where available) among all cases presented to A&amp;E in England between March 2015 and April 2016 and March 2021 and April 2022 was conducted. </w:t>
      </w:r>
      <w:r w:rsidR="000420B5" w:rsidRPr="006436E9">
        <w:rPr>
          <w:bCs/>
          <w:lang w:val="en-GB"/>
        </w:rPr>
        <w:t xml:space="preserve">The analyses were conducted to provide a summary of </w:t>
      </w:r>
      <w:r w:rsidRPr="006436E9">
        <w:rPr>
          <w:bCs/>
          <w:lang w:val="en-GB"/>
        </w:rPr>
        <w:t xml:space="preserve">the </w:t>
      </w:r>
      <w:r w:rsidR="000420B5" w:rsidRPr="006436E9">
        <w:rPr>
          <w:bCs/>
          <w:lang w:val="en-GB"/>
        </w:rPr>
        <w:t>violence distribution among patients in the health datasets and to measure the distribution of violence by patients’ sociodemographic characteristics, with the aim of identifying meaningful differences in patterns. Analyses were stratified by gender in order to understand differences in exposure to different types of violence, associated contexts</w:t>
      </w:r>
      <w:r w:rsidRPr="006436E9">
        <w:rPr>
          <w:bCs/>
          <w:lang w:val="en-GB"/>
        </w:rPr>
        <w:t>,</w:t>
      </w:r>
      <w:r w:rsidR="000420B5" w:rsidRPr="006436E9">
        <w:rPr>
          <w:bCs/>
          <w:lang w:val="en-GB"/>
        </w:rPr>
        <w:t xml:space="preserve"> and potential harms </w:t>
      </w:r>
      <w:r w:rsidR="00EA6451" w:rsidRPr="00EA6451">
        <w:rPr>
          <w:bCs/>
          <w:lang w:val="en-GB"/>
        </w:rPr>
        <w:t xml:space="preserve">(Office for National Statistics 2019) </w:t>
      </w:r>
      <w:r w:rsidR="000420B5" w:rsidRPr="006436E9">
        <w:rPr>
          <w:bCs/>
          <w:lang w:val="en-GB"/>
        </w:rPr>
        <w:fldChar w:fldCharType="begin"/>
      </w:r>
      <w:r w:rsidR="00510B5C" w:rsidRPr="006436E9">
        <w:rPr>
          <w:bCs/>
          <w:lang w:val="en-GB"/>
        </w:rPr>
        <w:instrText xml:space="preserve"> ADDIN EN.CITE &lt;EndNote&gt;&lt;Cite&gt;&lt;Author&gt;Office for National Statistics&lt;/Author&gt;&lt;Year&gt;2019&lt;/Year&gt;&lt;RecNum&gt;114&lt;/RecNum&gt;&lt;record&gt;&lt;rec-number&gt;114&lt;/rec-number&gt;&lt;foreign-keys&gt;&lt;key app="EN" db-id="ea20aprfuxefvgeet96vdtfxv90eesr9t5tt" timestamp="1653405543"&gt;114&lt;/key&gt;&lt;/foreign-keys&gt;&lt;ref-type name="Report"&gt;27&lt;/ref-type&gt;&lt;contributors&gt;&lt;authors&gt;&lt;author&gt;Office for National Statistics, &lt;/author&gt;&lt;/authors&gt;&lt;/contributors&gt;&lt;titles&gt;&lt;title&gt;The nature of violent crime in England and Wales: year ending March 2018&lt;/title&gt;&lt;/titles&gt;&lt;dates&gt;&lt;year&gt;2019&lt;/year&gt;&lt;/dates&gt;&lt;urls&gt;&lt;related-urls&gt;&lt;url&gt;https://www.ons.gov.uk/peoplepopulationandcommunity/crimeandjustice/articles/thenatureofviolentcrimeinenglandandwales/yearendingmarch2018&lt;/url&gt;&lt;/related-urls&gt;&lt;/urls&gt;&lt;/record&gt;&lt;/Cite&gt;&lt;/EndNote&gt;</w:instrText>
      </w:r>
      <w:r w:rsidR="000420B5" w:rsidRPr="006436E9">
        <w:rPr>
          <w:bCs/>
          <w:lang w:val="en-GB"/>
        </w:rPr>
        <w:fldChar w:fldCharType="end"/>
      </w:r>
      <w:r w:rsidR="000420B5" w:rsidRPr="006436E9">
        <w:rPr>
          <w:bCs/>
          <w:lang w:val="en-GB"/>
        </w:rPr>
        <w:t xml:space="preserve">. </w:t>
      </w:r>
      <w:r w:rsidR="000420B5" w:rsidRPr="006436E9">
        <w:rPr>
          <w:lang w:val="en-GB"/>
        </w:rPr>
        <w:t>SQL (</w:t>
      </w:r>
      <w:r w:rsidRPr="006436E9">
        <w:rPr>
          <w:lang w:val="en-GB"/>
        </w:rPr>
        <w:t>s</w:t>
      </w:r>
      <w:r w:rsidR="000420B5" w:rsidRPr="006436E9">
        <w:rPr>
          <w:lang w:val="en-GB"/>
        </w:rPr>
        <w:t>tructured query language) and R software (version 4.2.3) were used in the analysis.</w:t>
      </w:r>
    </w:p>
    <w:p w14:paraId="492558BE" w14:textId="01E6834E" w:rsidR="000420B5" w:rsidRPr="006436E9" w:rsidRDefault="00413456" w:rsidP="00413456">
      <w:pPr>
        <w:pStyle w:val="MDPI21heading1"/>
        <w:rPr>
          <w:lang w:val="en-GB"/>
        </w:rPr>
      </w:pPr>
      <w:bookmarkStart w:id="9" w:name="_Hlk112241429"/>
      <w:r w:rsidRPr="006436E9">
        <w:rPr>
          <w:lang w:val="en-GB"/>
        </w:rPr>
        <w:t xml:space="preserve">3. </w:t>
      </w:r>
      <w:r w:rsidR="000420B5" w:rsidRPr="006436E9">
        <w:rPr>
          <w:lang w:val="en-GB"/>
        </w:rPr>
        <w:t>Results</w:t>
      </w:r>
    </w:p>
    <w:p w14:paraId="38CA3CAA" w14:textId="0C34B126" w:rsidR="000420B5" w:rsidRPr="006436E9" w:rsidRDefault="00413456" w:rsidP="00413456">
      <w:pPr>
        <w:pStyle w:val="MDPI22heading2"/>
        <w:rPr>
          <w:noProof w:val="0"/>
          <w:lang w:val="en-GB"/>
        </w:rPr>
      </w:pPr>
      <w:r w:rsidRPr="006436E9">
        <w:rPr>
          <w:noProof w:val="0"/>
          <w:lang w:val="en-GB"/>
        </w:rPr>
        <w:t xml:space="preserve">3.1. </w:t>
      </w:r>
      <w:r w:rsidR="000420B5" w:rsidRPr="006436E9">
        <w:rPr>
          <w:noProof w:val="0"/>
          <w:lang w:val="en-GB"/>
        </w:rPr>
        <w:t xml:space="preserve">Emergency </w:t>
      </w:r>
      <w:r w:rsidR="00A35B83" w:rsidRPr="006436E9">
        <w:rPr>
          <w:noProof w:val="0"/>
          <w:lang w:val="en-GB"/>
        </w:rPr>
        <w:t>Datasets</w:t>
      </w:r>
    </w:p>
    <w:p w14:paraId="41861A6D" w14:textId="16C8B0FF" w:rsidR="00A35B83" w:rsidRPr="006436E9" w:rsidRDefault="0024060B" w:rsidP="00413456">
      <w:pPr>
        <w:pStyle w:val="MDPI31text"/>
        <w:rPr>
          <w:lang w:val="en-GB"/>
        </w:rPr>
      </w:pPr>
      <w:r w:rsidRPr="006436E9">
        <w:rPr>
          <w:lang w:val="en-GB"/>
        </w:rPr>
        <w:t xml:space="preserve">The </w:t>
      </w:r>
      <w:r w:rsidR="000420B5" w:rsidRPr="006436E9">
        <w:rPr>
          <w:lang w:val="en-GB"/>
        </w:rPr>
        <w:t xml:space="preserve">HES A&amp;E and ECDS hold information on patients presenting for urgent and emergency care in England. The HES A&amp;E dataset was in operation from 2007 until 2019 when it was gradually replaced by </w:t>
      </w:r>
      <w:r w:rsidRPr="006436E9">
        <w:rPr>
          <w:lang w:val="en-GB"/>
        </w:rPr>
        <w:t xml:space="preserve">the </w:t>
      </w:r>
      <w:r w:rsidR="000420B5" w:rsidRPr="006436E9">
        <w:rPr>
          <w:lang w:val="en-GB"/>
        </w:rPr>
        <w:t xml:space="preserve">ECDS </w:t>
      </w:r>
      <w:r w:rsidR="0078375B" w:rsidRPr="0078375B">
        <w:rPr>
          <w:lang w:val="en-GB"/>
        </w:rPr>
        <w:t>(NHS Digital 2022)</w:t>
      </w:r>
      <w:r w:rsidR="000420B5" w:rsidRPr="006436E9">
        <w:rPr>
          <w:lang w:val="en-GB"/>
        </w:rPr>
        <w:fldChar w:fldCharType="begin"/>
      </w:r>
      <w:r w:rsidR="00510B5C" w:rsidRPr="006436E9">
        <w:rPr>
          <w:lang w:val="en-GB"/>
        </w:rPr>
        <w:instrText xml:space="preserve"> ADDIN EN.CITE &lt;EndNote&gt;&lt;Cite&gt;&lt;Author&gt;NHS Digital&lt;/Author&gt;&lt;Year&gt;2022&lt;/Year&gt;&lt;RecNum&gt;147&lt;/RecNum&gt;&lt;record&gt;&lt;rec-number&gt;147&lt;/rec-number&gt;&lt;foreign-keys&gt;&lt;key app="EN" db-id="ea20aprfuxefvgeet96vdtfxv90eesr9t5tt" timestamp="1661271544"&gt;147&lt;/key&gt;&lt;/foreign-keys&gt;&lt;ref-type name="Web Page"&gt;12&lt;/ref-type&gt;&lt;contributors&gt;&lt;authors&gt;&lt;author&gt;NHS Digital, &lt;/author&gt;&lt;/authors&gt;&lt;/contributors&gt;&lt;titles&gt;&lt;title&gt;Methodology change notice provision A&amp;amp;E quality indicators England by provider and provisional monthly hospital episode statistics data&lt;/title&gt;&lt;/titles&gt;&lt;dates&gt;&lt;year&gt;2022&lt;/year&gt;&lt;/dates&gt;&lt;urls&gt;&lt;related-urls&gt;&lt;url&gt;https://digital.nhs.uk/data-and-information/find-data-and-publications/statement-of-administrative-sources/methodological-changes/methodology-change-notice-provision-ae-quality-indicators-england-by-provider-and-provisional-monthly-hospital-episode-statistics-data&lt;/url&gt;&lt;/related-urls&gt;&lt;/urls&gt;&lt;/record&gt;&lt;/Cite&gt;&lt;/EndNote&gt;</w:instrText>
      </w:r>
      <w:r w:rsidR="000420B5" w:rsidRPr="006436E9">
        <w:rPr>
          <w:lang w:val="en-GB"/>
        </w:rPr>
        <w:fldChar w:fldCharType="end"/>
      </w:r>
      <w:r w:rsidR="000420B5" w:rsidRPr="006436E9">
        <w:rPr>
          <w:lang w:val="en-GB"/>
        </w:rPr>
        <w:t xml:space="preserve">. </w:t>
      </w:r>
      <w:r w:rsidRPr="006436E9">
        <w:rPr>
          <w:lang w:val="en-GB"/>
        </w:rPr>
        <w:t xml:space="preserve">The </w:t>
      </w:r>
      <w:r w:rsidR="000420B5" w:rsidRPr="006436E9">
        <w:rPr>
          <w:lang w:val="en-GB"/>
        </w:rPr>
        <w:t>HES A&amp;E was used to report on hospital activity before 2020</w:t>
      </w:r>
      <w:r w:rsidR="00A35B83" w:rsidRPr="006436E9">
        <w:rPr>
          <w:lang w:val="en-GB"/>
        </w:rPr>
        <w:t>–</w:t>
      </w:r>
      <w:r w:rsidR="000420B5" w:rsidRPr="006436E9">
        <w:rPr>
          <w:lang w:val="en-GB"/>
        </w:rPr>
        <w:t>2021.</w:t>
      </w:r>
      <w:bookmarkEnd w:id="9"/>
    </w:p>
    <w:p w14:paraId="50B0AB2D" w14:textId="5E3454F3" w:rsidR="000420B5" w:rsidRPr="006436E9" w:rsidRDefault="00413456" w:rsidP="00413456">
      <w:pPr>
        <w:pStyle w:val="MDPI22heading2"/>
        <w:spacing w:before="240"/>
        <w:rPr>
          <w:noProof w:val="0"/>
          <w:lang w:val="en-GB"/>
        </w:rPr>
      </w:pPr>
      <w:r w:rsidRPr="006436E9">
        <w:rPr>
          <w:noProof w:val="0"/>
          <w:lang w:val="en-GB"/>
        </w:rPr>
        <w:t xml:space="preserve">3.2. </w:t>
      </w:r>
      <w:r w:rsidR="000420B5" w:rsidRPr="006436E9">
        <w:rPr>
          <w:noProof w:val="0"/>
          <w:lang w:val="en-GB"/>
        </w:rPr>
        <w:t>Health Episodes Statistics Accident and Emergency (HES A&amp;E)</w:t>
      </w:r>
    </w:p>
    <w:p w14:paraId="24A3C68D" w14:textId="2FDC107A" w:rsidR="000420B5" w:rsidRPr="006436E9" w:rsidRDefault="000420B5" w:rsidP="00413456">
      <w:pPr>
        <w:pStyle w:val="MDPI31text"/>
        <w:rPr>
          <w:lang w:val="en-GB"/>
        </w:rPr>
      </w:pPr>
      <w:r w:rsidRPr="006436E9">
        <w:rPr>
          <w:lang w:val="en-GB"/>
        </w:rPr>
        <w:t>The HES A&amp;E dataset records attendance at general A&amp;E departments as well as special</w:t>
      </w:r>
      <w:r w:rsidR="007D3950" w:rsidRPr="006436E9">
        <w:rPr>
          <w:lang w:val="en-GB"/>
        </w:rPr>
        <w:t>i</w:t>
      </w:r>
      <w:r w:rsidRPr="006436E9">
        <w:rPr>
          <w:lang w:val="en-GB"/>
        </w:rPr>
        <w:t>ty A&amp;E departments, walk-in centres</w:t>
      </w:r>
      <w:r w:rsidR="0024060B" w:rsidRPr="006436E9">
        <w:rPr>
          <w:lang w:val="en-GB"/>
        </w:rPr>
        <w:t>,</w:t>
      </w:r>
      <w:r w:rsidRPr="006436E9">
        <w:rPr>
          <w:lang w:val="en-GB"/>
        </w:rPr>
        <w:t xml:space="preserve"> and minor injury units. </w:t>
      </w:r>
      <w:r w:rsidR="0024060B" w:rsidRPr="006436E9">
        <w:rPr>
          <w:lang w:val="en-GB"/>
        </w:rPr>
        <w:t xml:space="preserve">The </w:t>
      </w:r>
      <w:r w:rsidRPr="006436E9">
        <w:rPr>
          <w:lang w:val="en-GB"/>
        </w:rPr>
        <w:t>HES A&amp;E contains clinical information</w:t>
      </w:r>
      <w:r w:rsidR="0024060B" w:rsidRPr="006436E9">
        <w:rPr>
          <w:lang w:val="en-GB"/>
        </w:rPr>
        <w:t>,</w:t>
      </w:r>
      <w:r w:rsidRPr="006436E9">
        <w:rPr>
          <w:lang w:val="en-GB"/>
        </w:rPr>
        <w:t xml:space="preserve"> including fields on diagnoses, anatomical areas </w:t>
      </w:r>
      <w:r w:rsidR="0024060B" w:rsidRPr="006436E9">
        <w:rPr>
          <w:lang w:val="en-GB"/>
        </w:rPr>
        <w:t xml:space="preserve">diagnosed </w:t>
      </w:r>
      <w:r w:rsidRPr="006436E9">
        <w:rPr>
          <w:lang w:val="en-GB"/>
        </w:rPr>
        <w:t>(i.e., affected parts of the body)</w:t>
      </w:r>
      <w:r w:rsidR="0024060B" w:rsidRPr="006436E9">
        <w:rPr>
          <w:lang w:val="en-GB"/>
        </w:rPr>
        <w:t>,</w:t>
      </w:r>
      <w:r w:rsidRPr="006436E9">
        <w:rPr>
          <w:lang w:val="en-GB"/>
        </w:rPr>
        <w:t xml:space="preserve"> and anatomical side (i.e., right/left)</w:t>
      </w:r>
      <w:r w:rsidR="0024060B" w:rsidRPr="006436E9">
        <w:rPr>
          <w:lang w:val="en-GB"/>
        </w:rPr>
        <w:t>;</w:t>
      </w:r>
      <w:r w:rsidRPr="006436E9">
        <w:rPr>
          <w:lang w:val="en-GB"/>
        </w:rPr>
        <w:t xml:space="preserve"> investigations, received treatments, attendance referral, and source of referral; sociodemographic information (age, gender, ethnicity, local authority district); administrative information</w:t>
      </w:r>
      <w:r w:rsidR="0024060B" w:rsidRPr="006436E9">
        <w:rPr>
          <w:lang w:val="en-GB"/>
        </w:rPr>
        <w:t>,</w:t>
      </w:r>
      <w:r w:rsidRPr="006436E9">
        <w:rPr>
          <w:lang w:val="en-GB"/>
        </w:rPr>
        <w:t xml:space="preserve"> such as arrival date and time, arrival mode, departure time, person, event, spell (admission)</w:t>
      </w:r>
      <w:r w:rsidR="0024060B" w:rsidRPr="006436E9">
        <w:rPr>
          <w:lang w:val="en-GB"/>
        </w:rPr>
        <w:t>,</w:t>
      </w:r>
      <w:r w:rsidRPr="006436E9">
        <w:rPr>
          <w:lang w:val="en-GB"/>
        </w:rPr>
        <w:t xml:space="preserve"> and provider identifiers (Table 1) </w:t>
      </w:r>
      <w:r w:rsidR="004863A4" w:rsidRPr="004863A4">
        <w:rPr>
          <w:lang w:val="en-GB"/>
        </w:rPr>
        <w:t>(Boyd et al. 2017)</w:t>
      </w:r>
      <w:r w:rsidRPr="006436E9">
        <w:rPr>
          <w:lang w:val="en-GB"/>
        </w:rPr>
        <w:fldChar w:fldCharType="begin"/>
      </w:r>
      <w:r w:rsidR="00510B5C" w:rsidRPr="006436E9">
        <w:rPr>
          <w:lang w:val="en-GB"/>
        </w:rPr>
        <w:instrText xml:space="preserve"> ADDIN EN.CITE &lt;EndNote&gt;&lt;Cite&gt;&lt;Author&gt;Boyd&lt;/Author&gt;&lt;Year&gt;2017&lt;/Year&gt;&lt;RecNum&gt;99&lt;/RecNum&gt;&lt;record&gt;&lt;rec-number&gt;99&lt;/rec-number&gt;&lt;foreign-keys&gt;&lt;key app="EN" db-id="ea20aprfuxefvgeet96vdtfxv90eesr9t5tt" timestamp="1653228477"&gt;99&lt;/key&gt;&lt;/foreign-keys&gt;&lt;ref-type name="Journal Article"&gt;17&lt;/ref-type&gt;&lt;contributors&gt;&lt;authors&gt;&lt;author&gt;Boyd, Andy&lt;/author&gt;&lt;author&gt;Cornish, Rosie&lt;/author&gt;&lt;author&gt;Johnson, Leigh&lt;/author&gt;&lt;author&gt;Simmonds, Shirley&lt;/author&gt;&lt;author&gt;Syddall, Holly&lt;/author&gt;&lt;author&gt;Westbury, Leo&lt;/author&gt;&lt;/authors&gt;&lt;/contributors&gt;&lt;titles&gt;&lt;title&gt;Understanding Hospital episode statistics (HES)&lt;/title&gt;&lt;secondary-title&gt;London, UK: CLOSER&lt;/secondary-title&gt;&lt;/titles&gt;&lt;periodical&gt;&lt;full-title&gt;London, UK: CLOSER&lt;/full-title&gt;&lt;/periodical&gt;&lt;dates&gt;&lt;year&gt;2017&lt;/year&gt;&lt;/dates&gt;&lt;urls&gt;&lt;/urls&gt;&lt;/record&gt;&lt;/Cite&gt;&lt;/EndNote&gt;</w:instrText>
      </w:r>
      <w:r w:rsidRPr="006436E9">
        <w:rPr>
          <w:lang w:val="en-GB"/>
        </w:rPr>
        <w:fldChar w:fldCharType="end"/>
      </w:r>
      <w:r w:rsidRPr="006436E9">
        <w:rPr>
          <w:lang w:val="en-GB"/>
        </w:rPr>
        <w:t>.</w:t>
      </w:r>
    </w:p>
    <w:p w14:paraId="63D09D25" w14:textId="2FD3D094" w:rsidR="000420B5" w:rsidRPr="006436E9" w:rsidRDefault="00413456" w:rsidP="00413456">
      <w:pPr>
        <w:pStyle w:val="MDPI23heading3"/>
        <w:spacing w:before="240"/>
        <w:rPr>
          <w:lang w:val="en-GB"/>
        </w:rPr>
      </w:pPr>
      <w:r w:rsidRPr="006436E9">
        <w:rPr>
          <w:lang w:val="en-GB"/>
        </w:rPr>
        <w:t xml:space="preserve">3.2.1. </w:t>
      </w:r>
      <w:r w:rsidR="000420B5" w:rsidRPr="006436E9">
        <w:rPr>
          <w:lang w:val="en-GB"/>
        </w:rPr>
        <w:t xml:space="preserve">Violence </w:t>
      </w:r>
      <w:r w:rsidR="00B631B4" w:rsidRPr="006436E9">
        <w:rPr>
          <w:lang w:val="en-GB"/>
        </w:rPr>
        <w:t>Characteristics</w:t>
      </w:r>
    </w:p>
    <w:p w14:paraId="357DA388" w14:textId="3A65E335" w:rsidR="000420B5" w:rsidRPr="006436E9" w:rsidRDefault="000420B5" w:rsidP="00413456">
      <w:pPr>
        <w:pStyle w:val="MDPI31text"/>
        <w:rPr>
          <w:lang w:val="en-GB"/>
        </w:rPr>
      </w:pPr>
      <w:r w:rsidRPr="006436E9">
        <w:rPr>
          <w:lang w:val="en-GB"/>
        </w:rPr>
        <w:t xml:space="preserve">With regards to violence, HES A&amp;E has data items to flag acts of violence and the harm to physical health that patients present with. Specifically, HES A&amp;E has fields to indicate the reason for A&amp;E attendance and diagnosis. Diagnosis is recorded using </w:t>
      </w:r>
      <w:r w:rsidR="0024060B" w:rsidRPr="006436E9">
        <w:rPr>
          <w:lang w:val="en-GB"/>
        </w:rPr>
        <w:t xml:space="preserve">the </w:t>
      </w:r>
      <w:r w:rsidRPr="006436E9">
        <w:rPr>
          <w:lang w:val="en-GB"/>
        </w:rPr>
        <w:t>HES A&amp;E coding classification. However, for some parts of the dataset</w:t>
      </w:r>
      <w:r w:rsidR="0024060B" w:rsidRPr="006436E9">
        <w:rPr>
          <w:lang w:val="en-GB"/>
        </w:rPr>
        <w:t>,</w:t>
      </w:r>
      <w:r w:rsidRPr="006436E9">
        <w:rPr>
          <w:lang w:val="en-GB"/>
        </w:rPr>
        <w:t xml:space="preserve"> ICD-10 and Read codes were used (</w:t>
      </w:r>
      <w:r w:rsidR="00B631B4" w:rsidRPr="006436E9">
        <w:rPr>
          <w:szCs w:val="18"/>
          <w:lang w:val="en-GB"/>
        </w:rPr>
        <w:t>Medicines &amp; Healthcare products Regulatory Agency 2021</w:t>
      </w:r>
      <w:r w:rsidRPr="006436E9">
        <w:rPr>
          <w:lang w:val="en-GB"/>
        </w:rPr>
        <w:t xml:space="preserve">). ICD includes a range of codes for violence that can indicate physical, sexual, </w:t>
      </w:r>
      <w:r w:rsidR="007D3950" w:rsidRPr="006436E9">
        <w:rPr>
          <w:lang w:val="en-GB"/>
        </w:rPr>
        <w:t xml:space="preserve">and </w:t>
      </w:r>
      <w:r w:rsidRPr="006436E9">
        <w:rPr>
          <w:lang w:val="en-GB"/>
        </w:rPr>
        <w:t>psychological abuse</w:t>
      </w:r>
      <w:r w:rsidR="007D3950" w:rsidRPr="006436E9">
        <w:rPr>
          <w:lang w:val="en-GB"/>
        </w:rPr>
        <w:t>;</w:t>
      </w:r>
      <w:r w:rsidRPr="006436E9">
        <w:rPr>
          <w:lang w:val="en-GB"/>
        </w:rPr>
        <w:t xml:space="preserve"> sexual exploitation</w:t>
      </w:r>
      <w:r w:rsidR="007D3950" w:rsidRPr="006436E9">
        <w:rPr>
          <w:lang w:val="en-GB"/>
        </w:rPr>
        <w:t>;</w:t>
      </w:r>
      <w:r w:rsidRPr="006436E9">
        <w:rPr>
          <w:lang w:val="en-GB"/>
        </w:rPr>
        <w:t xml:space="preserve"> forced labour exploitation</w:t>
      </w:r>
      <w:r w:rsidR="007D3950" w:rsidRPr="006436E9">
        <w:rPr>
          <w:lang w:val="en-GB"/>
        </w:rPr>
        <w:t>;</w:t>
      </w:r>
      <w:r w:rsidRPr="006436E9">
        <w:rPr>
          <w:lang w:val="en-GB"/>
        </w:rPr>
        <w:t xml:space="preserve"> neglect and other forms of maltreatment</w:t>
      </w:r>
      <w:r w:rsidR="007D3950" w:rsidRPr="006436E9">
        <w:rPr>
          <w:lang w:val="en-GB"/>
        </w:rPr>
        <w:t>;</w:t>
      </w:r>
      <w:r w:rsidRPr="006436E9">
        <w:rPr>
          <w:lang w:val="en-GB"/>
        </w:rPr>
        <w:t xml:space="preserve"> as well as </w:t>
      </w:r>
      <w:r w:rsidR="007D3950" w:rsidRPr="006436E9">
        <w:rPr>
          <w:lang w:val="en-GB"/>
        </w:rPr>
        <w:t xml:space="preserve">a </w:t>
      </w:r>
      <w:r w:rsidRPr="006436E9">
        <w:rPr>
          <w:lang w:val="en-GB"/>
        </w:rPr>
        <w:t xml:space="preserve">history of abuse (Supplementary Table </w:t>
      </w:r>
      <w:r w:rsidR="00B631B4" w:rsidRPr="006436E9">
        <w:rPr>
          <w:lang w:val="en-GB"/>
        </w:rPr>
        <w:t>S</w:t>
      </w:r>
      <w:r w:rsidRPr="006436E9">
        <w:rPr>
          <w:lang w:val="en-GB"/>
        </w:rPr>
        <w:t>1) (</w:t>
      </w:r>
      <w:bookmarkStart w:id="10" w:name="_Hlk160032362"/>
      <w:r w:rsidR="00B631B4" w:rsidRPr="006436E9">
        <w:rPr>
          <w:szCs w:val="18"/>
          <w:lang w:val="en-GB"/>
        </w:rPr>
        <w:t>Olive 2018</w:t>
      </w:r>
      <w:bookmarkEnd w:id="10"/>
      <w:r w:rsidRPr="006436E9">
        <w:rPr>
          <w:lang w:val="en-GB"/>
        </w:rPr>
        <w:t>).</w:t>
      </w:r>
    </w:p>
    <w:p w14:paraId="2FF76044" w14:textId="71CA392C" w:rsidR="000420B5" w:rsidRPr="006436E9" w:rsidRDefault="000420B5" w:rsidP="00413456">
      <w:pPr>
        <w:pStyle w:val="MDPI31text"/>
        <w:rPr>
          <w:lang w:val="en-GB"/>
        </w:rPr>
      </w:pPr>
      <w:r w:rsidRPr="006436E9">
        <w:rPr>
          <w:lang w:val="en-GB"/>
        </w:rPr>
        <w:t xml:space="preserve">Additionally, </w:t>
      </w:r>
      <w:r w:rsidR="0024060B" w:rsidRPr="006436E9">
        <w:rPr>
          <w:lang w:val="en-GB"/>
        </w:rPr>
        <w:t xml:space="preserve">the </w:t>
      </w:r>
      <w:r w:rsidRPr="006436E9">
        <w:rPr>
          <w:lang w:val="en-GB"/>
        </w:rPr>
        <w:t xml:space="preserve">HES A&amp;E dataset records information on the patient’s arrival date and time at health services, which can be used as a proxy </w:t>
      </w:r>
      <w:r w:rsidR="007D3950" w:rsidRPr="006436E9">
        <w:rPr>
          <w:lang w:val="en-GB"/>
        </w:rPr>
        <w:t xml:space="preserve">for </w:t>
      </w:r>
      <w:r w:rsidRPr="006436E9">
        <w:rPr>
          <w:lang w:val="en-GB"/>
        </w:rPr>
        <w:t>the timing of the assault in some cases (</w:t>
      </w:r>
      <w:r w:rsidR="00760A52" w:rsidRPr="006436E9">
        <w:rPr>
          <w:szCs w:val="18"/>
          <w:lang w:val="en-GB"/>
        </w:rPr>
        <w:t>Wood et al. 2014</w:t>
      </w:r>
      <w:r w:rsidRPr="006436E9">
        <w:rPr>
          <w:lang w:val="en-GB"/>
        </w:rPr>
        <w:t xml:space="preserve">). </w:t>
      </w:r>
      <w:r w:rsidR="0024060B" w:rsidRPr="006436E9">
        <w:rPr>
          <w:lang w:val="en-GB"/>
        </w:rPr>
        <w:t xml:space="preserve">The </w:t>
      </w:r>
      <w:r w:rsidRPr="006436E9">
        <w:rPr>
          <w:lang w:val="en-GB"/>
        </w:rPr>
        <w:t>HES A&amp;E also has a data item for location type (e.g., workplace). This information can be used for developing targeted violence prevention initiatives (</w:t>
      </w:r>
      <w:r w:rsidR="00760A52" w:rsidRPr="006436E9">
        <w:rPr>
          <w:szCs w:val="18"/>
          <w:lang w:val="en-GB"/>
        </w:rPr>
        <w:t>Bellis et al. 2012</w:t>
      </w:r>
      <w:r w:rsidRPr="006436E9">
        <w:rPr>
          <w:lang w:val="en-GB"/>
        </w:rPr>
        <w:t>) and as a proxy indication of DV, for example</w:t>
      </w:r>
      <w:r w:rsidR="007D3950" w:rsidRPr="006436E9">
        <w:rPr>
          <w:lang w:val="en-GB"/>
        </w:rPr>
        <w:t>,</w:t>
      </w:r>
      <w:r w:rsidRPr="006436E9">
        <w:rPr>
          <w:lang w:val="en-GB"/>
        </w:rPr>
        <w:t xml:space="preserve"> if the incident took place at home.</w:t>
      </w:r>
    </w:p>
    <w:p w14:paraId="44737D94" w14:textId="3CB54E12" w:rsidR="000420B5" w:rsidRPr="006436E9" w:rsidRDefault="00413456" w:rsidP="00413456">
      <w:pPr>
        <w:pStyle w:val="MDPI23heading3"/>
        <w:spacing w:before="240"/>
        <w:rPr>
          <w:lang w:val="en-GB"/>
        </w:rPr>
      </w:pPr>
      <w:r w:rsidRPr="006436E9">
        <w:rPr>
          <w:lang w:val="en-GB"/>
        </w:rPr>
        <w:t xml:space="preserve">3.2.2. </w:t>
      </w:r>
      <w:r w:rsidR="000420B5" w:rsidRPr="006436E9">
        <w:rPr>
          <w:lang w:val="en-GB"/>
        </w:rPr>
        <w:t xml:space="preserve">Violence </w:t>
      </w:r>
      <w:r w:rsidR="00760A52" w:rsidRPr="006436E9">
        <w:rPr>
          <w:lang w:val="en-GB"/>
        </w:rPr>
        <w:t>Distribution</w:t>
      </w:r>
    </w:p>
    <w:p w14:paraId="70E60492" w14:textId="68AAB9CC" w:rsidR="000420B5" w:rsidRPr="006436E9" w:rsidRDefault="000420B5" w:rsidP="00413456">
      <w:pPr>
        <w:pStyle w:val="MDPI31text"/>
        <w:rPr>
          <w:lang w:val="en-GB"/>
        </w:rPr>
      </w:pPr>
      <w:r w:rsidRPr="006436E9">
        <w:rPr>
          <w:lang w:val="en-GB"/>
        </w:rPr>
        <w:t xml:space="preserve">A major limitation of HES A&amp;E data for violence research is that only a small proportion (e.g., less than 1% in 2015/16) of NHS Trusts used ICD codes. </w:t>
      </w:r>
      <w:bookmarkStart w:id="11" w:name="_Hlk141104403"/>
      <w:r w:rsidRPr="006436E9">
        <w:rPr>
          <w:lang w:val="en-GB"/>
        </w:rPr>
        <w:t>Therefore, the main way to examine the profile of people presenting with violence in HES A&amp;E data was by using the ‘Assault’ category.</w:t>
      </w:r>
      <w:bookmarkEnd w:id="11"/>
      <w:r w:rsidRPr="006436E9">
        <w:rPr>
          <w:lang w:val="en-GB"/>
        </w:rPr>
        <w:t xml:space="preserve"> However, as the ‘Assault’ category is mainly related to physical assaults, the conclusions based on the analysis cannot be generalised to other forms of violence. For example, between April 2015 and March 2016</w:t>
      </w:r>
      <w:r w:rsidR="0024060B" w:rsidRPr="006436E9">
        <w:rPr>
          <w:lang w:val="en-GB"/>
        </w:rPr>
        <w:t>,</w:t>
      </w:r>
      <w:r w:rsidRPr="006436E9">
        <w:rPr>
          <w:lang w:val="en-GB"/>
        </w:rPr>
        <w:t xml:space="preserve"> there were 133,395 cases recorded as ‘Assault’ in </w:t>
      </w:r>
      <w:r w:rsidR="0024060B" w:rsidRPr="006436E9">
        <w:rPr>
          <w:lang w:val="en-GB"/>
        </w:rPr>
        <w:t xml:space="preserve">the </w:t>
      </w:r>
      <w:r w:rsidRPr="006436E9">
        <w:rPr>
          <w:lang w:val="en-GB"/>
        </w:rPr>
        <w:t xml:space="preserve">HES A&amp;E. Among those, 28.8% (38,425) were female and 70.7% </w:t>
      </w:r>
      <w:r w:rsidRPr="006436E9">
        <w:rPr>
          <w:lang w:val="en-GB"/>
        </w:rPr>
        <w:lastRenderedPageBreak/>
        <w:t>(94,260) were male (Table 5). Overall, people presenting with experience</w:t>
      </w:r>
      <w:r w:rsidR="0024060B" w:rsidRPr="006436E9">
        <w:rPr>
          <w:lang w:val="en-GB"/>
        </w:rPr>
        <w:t>s</w:t>
      </w:r>
      <w:r w:rsidRPr="006436E9">
        <w:rPr>
          <w:lang w:val="en-GB"/>
        </w:rPr>
        <w:t xml:space="preserve"> of violence were most likely to be young adults aged 18</w:t>
      </w:r>
      <w:r w:rsidR="00760A52" w:rsidRPr="006436E9">
        <w:rPr>
          <w:lang w:val="en-GB"/>
        </w:rPr>
        <w:t>–</w:t>
      </w:r>
      <w:r w:rsidRPr="006436E9">
        <w:rPr>
          <w:lang w:val="en-GB"/>
        </w:rPr>
        <w:t>24. This was the case among men</w:t>
      </w:r>
      <w:r w:rsidR="0024060B" w:rsidRPr="006436E9">
        <w:rPr>
          <w:lang w:val="en-GB"/>
        </w:rPr>
        <w:t xml:space="preserve">; </w:t>
      </w:r>
      <w:r w:rsidRPr="006436E9">
        <w:rPr>
          <w:lang w:val="en-GB"/>
        </w:rPr>
        <w:t>29.6% (95% CI 29.4</w:t>
      </w:r>
      <w:r w:rsidR="00760A52" w:rsidRPr="006436E9">
        <w:rPr>
          <w:lang w:val="en-GB"/>
        </w:rPr>
        <w:t>–</w:t>
      </w:r>
      <w:r w:rsidRPr="006436E9">
        <w:rPr>
          <w:lang w:val="en-GB"/>
        </w:rPr>
        <w:t>29.9) of those presenting were 18</w:t>
      </w:r>
      <w:r w:rsidR="00760A52" w:rsidRPr="006436E9">
        <w:rPr>
          <w:lang w:val="en-GB"/>
        </w:rPr>
        <w:t>–</w:t>
      </w:r>
      <w:r w:rsidRPr="006436E9">
        <w:rPr>
          <w:lang w:val="en-GB"/>
        </w:rPr>
        <w:t>24. Among women presenting to A&amp;E with experience</w:t>
      </w:r>
      <w:r w:rsidR="0024060B" w:rsidRPr="006436E9">
        <w:rPr>
          <w:lang w:val="en-GB"/>
        </w:rPr>
        <w:t>s</w:t>
      </w:r>
      <w:r w:rsidRPr="006436E9">
        <w:rPr>
          <w:lang w:val="en-GB"/>
        </w:rPr>
        <w:t xml:space="preserve"> of violence, 25.6% (95% CI 25.4</w:t>
      </w:r>
      <w:r w:rsidR="00760A52" w:rsidRPr="006436E9">
        <w:rPr>
          <w:lang w:val="en-GB"/>
        </w:rPr>
        <w:t>–</w:t>
      </w:r>
      <w:r w:rsidRPr="006436E9">
        <w:rPr>
          <w:lang w:val="en-GB"/>
        </w:rPr>
        <w:t>25.8) were 18</w:t>
      </w:r>
      <w:r w:rsidR="00760A52" w:rsidRPr="006436E9">
        <w:rPr>
          <w:lang w:val="en-GB"/>
        </w:rPr>
        <w:t>–</w:t>
      </w:r>
      <w:r w:rsidRPr="006436E9">
        <w:rPr>
          <w:lang w:val="en-GB"/>
        </w:rPr>
        <w:t>24, and 26.1% (95% CI 25.9</w:t>
      </w:r>
      <w:r w:rsidR="00760A52" w:rsidRPr="006436E9">
        <w:rPr>
          <w:lang w:val="en-GB"/>
        </w:rPr>
        <w:t>–</w:t>
      </w:r>
      <w:r w:rsidRPr="006436E9">
        <w:rPr>
          <w:lang w:val="en-GB"/>
        </w:rPr>
        <w:t>26.3) were 25</w:t>
      </w:r>
      <w:r w:rsidR="00760A52" w:rsidRPr="006436E9">
        <w:rPr>
          <w:lang w:val="en-GB"/>
        </w:rPr>
        <w:t>–</w:t>
      </w:r>
      <w:r w:rsidRPr="006436E9">
        <w:rPr>
          <w:lang w:val="en-GB"/>
        </w:rPr>
        <w:t xml:space="preserve">34. There were also gender differences observed with regard to </w:t>
      </w:r>
      <w:r w:rsidR="0024060B" w:rsidRPr="006436E9">
        <w:rPr>
          <w:lang w:val="en-GB"/>
        </w:rPr>
        <w:t xml:space="preserve">the </w:t>
      </w:r>
      <w:r w:rsidRPr="006436E9">
        <w:rPr>
          <w:lang w:val="en-GB"/>
        </w:rPr>
        <w:t>location of the incident. For men, the most common location was ‘Public place’ (50.6%, 95% CI 50.2</w:t>
      </w:r>
      <w:r w:rsidR="00760A52" w:rsidRPr="006436E9">
        <w:rPr>
          <w:lang w:val="en-GB"/>
        </w:rPr>
        <w:t>–</w:t>
      </w:r>
      <w:r w:rsidRPr="006436E9">
        <w:rPr>
          <w:lang w:val="en-GB"/>
        </w:rPr>
        <w:t>50.9), while for women</w:t>
      </w:r>
      <w:r w:rsidR="0024060B" w:rsidRPr="006436E9">
        <w:rPr>
          <w:lang w:val="en-GB"/>
        </w:rPr>
        <w:t>,</w:t>
      </w:r>
      <w:r w:rsidRPr="006436E9">
        <w:rPr>
          <w:lang w:val="en-GB"/>
        </w:rPr>
        <w:t xml:space="preserve"> ‘Home’ (33.1%, 95% CI 32.6</w:t>
      </w:r>
      <w:r w:rsidR="00760A52" w:rsidRPr="006436E9">
        <w:rPr>
          <w:lang w:val="en-GB"/>
        </w:rPr>
        <w:t>–</w:t>
      </w:r>
      <w:r w:rsidRPr="006436E9">
        <w:rPr>
          <w:lang w:val="en-GB"/>
        </w:rPr>
        <w:t>33.6) was the most frequent location where the incident took place, indicating that women may be more likely to presen</w:t>
      </w:r>
      <w:r w:rsidR="0024060B" w:rsidRPr="006436E9">
        <w:rPr>
          <w:lang w:val="en-GB"/>
        </w:rPr>
        <w:t>t</w:t>
      </w:r>
      <w:r w:rsidRPr="006436E9">
        <w:rPr>
          <w:lang w:val="en-GB"/>
        </w:rPr>
        <w:t xml:space="preserve"> with experience</w:t>
      </w:r>
      <w:r w:rsidR="0024060B" w:rsidRPr="006436E9">
        <w:rPr>
          <w:lang w:val="en-GB"/>
        </w:rPr>
        <w:t>s</w:t>
      </w:r>
      <w:r w:rsidRPr="006436E9">
        <w:rPr>
          <w:lang w:val="en-GB"/>
        </w:rPr>
        <w:t xml:space="preserve"> of domestic violence. Additionally, the prevalence of assault varied by the level of deprivation. Those from the most deprived 10% of neighbourhoods accounted for the largest proportion of recorded assaults (20.9%, 95% CI 20.6</w:t>
      </w:r>
      <w:r w:rsidR="00760A52" w:rsidRPr="006436E9">
        <w:rPr>
          <w:lang w:val="en-GB"/>
        </w:rPr>
        <w:t>–</w:t>
      </w:r>
      <w:r w:rsidRPr="006436E9">
        <w:rPr>
          <w:lang w:val="en-GB"/>
        </w:rPr>
        <w:t>21.1 among men and 22.5%, 95% CI 22.0</w:t>
      </w:r>
      <w:r w:rsidR="00760A52" w:rsidRPr="006436E9">
        <w:rPr>
          <w:lang w:val="en-GB"/>
        </w:rPr>
        <w:t>–</w:t>
      </w:r>
      <w:r w:rsidRPr="006436E9">
        <w:rPr>
          <w:lang w:val="en-GB"/>
        </w:rPr>
        <w:t>22.9 among women), while those from the least deprived deciles accounted for a minority of assault cases (4.0%, 95% CI 3.9</w:t>
      </w:r>
      <w:r w:rsidR="00760A52" w:rsidRPr="006436E9">
        <w:rPr>
          <w:lang w:val="en-GB"/>
        </w:rPr>
        <w:t>–</w:t>
      </w:r>
      <w:r w:rsidRPr="006436E9">
        <w:rPr>
          <w:lang w:val="en-GB"/>
        </w:rPr>
        <w:t>4.1 in men and 3.4%, 95% CI 3.2</w:t>
      </w:r>
      <w:r w:rsidR="00760A52" w:rsidRPr="006436E9">
        <w:rPr>
          <w:lang w:val="en-GB"/>
        </w:rPr>
        <w:t>–</w:t>
      </w:r>
      <w:r w:rsidRPr="006436E9">
        <w:rPr>
          <w:lang w:val="en-GB"/>
        </w:rPr>
        <w:t>3.5 in women).</w:t>
      </w:r>
    </w:p>
    <w:p w14:paraId="0D1F2181" w14:textId="77777777" w:rsidR="00EF6C1C" w:rsidRPr="006436E9" w:rsidRDefault="00EF6C1C" w:rsidP="00413456">
      <w:pPr>
        <w:pStyle w:val="MDPI31text"/>
        <w:rPr>
          <w:lang w:val="en-GB"/>
        </w:rPr>
      </w:pPr>
    </w:p>
    <w:p w14:paraId="5D9D4EDB" w14:textId="77777777" w:rsidR="00EF6C1C" w:rsidRPr="006436E9" w:rsidRDefault="00EF6C1C" w:rsidP="00413456">
      <w:pPr>
        <w:pStyle w:val="MDPI31text"/>
        <w:rPr>
          <w:lang w:val="en-GB"/>
        </w:rPr>
        <w:sectPr w:rsidR="00EF6C1C" w:rsidRPr="006436E9" w:rsidSect="00B2247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7" w:right="720" w:bottom="1077" w:left="720" w:header="1020" w:footer="340" w:gutter="0"/>
          <w:pgNumType w:start="1"/>
          <w:cols w:space="425"/>
          <w:titlePg/>
          <w:bidi/>
          <w:docGrid w:type="lines" w:linePitch="326"/>
        </w:sectPr>
      </w:pPr>
    </w:p>
    <w:p w14:paraId="3D6910D0" w14:textId="6630B039" w:rsidR="00EF6C1C" w:rsidRDefault="00EF6C1C" w:rsidP="00EF6C1C">
      <w:pPr>
        <w:pStyle w:val="MDPI41tablecaption"/>
        <w:jc w:val="both"/>
        <w:rPr>
          <w:szCs w:val="20"/>
          <w:lang w:val="en-GB"/>
        </w:rPr>
      </w:pPr>
      <w:r w:rsidRPr="006436E9">
        <w:rPr>
          <w:b/>
          <w:lang w:val="en-GB"/>
        </w:rPr>
        <w:lastRenderedPageBreak/>
        <w:t xml:space="preserve">Table 5. </w:t>
      </w:r>
      <w:r w:rsidRPr="006436E9">
        <w:rPr>
          <w:lang w:val="en-GB"/>
        </w:rPr>
        <w:t xml:space="preserve">Age, gender, area-level deprivation and location of incident among patients with a record of assault in Hospital Episode Statistics (HES) </w:t>
      </w:r>
      <w:r w:rsidRPr="006436E9">
        <w:rPr>
          <w:szCs w:val="20"/>
          <w:lang w:val="en-GB"/>
        </w:rPr>
        <w:t xml:space="preserve">Accident </w:t>
      </w:r>
      <w:r w:rsidR="0024060B" w:rsidRPr="006436E9">
        <w:rPr>
          <w:szCs w:val="20"/>
          <w:lang w:val="en-GB"/>
        </w:rPr>
        <w:t xml:space="preserve">and </w:t>
      </w:r>
      <w:r w:rsidRPr="006436E9">
        <w:rPr>
          <w:szCs w:val="20"/>
          <w:lang w:val="en-GB"/>
        </w:rPr>
        <w:t>Emergency data 2015/2016.</w:t>
      </w:r>
    </w:p>
    <w:tbl>
      <w:tblPr>
        <w:tblW w:w="15309" w:type="dxa"/>
        <w:tblLook w:val="04A0" w:firstRow="1" w:lastRow="0" w:firstColumn="1" w:lastColumn="0" w:noHBand="0" w:noVBand="1"/>
      </w:tblPr>
      <w:tblGrid>
        <w:gridCol w:w="4469"/>
        <w:gridCol w:w="2661"/>
        <w:gridCol w:w="958"/>
        <w:gridCol w:w="608"/>
        <w:gridCol w:w="1072"/>
        <w:gridCol w:w="815"/>
        <w:gridCol w:w="608"/>
        <w:gridCol w:w="1072"/>
        <w:gridCol w:w="815"/>
        <w:gridCol w:w="1159"/>
        <w:gridCol w:w="1072"/>
      </w:tblGrid>
      <w:tr w:rsidR="00451533" w:rsidRPr="00451533" w14:paraId="5911AEF7" w14:textId="77777777" w:rsidTr="00906A7E">
        <w:trPr>
          <w:cantSplit/>
        </w:trPr>
        <w:tc>
          <w:tcPr>
            <w:tcW w:w="0" w:type="auto"/>
            <w:tcBorders>
              <w:top w:val="single" w:sz="8" w:space="0" w:color="7F7F7F"/>
              <w:left w:val="nil"/>
              <w:bottom w:val="single" w:sz="8" w:space="0" w:color="7F7F7F"/>
              <w:right w:val="nil"/>
            </w:tcBorders>
            <w:shd w:val="clear" w:color="auto" w:fill="auto"/>
            <w:vAlign w:val="center"/>
            <w:hideMark/>
          </w:tcPr>
          <w:p w14:paraId="5A89E64F" w14:textId="77777777" w:rsidR="00451533" w:rsidRPr="00451533" w:rsidRDefault="00451533" w:rsidP="00451533">
            <w:pPr>
              <w:spacing w:line="240" w:lineRule="auto"/>
              <w:jc w:val="left"/>
              <w:rPr>
                <w:rFonts w:eastAsia="Times New Roman" w:cs="Calibri"/>
                <w:b/>
                <w:noProof w:val="0"/>
                <w:sz w:val="18"/>
                <w:szCs w:val="18"/>
              </w:rPr>
            </w:pPr>
            <w:r w:rsidRPr="00451533">
              <w:rPr>
                <w:rFonts w:eastAsia="Times New Roman" w:cs="Calibri"/>
                <w:b/>
                <w:noProof w:val="0"/>
                <w:sz w:val="18"/>
                <w:szCs w:val="18"/>
                <w:lang w:val="en-GB"/>
              </w:rPr>
              <w:t>Variable</w:t>
            </w:r>
          </w:p>
        </w:tc>
        <w:tc>
          <w:tcPr>
            <w:tcW w:w="0" w:type="auto"/>
            <w:tcBorders>
              <w:top w:val="single" w:sz="8" w:space="0" w:color="7F7F7F"/>
              <w:left w:val="nil"/>
              <w:bottom w:val="single" w:sz="8" w:space="0" w:color="7F7F7F"/>
              <w:right w:val="nil"/>
            </w:tcBorders>
            <w:shd w:val="clear" w:color="auto" w:fill="auto"/>
            <w:vAlign w:val="center"/>
            <w:hideMark/>
          </w:tcPr>
          <w:p w14:paraId="775552C4" w14:textId="77777777" w:rsidR="00451533" w:rsidRPr="00451533" w:rsidRDefault="00451533" w:rsidP="00451533">
            <w:pPr>
              <w:spacing w:line="240" w:lineRule="auto"/>
              <w:jc w:val="left"/>
              <w:rPr>
                <w:rFonts w:eastAsia="Times New Roman" w:cs="Calibri"/>
                <w:b/>
                <w:noProof w:val="0"/>
                <w:sz w:val="18"/>
                <w:szCs w:val="18"/>
              </w:rPr>
            </w:pPr>
            <w:r w:rsidRPr="00451533">
              <w:rPr>
                <w:rFonts w:eastAsia="Times New Roman" w:cs="Calibri"/>
                <w:b/>
                <w:noProof w:val="0"/>
                <w:sz w:val="18"/>
                <w:szCs w:val="18"/>
                <w:lang w:val="en-GB"/>
              </w:rPr>
              <w:t>Categories</w:t>
            </w:r>
          </w:p>
        </w:tc>
        <w:tc>
          <w:tcPr>
            <w:tcW w:w="0" w:type="auto"/>
            <w:tcBorders>
              <w:top w:val="single" w:sz="8" w:space="0" w:color="7F7F7F"/>
              <w:left w:val="nil"/>
              <w:bottom w:val="single" w:sz="8" w:space="0" w:color="7F7F7F"/>
              <w:right w:val="nil"/>
            </w:tcBorders>
            <w:shd w:val="clear" w:color="auto" w:fill="auto"/>
            <w:vAlign w:val="center"/>
            <w:hideMark/>
          </w:tcPr>
          <w:p w14:paraId="1F5522E4" w14:textId="77777777" w:rsidR="00451533" w:rsidRPr="00451533" w:rsidRDefault="00451533" w:rsidP="00451533">
            <w:pPr>
              <w:spacing w:line="240" w:lineRule="auto"/>
              <w:jc w:val="left"/>
              <w:rPr>
                <w:rFonts w:eastAsia="Times New Roman" w:cs="Calibri"/>
                <w:b/>
                <w:noProof w:val="0"/>
                <w:sz w:val="18"/>
                <w:szCs w:val="18"/>
              </w:rPr>
            </w:pPr>
            <w:r w:rsidRPr="00451533">
              <w:rPr>
                <w:rFonts w:eastAsia="Times New Roman" w:cs="Calibri"/>
                <w:b/>
                <w:noProof w:val="0"/>
                <w:sz w:val="18"/>
                <w:szCs w:val="18"/>
                <w:lang w:val="en-GB"/>
              </w:rPr>
              <w:t>Overall</w:t>
            </w:r>
          </w:p>
        </w:tc>
        <w:tc>
          <w:tcPr>
            <w:tcW w:w="0" w:type="auto"/>
            <w:tcBorders>
              <w:top w:val="single" w:sz="8" w:space="0" w:color="7F7F7F"/>
              <w:left w:val="nil"/>
              <w:bottom w:val="single" w:sz="8" w:space="0" w:color="7F7F7F"/>
              <w:right w:val="nil"/>
            </w:tcBorders>
            <w:shd w:val="clear" w:color="auto" w:fill="auto"/>
            <w:vAlign w:val="center"/>
            <w:hideMark/>
          </w:tcPr>
          <w:p w14:paraId="202837B5" w14:textId="77777777" w:rsidR="00451533" w:rsidRPr="00451533" w:rsidRDefault="00451533" w:rsidP="00451533">
            <w:pPr>
              <w:spacing w:line="240" w:lineRule="auto"/>
              <w:jc w:val="left"/>
              <w:rPr>
                <w:rFonts w:eastAsia="Times New Roman" w:cs="Calibri"/>
                <w:b/>
                <w:noProof w:val="0"/>
                <w:sz w:val="18"/>
                <w:szCs w:val="18"/>
              </w:rPr>
            </w:pPr>
            <w:r w:rsidRPr="00451533">
              <w:rPr>
                <w:rFonts w:eastAsia="Times New Roman" w:cs="Calibri"/>
                <w:b/>
                <w:noProof w:val="0"/>
                <w:sz w:val="18"/>
                <w:szCs w:val="18"/>
                <w:lang w:val="en-GB"/>
              </w:rPr>
              <w:t> </w:t>
            </w:r>
          </w:p>
        </w:tc>
        <w:tc>
          <w:tcPr>
            <w:tcW w:w="0" w:type="auto"/>
            <w:tcBorders>
              <w:top w:val="single" w:sz="8" w:space="0" w:color="7F7F7F"/>
              <w:left w:val="nil"/>
              <w:bottom w:val="single" w:sz="8" w:space="0" w:color="7F7F7F"/>
              <w:right w:val="nil"/>
            </w:tcBorders>
            <w:shd w:val="clear" w:color="auto" w:fill="auto"/>
            <w:vAlign w:val="center"/>
            <w:hideMark/>
          </w:tcPr>
          <w:p w14:paraId="41EDDB0B" w14:textId="77777777" w:rsidR="00451533" w:rsidRPr="00451533" w:rsidRDefault="00451533" w:rsidP="00451533">
            <w:pPr>
              <w:spacing w:line="240" w:lineRule="auto"/>
              <w:jc w:val="left"/>
              <w:rPr>
                <w:rFonts w:eastAsia="Times New Roman" w:cs="Calibri"/>
                <w:b/>
                <w:noProof w:val="0"/>
                <w:sz w:val="18"/>
                <w:szCs w:val="18"/>
              </w:rPr>
            </w:pPr>
            <w:r w:rsidRPr="00451533">
              <w:rPr>
                <w:rFonts w:eastAsia="Times New Roman" w:cs="Calibri"/>
                <w:b/>
                <w:noProof w:val="0"/>
                <w:sz w:val="18"/>
                <w:szCs w:val="18"/>
                <w:lang w:val="en-GB"/>
              </w:rPr>
              <w:t> </w:t>
            </w:r>
          </w:p>
        </w:tc>
        <w:tc>
          <w:tcPr>
            <w:tcW w:w="0" w:type="auto"/>
            <w:tcBorders>
              <w:top w:val="single" w:sz="8" w:space="0" w:color="7F7F7F"/>
              <w:left w:val="nil"/>
              <w:bottom w:val="single" w:sz="8" w:space="0" w:color="7F7F7F"/>
              <w:right w:val="nil"/>
            </w:tcBorders>
            <w:shd w:val="clear" w:color="auto" w:fill="auto"/>
            <w:vAlign w:val="center"/>
            <w:hideMark/>
          </w:tcPr>
          <w:p w14:paraId="5CF908FD" w14:textId="77777777" w:rsidR="00451533" w:rsidRPr="00451533" w:rsidRDefault="00451533" w:rsidP="00451533">
            <w:pPr>
              <w:spacing w:line="240" w:lineRule="auto"/>
              <w:jc w:val="left"/>
              <w:rPr>
                <w:rFonts w:eastAsia="Times New Roman" w:cs="Calibri"/>
                <w:b/>
                <w:noProof w:val="0"/>
                <w:sz w:val="18"/>
                <w:szCs w:val="18"/>
              </w:rPr>
            </w:pPr>
            <w:r w:rsidRPr="00451533">
              <w:rPr>
                <w:rFonts w:eastAsia="Times New Roman" w:cs="Calibri"/>
                <w:b/>
                <w:noProof w:val="0"/>
                <w:sz w:val="18"/>
                <w:szCs w:val="18"/>
                <w:lang w:val="en-GB"/>
              </w:rPr>
              <w:t>Male</w:t>
            </w:r>
          </w:p>
        </w:tc>
        <w:tc>
          <w:tcPr>
            <w:tcW w:w="0" w:type="auto"/>
            <w:tcBorders>
              <w:top w:val="single" w:sz="8" w:space="0" w:color="7F7F7F"/>
              <w:left w:val="nil"/>
              <w:bottom w:val="single" w:sz="8" w:space="0" w:color="7F7F7F"/>
              <w:right w:val="nil"/>
            </w:tcBorders>
            <w:shd w:val="clear" w:color="auto" w:fill="auto"/>
            <w:vAlign w:val="center"/>
            <w:hideMark/>
          </w:tcPr>
          <w:p w14:paraId="58DAC380" w14:textId="77777777" w:rsidR="00451533" w:rsidRPr="00451533" w:rsidRDefault="00451533" w:rsidP="00451533">
            <w:pPr>
              <w:spacing w:line="240" w:lineRule="auto"/>
              <w:jc w:val="left"/>
              <w:rPr>
                <w:rFonts w:eastAsia="Times New Roman" w:cs="Calibri"/>
                <w:b/>
                <w:noProof w:val="0"/>
                <w:sz w:val="18"/>
                <w:szCs w:val="18"/>
              </w:rPr>
            </w:pPr>
            <w:r w:rsidRPr="00451533">
              <w:rPr>
                <w:rFonts w:eastAsia="Times New Roman" w:cs="Calibri"/>
                <w:b/>
                <w:noProof w:val="0"/>
                <w:sz w:val="18"/>
                <w:szCs w:val="18"/>
                <w:lang w:val="en-GB"/>
              </w:rPr>
              <w:t> </w:t>
            </w:r>
          </w:p>
        </w:tc>
        <w:tc>
          <w:tcPr>
            <w:tcW w:w="0" w:type="auto"/>
            <w:tcBorders>
              <w:top w:val="single" w:sz="8" w:space="0" w:color="7F7F7F"/>
              <w:left w:val="nil"/>
              <w:bottom w:val="single" w:sz="8" w:space="0" w:color="7F7F7F"/>
              <w:right w:val="nil"/>
            </w:tcBorders>
            <w:shd w:val="clear" w:color="auto" w:fill="auto"/>
            <w:vAlign w:val="center"/>
            <w:hideMark/>
          </w:tcPr>
          <w:p w14:paraId="5B8AED6D" w14:textId="77777777" w:rsidR="00451533" w:rsidRPr="00451533" w:rsidRDefault="00451533" w:rsidP="00451533">
            <w:pPr>
              <w:spacing w:line="240" w:lineRule="auto"/>
              <w:jc w:val="left"/>
              <w:rPr>
                <w:rFonts w:eastAsia="Times New Roman" w:cs="Calibri"/>
                <w:b/>
                <w:noProof w:val="0"/>
                <w:sz w:val="18"/>
                <w:szCs w:val="18"/>
              </w:rPr>
            </w:pPr>
            <w:r w:rsidRPr="00451533">
              <w:rPr>
                <w:rFonts w:eastAsia="Times New Roman" w:cs="Calibri"/>
                <w:b/>
                <w:noProof w:val="0"/>
                <w:sz w:val="18"/>
                <w:szCs w:val="18"/>
                <w:lang w:val="en-GB"/>
              </w:rPr>
              <w:t> </w:t>
            </w:r>
          </w:p>
        </w:tc>
        <w:tc>
          <w:tcPr>
            <w:tcW w:w="0" w:type="auto"/>
            <w:tcBorders>
              <w:top w:val="single" w:sz="8" w:space="0" w:color="7F7F7F"/>
              <w:left w:val="nil"/>
              <w:bottom w:val="single" w:sz="8" w:space="0" w:color="7F7F7F"/>
              <w:right w:val="nil"/>
            </w:tcBorders>
            <w:shd w:val="clear" w:color="auto" w:fill="auto"/>
            <w:vAlign w:val="center"/>
            <w:hideMark/>
          </w:tcPr>
          <w:p w14:paraId="7BC345F6" w14:textId="77777777" w:rsidR="00451533" w:rsidRPr="00451533" w:rsidRDefault="00451533" w:rsidP="00451533">
            <w:pPr>
              <w:spacing w:line="240" w:lineRule="auto"/>
              <w:jc w:val="left"/>
              <w:rPr>
                <w:rFonts w:eastAsia="Times New Roman" w:cs="Calibri"/>
                <w:b/>
                <w:noProof w:val="0"/>
                <w:sz w:val="18"/>
                <w:szCs w:val="18"/>
              </w:rPr>
            </w:pPr>
            <w:r w:rsidRPr="00451533">
              <w:rPr>
                <w:rFonts w:eastAsia="Times New Roman" w:cs="Calibri"/>
                <w:b/>
                <w:noProof w:val="0"/>
                <w:sz w:val="18"/>
                <w:szCs w:val="18"/>
                <w:lang w:val="en-GB"/>
              </w:rPr>
              <w:t> </w:t>
            </w:r>
          </w:p>
        </w:tc>
        <w:tc>
          <w:tcPr>
            <w:tcW w:w="0" w:type="auto"/>
            <w:tcBorders>
              <w:top w:val="single" w:sz="8" w:space="0" w:color="7F7F7F"/>
              <w:left w:val="nil"/>
              <w:bottom w:val="single" w:sz="8" w:space="0" w:color="7F7F7F"/>
              <w:right w:val="nil"/>
            </w:tcBorders>
            <w:shd w:val="clear" w:color="auto" w:fill="auto"/>
            <w:vAlign w:val="center"/>
            <w:hideMark/>
          </w:tcPr>
          <w:p w14:paraId="0D5FE6A1" w14:textId="24D1CE94" w:rsidR="00451533" w:rsidRPr="00451533" w:rsidRDefault="00451533" w:rsidP="00451533">
            <w:pPr>
              <w:spacing w:line="240" w:lineRule="auto"/>
              <w:jc w:val="left"/>
              <w:rPr>
                <w:rFonts w:eastAsia="Times New Roman" w:cs="Calibri"/>
                <w:b/>
                <w:noProof w:val="0"/>
                <w:sz w:val="18"/>
                <w:szCs w:val="18"/>
              </w:rPr>
            </w:pPr>
            <w:r w:rsidRPr="00451533">
              <w:rPr>
                <w:rFonts w:eastAsia="Times New Roman" w:cs="Calibri"/>
                <w:b/>
                <w:noProof w:val="0"/>
                <w:sz w:val="18"/>
                <w:szCs w:val="18"/>
                <w:lang w:val="en-GB"/>
              </w:rPr>
              <w:t>Female</w:t>
            </w:r>
            <w:r>
              <w:rPr>
                <w:rFonts w:eastAsia="Times New Roman" w:cs="Calibri"/>
                <w:b/>
                <w:noProof w:val="0"/>
                <w:sz w:val="18"/>
                <w:szCs w:val="18"/>
                <w:lang w:val="en-GB"/>
              </w:rPr>
              <w:t xml:space="preserve"> </w:t>
            </w:r>
            <w:r w:rsidRPr="00451533">
              <w:rPr>
                <w:rFonts w:eastAsia="Times New Roman" w:cs="Calibri"/>
                <w:b/>
                <w:noProof w:val="0"/>
                <w:sz w:val="18"/>
                <w:szCs w:val="18"/>
                <w:lang w:val="en-GB"/>
              </w:rPr>
              <w:t>**</w:t>
            </w:r>
          </w:p>
        </w:tc>
        <w:tc>
          <w:tcPr>
            <w:tcW w:w="0" w:type="auto"/>
            <w:tcBorders>
              <w:top w:val="single" w:sz="8" w:space="0" w:color="7F7F7F"/>
              <w:left w:val="nil"/>
              <w:bottom w:val="single" w:sz="8" w:space="0" w:color="7F7F7F"/>
              <w:right w:val="nil"/>
            </w:tcBorders>
            <w:shd w:val="clear" w:color="auto" w:fill="auto"/>
            <w:vAlign w:val="center"/>
            <w:hideMark/>
          </w:tcPr>
          <w:p w14:paraId="331F767F" w14:textId="77777777" w:rsidR="00451533" w:rsidRPr="00451533" w:rsidRDefault="00451533" w:rsidP="00451533">
            <w:pPr>
              <w:spacing w:line="240" w:lineRule="auto"/>
              <w:jc w:val="left"/>
              <w:rPr>
                <w:rFonts w:eastAsia="Times New Roman" w:cs="Calibri"/>
                <w:b/>
                <w:noProof w:val="0"/>
                <w:sz w:val="18"/>
                <w:szCs w:val="18"/>
              </w:rPr>
            </w:pPr>
            <w:r w:rsidRPr="00451533">
              <w:rPr>
                <w:rFonts w:eastAsia="Times New Roman" w:cs="Calibri"/>
                <w:b/>
                <w:noProof w:val="0"/>
                <w:sz w:val="18"/>
                <w:szCs w:val="18"/>
                <w:lang w:val="en-GB"/>
              </w:rPr>
              <w:t> </w:t>
            </w:r>
          </w:p>
        </w:tc>
      </w:tr>
      <w:tr w:rsidR="00451533" w:rsidRPr="00451533" w14:paraId="6183938E" w14:textId="77777777" w:rsidTr="00906A7E">
        <w:trPr>
          <w:cantSplit/>
        </w:trPr>
        <w:tc>
          <w:tcPr>
            <w:tcW w:w="0" w:type="auto"/>
            <w:tcBorders>
              <w:top w:val="nil"/>
              <w:left w:val="nil"/>
              <w:bottom w:val="single" w:sz="8" w:space="0" w:color="7F7F7F"/>
              <w:right w:val="nil"/>
            </w:tcBorders>
            <w:shd w:val="clear" w:color="auto" w:fill="auto"/>
            <w:vAlign w:val="center"/>
            <w:hideMark/>
          </w:tcPr>
          <w:p w14:paraId="167228DA" w14:textId="77777777" w:rsidR="00451533" w:rsidRPr="00451533" w:rsidRDefault="00451533" w:rsidP="00451533">
            <w:pPr>
              <w:spacing w:line="240" w:lineRule="auto"/>
              <w:jc w:val="left"/>
              <w:rPr>
                <w:rFonts w:eastAsia="Times New Roman" w:cs="Calibri"/>
                <w:noProof w:val="0"/>
                <w:sz w:val="18"/>
                <w:szCs w:val="18"/>
              </w:rPr>
            </w:pPr>
            <w:r w:rsidRPr="00451533">
              <w:rPr>
                <w:rFonts w:eastAsia="Times New Roman" w:cs="Calibri"/>
                <w:noProof w:val="0"/>
                <w:sz w:val="18"/>
                <w:szCs w:val="18"/>
                <w:lang w:val="en-GB"/>
              </w:rPr>
              <w:t> </w:t>
            </w:r>
          </w:p>
        </w:tc>
        <w:tc>
          <w:tcPr>
            <w:tcW w:w="0" w:type="auto"/>
            <w:tcBorders>
              <w:top w:val="nil"/>
              <w:left w:val="nil"/>
              <w:bottom w:val="single" w:sz="8" w:space="0" w:color="7F7F7F"/>
              <w:right w:val="nil"/>
            </w:tcBorders>
            <w:shd w:val="clear" w:color="auto" w:fill="auto"/>
            <w:vAlign w:val="center"/>
            <w:hideMark/>
          </w:tcPr>
          <w:p w14:paraId="3495F4FC" w14:textId="77777777" w:rsidR="00451533" w:rsidRPr="00451533" w:rsidRDefault="00451533" w:rsidP="00451533">
            <w:pPr>
              <w:spacing w:line="240" w:lineRule="auto"/>
              <w:jc w:val="left"/>
              <w:rPr>
                <w:rFonts w:eastAsia="Times New Roman" w:cs="Calibri"/>
                <w:b/>
                <w:bCs/>
                <w:noProof w:val="0"/>
                <w:sz w:val="18"/>
                <w:szCs w:val="18"/>
              </w:rPr>
            </w:pPr>
            <w:r w:rsidRPr="00451533">
              <w:rPr>
                <w:rFonts w:eastAsia="Times New Roman" w:cs="Calibri"/>
                <w:b/>
                <w:bCs/>
                <w:noProof w:val="0"/>
                <w:sz w:val="18"/>
                <w:szCs w:val="18"/>
                <w:lang w:val="en-GB"/>
              </w:rPr>
              <w:t> </w:t>
            </w:r>
          </w:p>
        </w:tc>
        <w:tc>
          <w:tcPr>
            <w:tcW w:w="0" w:type="auto"/>
            <w:tcBorders>
              <w:top w:val="nil"/>
              <w:left w:val="nil"/>
              <w:bottom w:val="single" w:sz="8" w:space="0" w:color="7F7F7F"/>
              <w:right w:val="nil"/>
            </w:tcBorders>
            <w:shd w:val="clear" w:color="auto" w:fill="auto"/>
            <w:vAlign w:val="center"/>
            <w:hideMark/>
          </w:tcPr>
          <w:p w14:paraId="77E42D74" w14:textId="1FEECF85" w:rsidR="00451533" w:rsidRPr="00451533" w:rsidRDefault="00451533" w:rsidP="00451533">
            <w:pPr>
              <w:spacing w:line="240" w:lineRule="auto"/>
              <w:jc w:val="left"/>
              <w:rPr>
                <w:rFonts w:eastAsia="Times New Roman" w:cs="Calibri"/>
                <w:b/>
                <w:bCs/>
                <w:i/>
                <w:iCs/>
                <w:noProof w:val="0"/>
                <w:sz w:val="18"/>
                <w:szCs w:val="18"/>
              </w:rPr>
            </w:pPr>
            <w:r w:rsidRPr="00451533">
              <w:rPr>
                <w:rFonts w:eastAsia="Times New Roman" w:cs="Calibri"/>
                <w:b/>
                <w:bCs/>
                <w:i/>
                <w:iCs/>
                <w:noProof w:val="0"/>
                <w:sz w:val="18"/>
                <w:szCs w:val="18"/>
                <w:lang w:val="en-GB"/>
              </w:rPr>
              <w:t>N</w:t>
            </w:r>
            <w:r>
              <w:rPr>
                <w:rFonts w:eastAsia="Times New Roman" w:cs="Calibri"/>
                <w:b/>
                <w:bCs/>
                <w:i/>
                <w:iCs/>
                <w:noProof w:val="0"/>
                <w:sz w:val="18"/>
                <w:szCs w:val="18"/>
                <w:lang w:val="en-GB"/>
              </w:rPr>
              <w:t xml:space="preserve"> </w:t>
            </w:r>
            <w:r w:rsidRPr="00451533">
              <w:rPr>
                <w:rFonts w:eastAsia="Times New Roman" w:cs="Calibri"/>
                <w:b/>
                <w:bCs/>
                <w:noProof w:val="0"/>
                <w:sz w:val="18"/>
                <w:szCs w:val="18"/>
                <w:lang w:val="en-GB"/>
              </w:rPr>
              <w:t>*</w:t>
            </w:r>
          </w:p>
        </w:tc>
        <w:tc>
          <w:tcPr>
            <w:tcW w:w="0" w:type="auto"/>
            <w:tcBorders>
              <w:top w:val="nil"/>
              <w:left w:val="nil"/>
              <w:bottom w:val="single" w:sz="8" w:space="0" w:color="7F7F7F"/>
              <w:right w:val="nil"/>
            </w:tcBorders>
            <w:shd w:val="clear" w:color="auto" w:fill="auto"/>
            <w:vAlign w:val="center"/>
            <w:hideMark/>
          </w:tcPr>
          <w:p w14:paraId="07B0A70B" w14:textId="77777777" w:rsidR="00451533" w:rsidRPr="00451533" w:rsidRDefault="00451533" w:rsidP="00451533">
            <w:pPr>
              <w:spacing w:line="240" w:lineRule="auto"/>
              <w:jc w:val="left"/>
              <w:rPr>
                <w:rFonts w:eastAsia="Times New Roman" w:cs="Calibri"/>
                <w:b/>
                <w:bCs/>
                <w:noProof w:val="0"/>
                <w:sz w:val="18"/>
                <w:szCs w:val="18"/>
              </w:rPr>
            </w:pPr>
            <w:r w:rsidRPr="00451533">
              <w:rPr>
                <w:rFonts w:eastAsia="Times New Roman" w:cs="Calibri"/>
                <w:b/>
                <w:bCs/>
                <w:noProof w:val="0"/>
                <w:sz w:val="18"/>
                <w:szCs w:val="18"/>
                <w:lang w:val="en-GB"/>
              </w:rPr>
              <w:t>%</w:t>
            </w:r>
          </w:p>
        </w:tc>
        <w:tc>
          <w:tcPr>
            <w:tcW w:w="0" w:type="auto"/>
            <w:tcBorders>
              <w:top w:val="nil"/>
              <w:left w:val="nil"/>
              <w:bottom w:val="single" w:sz="8" w:space="0" w:color="7F7F7F"/>
              <w:right w:val="nil"/>
            </w:tcBorders>
            <w:shd w:val="clear" w:color="auto" w:fill="auto"/>
            <w:vAlign w:val="center"/>
            <w:hideMark/>
          </w:tcPr>
          <w:p w14:paraId="1F04F3B1" w14:textId="77777777" w:rsidR="00451533" w:rsidRPr="00451533" w:rsidRDefault="00451533" w:rsidP="00451533">
            <w:pPr>
              <w:spacing w:line="240" w:lineRule="auto"/>
              <w:jc w:val="left"/>
              <w:rPr>
                <w:rFonts w:eastAsia="Times New Roman" w:cs="Calibri"/>
                <w:b/>
                <w:bCs/>
                <w:noProof w:val="0"/>
                <w:sz w:val="18"/>
                <w:szCs w:val="18"/>
              </w:rPr>
            </w:pPr>
            <w:r w:rsidRPr="00451533">
              <w:rPr>
                <w:rFonts w:eastAsia="Times New Roman" w:cs="Calibri"/>
                <w:b/>
                <w:bCs/>
                <w:noProof w:val="0"/>
                <w:sz w:val="18"/>
                <w:szCs w:val="18"/>
                <w:lang w:val="en-GB"/>
              </w:rPr>
              <w:t>CI 95%</w:t>
            </w:r>
          </w:p>
        </w:tc>
        <w:tc>
          <w:tcPr>
            <w:tcW w:w="0" w:type="auto"/>
            <w:tcBorders>
              <w:top w:val="nil"/>
              <w:left w:val="nil"/>
              <w:bottom w:val="single" w:sz="8" w:space="0" w:color="7F7F7F"/>
              <w:right w:val="nil"/>
            </w:tcBorders>
            <w:shd w:val="clear" w:color="auto" w:fill="auto"/>
            <w:vAlign w:val="center"/>
            <w:hideMark/>
          </w:tcPr>
          <w:p w14:paraId="1C05849A" w14:textId="4891B151" w:rsidR="00451533" w:rsidRPr="00451533" w:rsidRDefault="00451533" w:rsidP="00451533">
            <w:pPr>
              <w:spacing w:line="240" w:lineRule="auto"/>
              <w:jc w:val="left"/>
              <w:rPr>
                <w:rFonts w:eastAsia="Times New Roman" w:cs="Calibri"/>
                <w:b/>
                <w:bCs/>
                <w:i/>
                <w:iCs/>
                <w:noProof w:val="0"/>
                <w:sz w:val="18"/>
                <w:szCs w:val="18"/>
              </w:rPr>
            </w:pPr>
            <w:r w:rsidRPr="00451533">
              <w:rPr>
                <w:rFonts w:eastAsia="Times New Roman" w:cs="Calibri"/>
                <w:b/>
                <w:bCs/>
                <w:i/>
                <w:iCs/>
                <w:noProof w:val="0"/>
                <w:sz w:val="18"/>
                <w:szCs w:val="18"/>
                <w:lang w:val="en-GB"/>
              </w:rPr>
              <w:t>n</w:t>
            </w:r>
            <w:r w:rsidR="00DB55B2">
              <w:rPr>
                <w:rFonts w:eastAsia="Times New Roman" w:cs="Calibri"/>
                <w:b/>
                <w:bCs/>
                <w:i/>
                <w:iCs/>
                <w:noProof w:val="0"/>
                <w:sz w:val="18"/>
                <w:szCs w:val="18"/>
                <w:lang w:val="en-GB"/>
              </w:rPr>
              <w:t xml:space="preserve"> </w:t>
            </w:r>
            <w:r w:rsidRPr="00451533">
              <w:rPr>
                <w:rFonts w:eastAsia="Times New Roman" w:cs="Calibri"/>
                <w:b/>
                <w:bCs/>
                <w:noProof w:val="0"/>
                <w:sz w:val="18"/>
                <w:szCs w:val="18"/>
                <w:lang w:val="en-GB"/>
              </w:rPr>
              <w:t>*</w:t>
            </w:r>
          </w:p>
        </w:tc>
        <w:tc>
          <w:tcPr>
            <w:tcW w:w="0" w:type="auto"/>
            <w:tcBorders>
              <w:top w:val="nil"/>
              <w:left w:val="nil"/>
              <w:bottom w:val="single" w:sz="8" w:space="0" w:color="7F7F7F"/>
              <w:right w:val="nil"/>
            </w:tcBorders>
            <w:shd w:val="clear" w:color="auto" w:fill="auto"/>
            <w:vAlign w:val="center"/>
            <w:hideMark/>
          </w:tcPr>
          <w:p w14:paraId="1ABCBD5F" w14:textId="77777777" w:rsidR="00451533" w:rsidRPr="00451533" w:rsidRDefault="00451533" w:rsidP="00451533">
            <w:pPr>
              <w:spacing w:line="240" w:lineRule="auto"/>
              <w:jc w:val="left"/>
              <w:rPr>
                <w:rFonts w:eastAsia="Times New Roman" w:cs="Calibri"/>
                <w:b/>
                <w:bCs/>
                <w:noProof w:val="0"/>
                <w:sz w:val="18"/>
                <w:szCs w:val="18"/>
              </w:rPr>
            </w:pPr>
            <w:r w:rsidRPr="00451533">
              <w:rPr>
                <w:rFonts w:eastAsia="Times New Roman" w:cs="Calibri"/>
                <w:b/>
                <w:bCs/>
                <w:noProof w:val="0"/>
                <w:sz w:val="18"/>
                <w:szCs w:val="18"/>
                <w:lang w:val="en-GB"/>
              </w:rPr>
              <w:t>%</w:t>
            </w:r>
          </w:p>
        </w:tc>
        <w:tc>
          <w:tcPr>
            <w:tcW w:w="0" w:type="auto"/>
            <w:tcBorders>
              <w:top w:val="nil"/>
              <w:left w:val="nil"/>
              <w:bottom w:val="single" w:sz="8" w:space="0" w:color="7F7F7F"/>
              <w:right w:val="nil"/>
            </w:tcBorders>
            <w:shd w:val="clear" w:color="auto" w:fill="auto"/>
            <w:vAlign w:val="center"/>
            <w:hideMark/>
          </w:tcPr>
          <w:p w14:paraId="55B9AC8B" w14:textId="77777777" w:rsidR="00451533" w:rsidRPr="00451533" w:rsidRDefault="00451533" w:rsidP="00451533">
            <w:pPr>
              <w:spacing w:line="240" w:lineRule="auto"/>
              <w:jc w:val="left"/>
              <w:rPr>
                <w:rFonts w:eastAsia="Times New Roman" w:cs="Calibri"/>
                <w:b/>
                <w:bCs/>
                <w:noProof w:val="0"/>
                <w:sz w:val="18"/>
                <w:szCs w:val="18"/>
              </w:rPr>
            </w:pPr>
            <w:r w:rsidRPr="00451533">
              <w:rPr>
                <w:rFonts w:eastAsia="Times New Roman" w:cs="Calibri"/>
                <w:b/>
                <w:bCs/>
                <w:noProof w:val="0"/>
                <w:sz w:val="18"/>
                <w:szCs w:val="18"/>
                <w:lang w:val="en-GB"/>
              </w:rPr>
              <w:t>CI 95%</w:t>
            </w:r>
          </w:p>
        </w:tc>
        <w:tc>
          <w:tcPr>
            <w:tcW w:w="0" w:type="auto"/>
            <w:tcBorders>
              <w:top w:val="nil"/>
              <w:left w:val="nil"/>
              <w:bottom w:val="single" w:sz="8" w:space="0" w:color="7F7F7F"/>
              <w:right w:val="nil"/>
            </w:tcBorders>
            <w:shd w:val="clear" w:color="auto" w:fill="auto"/>
            <w:vAlign w:val="center"/>
            <w:hideMark/>
          </w:tcPr>
          <w:p w14:paraId="4F1D31D4" w14:textId="336E03EC" w:rsidR="00451533" w:rsidRPr="00451533" w:rsidRDefault="00451533" w:rsidP="00451533">
            <w:pPr>
              <w:spacing w:line="240" w:lineRule="auto"/>
              <w:jc w:val="left"/>
              <w:rPr>
                <w:rFonts w:eastAsia="Times New Roman" w:cs="Calibri"/>
                <w:b/>
                <w:bCs/>
                <w:i/>
                <w:iCs/>
                <w:noProof w:val="0"/>
                <w:sz w:val="18"/>
                <w:szCs w:val="18"/>
              </w:rPr>
            </w:pPr>
            <w:r w:rsidRPr="00451533">
              <w:rPr>
                <w:rFonts w:eastAsia="Times New Roman" w:cs="Calibri"/>
                <w:b/>
                <w:bCs/>
                <w:i/>
                <w:iCs/>
                <w:noProof w:val="0"/>
                <w:sz w:val="18"/>
                <w:szCs w:val="18"/>
                <w:lang w:val="en-GB"/>
              </w:rPr>
              <w:t>n</w:t>
            </w:r>
            <w:r w:rsidR="00DB55B2">
              <w:rPr>
                <w:rFonts w:eastAsia="Times New Roman" w:cs="Calibri"/>
                <w:b/>
                <w:bCs/>
                <w:i/>
                <w:iCs/>
                <w:noProof w:val="0"/>
                <w:sz w:val="18"/>
                <w:szCs w:val="18"/>
                <w:lang w:val="en-GB"/>
              </w:rPr>
              <w:t xml:space="preserve"> </w:t>
            </w:r>
            <w:r w:rsidRPr="00451533">
              <w:rPr>
                <w:rFonts w:eastAsia="Times New Roman" w:cs="Calibri"/>
                <w:b/>
                <w:bCs/>
                <w:noProof w:val="0"/>
                <w:sz w:val="18"/>
                <w:szCs w:val="18"/>
                <w:lang w:val="en-GB"/>
              </w:rPr>
              <w:t>*</w:t>
            </w:r>
          </w:p>
        </w:tc>
        <w:tc>
          <w:tcPr>
            <w:tcW w:w="0" w:type="auto"/>
            <w:tcBorders>
              <w:top w:val="nil"/>
              <w:left w:val="nil"/>
              <w:bottom w:val="single" w:sz="8" w:space="0" w:color="7F7F7F"/>
              <w:right w:val="nil"/>
            </w:tcBorders>
            <w:shd w:val="clear" w:color="auto" w:fill="auto"/>
            <w:vAlign w:val="center"/>
            <w:hideMark/>
          </w:tcPr>
          <w:p w14:paraId="2E0D69FC" w14:textId="77777777" w:rsidR="00451533" w:rsidRPr="00451533" w:rsidRDefault="00451533" w:rsidP="00451533">
            <w:pPr>
              <w:spacing w:line="240" w:lineRule="auto"/>
              <w:jc w:val="left"/>
              <w:rPr>
                <w:rFonts w:eastAsia="Times New Roman" w:cs="Calibri"/>
                <w:b/>
                <w:bCs/>
                <w:noProof w:val="0"/>
                <w:sz w:val="18"/>
                <w:szCs w:val="18"/>
              </w:rPr>
            </w:pPr>
            <w:r w:rsidRPr="00451533">
              <w:rPr>
                <w:rFonts w:eastAsia="Times New Roman" w:cs="Calibri"/>
                <w:b/>
                <w:bCs/>
                <w:noProof w:val="0"/>
                <w:sz w:val="18"/>
                <w:szCs w:val="18"/>
                <w:lang w:val="en-GB"/>
              </w:rPr>
              <w:t>%</w:t>
            </w:r>
          </w:p>
        </w:tc>
        <w:tc>
          <w:tcPr>
            <w:tcW w:w="0" w:type="auto"/>
            <w:tcBorders>
              <w:top w:val="nil"/>
              <w:left w:val="nil"/>
              <w:bottom w:val="single" w:sz="8" w:space="0" w:color="7F7F7F"/>
              <w:right w:val="nil"/>
            </w:tcBorders>
            <w:shd w:val="clear" w:color="auto" w:fill="auto"/>
            <w:vAlign w:val="center"/>
            <w:hideMark/>
          </w:tcPr>
          <w:p w14:paraId="53A7A576" w14:textId="77777777" w:rsidR="00451533" w:rsidRPr="00451533" w:rsidRDefault="00451533" w:rsidP="00451533">
            <w:pPr>
              <w:spacing w:line="240" w:lineRule="auto"/>
              <w:jc w:val="left"/>
              <w:rPr>
                <w:rFonts w:eastAsia="Times New Roman" w:cs="Calibri"/>
                <w:b/>
                <w:bCs/>
                <w:noProof w:val="0"/>
                <w:sz w:val="18"/>
                <w:szCs w:val="18"/>
              </w:rPr>
            </w:pPr>
            <w:r w:rsidRPr="00451533">
              <w:rPr>
                <w:rFonts w:eastAsia="Times New Roman" w:cs="Calibri"/>
                <w:b/>
                <w:bCs/>
                <w:noProof w:val="0"/>
                <w:sz w:val="18"/>
                <w:szCs w:val="18"/>
                <w:lang w:val="en-GB"/>
              </w:rPr>
              <w:t>CI 95%</w:t>
            </w:r>
          </w:p>
        </w:tc>
      </w:tr>
      <w:tr w:rsidR="00906A7E" w:rsidRPr="00451533" w14:paraId="61D94CD2" w14:textId="77777777" w:rsidTr="00906A7E">
        <w:trPr>
          <w:cantSplit/>
        </w:trPr>
        <w:tc>
          <w:tcPr>
            <w:tcW w:w="0" w:type="auto"/>
            <w:vMerge w:val="restart"/>
            <w:tcBorders>
              <w:top w:val="nil"/>
              <w:left w:val="nil"/>
              <w:right w:val="nil"/>
            </w:tcBorders>
            <w:shd w:val="clear" w:color="auto" w:fill="auto"/>
            <w:vAlign w:val="center"/>
            <w:hideMark/>
          </w:tcPr>
          <w:p w14:paraId="0FC099D0" w14:textId="290F17B0" w:rsidR="00906A7E" w:rsidRPr="00451533" w:rsidRDefault="00906A7E" w:rsidP="00906A7E">
            <w:pPr>
              <w:spacing w:line="240" w:lineRule="auto"/>
              <w:jc w:val="left"/>
              <w:rPr>
                <w:rFonts w:eastAsia="Times New Roman" w:cs="Calibri"/>
                <w:noProof w:val="0"/>
                <w:sz w:val="18"/>
                <w:szCs w:val="18"/>
              </w:rPr>
            </w:pPr>
            <w:r w:rsidRPr="00451533">
              <w:rPr>
                <w:rFonts w:eastAsia="Times New Roman" w:cs="Calibri"/>
                <w:b/>
                <w:noProof w:val="0"/>
                <w:sz w:val="18"/>
                <w:szCs w:val="18"/>
                <w:lang w:val="en-GB"/>
              </w:rPr>
              <w:t>Age group</w:t>
            </w:r>
          </w:p>
        </w:tc>
        <w:tc>
          <w:tcPr>
            <w:tcW w:w="0" w:type="auto"/>
            <w:tcBorders>
              <w:top w:val="nil"/>
              <w:left w:val="nil"/>
              <w:bottom w:val="single" w:sz="8" w:space="0" w:color="7F7F7F"/>
              <w:right w:val="nil"/>
            </w:tcBorders>
            <w:shd w:val="clear" w:color="auto" w:fill="auto"/>
            <w:vAlign w:val="center"/>
            <w:hideMark/>
          </w:tcPr>
          <w:p w14:paraId="6AD97143"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 </w:t>
            </w:r>
          </w:p>
        </w:tc>
        <w:tc>
          <w:tcPr>
            <w:tcW w:w="0" w:type="auto"/>
            <w:tcBorders>
              <w:top w:val="nil"/>
              <w:left w:val="nil"/>
              <w:bottom w:val="single" w:sz="8" w:space="0" w:color="7F7F7F"/>
              <w:right w:val="nil"/>
            </w:tcBorders>
            <w:shd w:val="clear" w:color="auto" w:fill="auto"/>
            <w:vAlign w:val="center"/>
            <w:hideMark/>
          </w:tcPr>
          <w:p w14:paraId="32DB1A17"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133,395</w:t>
            </w:r>
          </w:p>
        </w:tc>
        <w:tc>
          <w:tcPr>
            <w:tcW w:w="0" w:type="auto"/>
            <w:tcBorders>
              <w:top w:val="nil"/>
              <w:left w:val="nil"/>
              <w:bottom w:val="single" w:sz="8" w:space="0" w:color="7F7F7F"/>
              <w:right w:val="nil"/>
            </w:tcBorders>
            <w:shd w:val="clear" w:color="auto" w:fill="auto"/>
            <w:vAlign w:val="center"/>
            <w:hideMark/>
          </w:tcPr>
          <w:p w14:paraId="1A84BCD9"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 </w:t>
            </w:r>
          </w:p>
        </w:tc>
        <w:tc>
          <w:tcPr>
            <w:tcW w:w="0" w:type="auto"/>
            <w:tcBorders>
              <w:top w:val="nil"/>
              <w:left w:val="nil"/>
              <w:bottom w:val="single" w:sz="8" w:space="0" w:color="7F7F7F"/>
              <w:right w:val="nil"/>
            </w:tcBorders>
            <w:shd w:val="clear" w:color="auto" w:fill="auto"/>
            <w:vAlign w:val="center"/>
            <w:hideMark/>
          </w:tcPr>
          <w:p w14:paraId="714D9829"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 </w:t>
            </w:r>
          </w:p>
        </w:tc>
        <w:tc>
          <w:tcPr>
            <w:tcW w:w="0" w:type="auto"/>
            <w:tcBorders>
              <w:top w:val="nil"/>
              <w:left w:val="nil"/>
              <w:bottom w:val="single" w:sz="8" w:space="0" w:color="7F7F7F"/>
              <w:right w:val="nil"/>
            </w:tcBorders>
            <w:shd w:val="clear" w:color="auto" w:fill="auto"/>
            <w:vAlign w:val="center"/>
            <w:hideMark/>
          </w:tcPr>
          <w:p w14:paraId="48D35A19"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94,260</w:t>
            </w:r>
          </w:p>
        </w:tc>
        <w:tc>
          <w:tcPr>
            <w:tcW w:w="0" w:type="auto"/>
            <w:tcBorders>
              <w:top w:val="nil"/>
              <w:left w:val="nil"/>
              <w:bottom w:val="single" w:sz="8" w:space="0" w:color="7F7F7F"/>
              <w:right w:val="nil"/>
            </w:tcBorders>
            <w:shd w:val="clear" w:color="auto" w:fill="auto"/>
            <w:vAlign w:val="center"/>
            <w:hideMark/>
          </w:tcPr>
          <w:p w14:paraId="6F345F00"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70.7</w:t>
            </w:r>
          </w:p>
        </w:tc>
        <w:tc>
          <w:tcPr>
            <w:tcW w:w="0" w:type="auto"/>
            <w:tcBorders>
              <w:top w:val="nil"/>
              <w:left w:val="nil"/>
              <w:bottom w:val="single" w:sz="8" w:space="0" w:color="7F7F7F"/>
              <w:right w:val="nil"/>
            </w:tcBorders>
            <w:shd w:val="clear" w:color="auto" w:fill="auto"/>
            <w:vAlign w:val="center"/>
            <w:hideMark/>
          </w:tcPr>
          <w:p w14:paraId="472D6EBF"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70.4–70.9</w:t>
            </w:r>
          </w:p>
        </w:tc>
        <w:tc>
          <w:tcPr>
            <w:tcW w:w="0" w:type="auto"/>
            <w:tcBorders>
              <w:top w:val="nil"/>
              <w:left w:val="nil"/>
              <w:bottom w:val="single" w:sz="8" w:space="0" w:color="7F7F7F"/>
              <w:right w:val="nil"/>
            </w:tcBorders>
            <w:shd w:val="clear" w:color="auto" w:fill="auto"/>
            <w:vAlign w:val="center"/>
            <w:hideMark/>
          </w:tcPr>
          <w:p w14:paraId="34FE7705"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38,425</w:t>
            </w:r>
          </w:p>
        </w:tc>
        <w:tc>
          <w:tcPr>
            <w:tcW w:w="0" w:type="auto"/>
            <w:tcBorders>
              <w:top w:val="nil"/>
              <w:left w:val="nil"/>
              <w:bottom w:val="single" w:sz="8" w:space="0" w:color="7F7F7F"/>
              <w:right w:val="nil"/>
            </w:tcBorders>
            <w:shd w:val="clear" w:color="auto" w:fill="auto"/>
            <w:vAlign w:val="center"/>
            <w:hideMark/>
          </w:tcPr>
          <w:p w14:paraId="2128C84B"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28.8</w:t>
            </w:r>
          </w:p>
        </w:tc>
        <w:tc>
          <w:tcPr>
            <w:tcW w:w="0" w:type="auto"/>
            <w:tcBorders>
              <w:top w:val="nil"/>
              <w:left w:val="nil"/>
              <w:bottom w:val="single" w:sz="8" w:space="0" w:color="7F7F7F"/>
              <w:right w:val="nil"/>
            </w:tcBorders>
            <w:shd w:val="clear" w:color="auto" w:fill="auto"/>
            <w:vAlign w:val="center"/>
            <w:hideMark/>
          </w:tcPr>
          <w:p w14:paraId="3498B80B"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28.6–29.0</w:t>
            </w:r>
          </w:p>
        </w:tc>
      </w:tr>
      <w:tr w:rsidR="00906A7E" w:rsidRPr="00451533" w14:paraId="73E29B27" w14:textId="77777777" w:rsidTr="007C4375">
        <w:trPr>
          <w:cantSplit/>
        </w:trPr>
        <w:tc>
          <w:tcPr>
            <w:tcW w:w="0" w:type="auto"/>
            <w:vMerge/>
            <w:tcBorders>
              <w:left w:val="nil"/>
              <w:right w:val="nil"/>
            </w:tcBorders>
            <w:shd w:val="clear" w:color="auto" w:fill="auto"/>
            <w:hideMark/>
          </w:tcPr>
          <w:p w14:paraId="6864F16C" w14:textId="7CE4D31E" w:rsidR="00906A7E" w:rsidRPr="00451533" w:rsidRDefault="00906A7E" w:rsidP="00C0357C">
            <w:pPr>
              <w:spacing w:line="240" w:lineRule="auto"/>
              <w:jc w:val="left"/>
              <w:rPr>
                <w:rFonts w:eastAsia="Times New Roman" w:cs="Calibri"/>
                <w:b/>
                <w:noProof w:val="0"/>
                <w:sz w:val="18"/>
                <w:szCs w:val="18"/>
              </w:rPr>
            </w:pPr>
          </w:p>
        </w:tc>
        <w:tc>
          <w:tcPr>
            <w:tcW w:w="0" w:type="auto"/>
            <w:tcBorders>
              <w:top w:val="nil"/>
              <w:left w:val="nil"/>
              <w:bottom w:val="single" w:sz="8" w:space="0" w:color="7F7F7F"/>
              <w:right w:val="nil"/>
            </w:tcBorders>
            <w:shd w:val="clear" w:color="auto" w:fill="auto"/>
            <w:vAlign w:val="center"/>
            <w:hideMark/>
          </w:tcPr>
          <w:p w14:paraId="038EB3F9" w14:textId="77777777" w:rsidR="00906A7E" w:rsidRPr="00451533" w:rsidRDefault="00906A7E"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Under 18</w:t>
            </w:r>
          </w:p>
        </w:tc>
        <w:tc>
          <w:tcPr>
            <w:tcW w:w="0" w:type="auto"/>
            <w:tcBorders>
              <w:top w:val="nil"/>
              <w:left w:val="nil"/>
              <w:bottom w:val="single" w:sz="8" w:space="0" w:color="7F7F7F"/>
              <w:right w:val="nil"/>
            </w:tcBorders>
            <w:shd w:val="clear" w:color="auto" w:fill="auto"/>
            <w:vAlign w:val="center"/>
            <w:hideMark/>
          </w:tcPr>
          <w:p w14:paraId="149B14FA" w14:textId="77777777" w:rsidR="00906A7E" w:rsidRPr="00451533" w:rsidRDefault="00906A7E"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16,275</w:t>
            </w:r>
          </w:p>
        </w:tc>
        <w:tc>
          <w:tcPr>
            <w:tcW w:w="0" w:type="auto"/>
            <w:tcBorders>
              <w:top w:val="nil"/>
              <w:left w:val="nil"/>
              <w:bottom w:val="single" w:sz="8" w:space="0" w:color="7F7F7F"/>
              <w:right w:val="nil"/>
            </w:tcBorders>
            <w:shd w:val="clear" w:color="auto" w:fill="auto"/>
            <w:vAlign w:val="center"/>
            <w:hideMark/>
          </w:tcPr>
          <w:p w14:paraId="1C80732B" w14:textId="77777777" w:rsidR="00906A7E" w:rsidRPr="00451533" w:rsidRDefault="00906A7E"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12.2</w:t>
            </w:r>
          </w:p>
        </w:tc>
        <w:tc>
          <w:tcPr>
            <w:tcW w:w="0" w:type="auto"/>
            <w:tcBorders>
              <w:top w:val="nil"/>
              <w:left w:val="nil"/>
              <w:bottom w:val="single" w:sz="8" w:space="0" w:color="7F7F7F"/>
              <w:right w:val="nil"/>
            </w:tcBorders>
            <w:shd w:val="clear" w:color="auto" w:fill="auto"/>
            <w:vAlign w:val="center"/>
            <w:hideMark/>
          </w:tcPr>
          <w:p w14:paraId="06CF02E1" w14:textId="77777777" w:rsidR="00906A7E" w:rsidRPr="00451533" w:rsidRDefault="00906A7E"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12.0–12.4</w:t>
            </w:r>
          </w:p>
        </w:tc>
        <w:tc>
          <w:tcPr>
            <w:tcW w:w="0" w:type="auto"/>
            <w:tcBorders>
              <w:top w:val="nil"/>
              <w:left w:val="nil"/>
              <w:bottom w:val="single" w:sz="8" w:space="0" w:color="7F7F7F"/>
              <w:right w:val="nil"/>
            </w:tcBorders>
            <w:shd w:val="clear" w:color="auto" w:fill="auto"/>
            <w:vAlign w:val="center"/>
            <w:hideMark/>
          </w:tcPr>
          <w:p w14:paraId="4EAE2570" w14:textId="77777777" w:rsidR="00906A7E" w:rsidRPr="00451533" w:rsidRDefault="00906A7E"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11,540</w:t>
            </w:r>
          </w:p>
        </w:tc>
        <w:tc>
          <w:tcPr>
            <w:tcW w:w="0" w:type="auto"/>
            <w:tcBorders>
              <w:top w:val="nil"/>
              <w:left w:val="nil"/>
              <w:bottom w:val="single" w:sz="8" w:space="0" w:color="7F7F7F"/>
              <w:right w:val="nil"/>
            </w:tcBorders>
            <w:shd w:val="clear" w:color="auto" w:fill="auto"/>
            <w:vAlign w:val="center"/>
            <w:hideMark/>
          </w:tcPr>
          <w:p w14:paraId="09DF2045" w14:textId="77777777" w:rsidR="00906A7E" w:rsidRPr="00451533" w:rsidRDefault="00906A7E"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12.2</w:t>
            </w:r>
          </w:p>
        </w:tc>
        <w:tc>
          <w:tcPr>
            <w:tcW w:w="0" w:type="auto"/>
            <w:tcBorders>
              <w:top w:val="nil"/>
              <w:left w:val="nil"/>
              <w:bottom w:val="single" w:sz="8" w:space="0" w:color="7F7F7F"/>
              <w:right w:val="nil"/>
            </w:tcBorders>
            <w:shd w:val="clear" w:color="auto" w:fill="auto"/>
            <w:vAlign w:val="center"/>
            <w:hideMark/>
          </w:tcPr>
          <w:p w14:paraId="4FE59DBB" w14:textId="77777777" w:rsidR="00906A7E" w:rsidRPr="00451533" w:rsidRDefault="00906A7E"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12.1–12.4</w:t>
            </w:r>
          </w:p>
        </w:tc>
        <w:tc>
          <w:tcPr>
            <w:tcW w:w="0" w:type="auto"/>
            <w:tcBorders>
              <w:top w:val="nil"/>
              <w:left w:val="nil"/>
              <w:bottom w:val="single" w:sz="8" w:space="0" w:color="7F7F7F"/>
              <w:right w:val="nil"/>
            </w:tcBorders>
            <w:shd w:val="clear" w:color="auto" w:fill="auto"/>
            <w:vAlign w:val="center"/>
            <w:hideMark/>
          </w:tcPr>
          <w:p w14:paraId="36E0DE49" w14:textId="77777777" w:rsidR="00906A7E" w:rsidRPr="00451533" w:rsidRDefault="00906A7E"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4735</w:t>
            </w:r>
          </w:p>
        </w:tc>
        <w:tc>
          <w:tcPr>
            <w:tcW w:w="0" w:type="auto"/>
            <w:tcBorders>
              <w:top w:val="nil"/>
              <w:left w:val="nil"/>
              <w:bottom w:val="single" w:sz="8" w:space="0" w:color="7F7F7F"/>
              <w:right w:val="nil"/>
            </w:tcBorders>
            <w:shd w:val="clear" w:color="auto" w:fill="auto"/>
            <w:vAlign w:val="center"/>
            <w:hideMark/>
          </w:tcPr>
          <w:p w14:paraId="6BBC57B4" w14:textId="77777777" w:rsidR="00906A7E" w:rsidRPr="00451533" w:rsidRDefault="00906A7E"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12.3</w:t>
            </w:r>
          </w:p>
        </w:tc>
        <w:tc>
          <w:tcPr>
            <w:tcW w:w="0" w:type="auto"/>
            <w:tcBorders>
              <w:top w:val="nil"/>
              <w:left w:val="nil"/>
              <w:bottom w:val="single" w:sz="8" w:space="0" w:color="7F7F7F"/>
              <w:right w:val="nil"/>
            </w:tcBorders>
            <w:shd w:val="clear" w:color="auto" w:fill="auto"/>
            <w:vAlign w:val="center"/>
            <w:hideMark/>
          </w:tcPr>
          <w:p w14:paraId="337D95A5" w14:textId="77777777" w:rsidR="00906A7E" w:rsidRPr="00451533" w:rsidRDefault="00906A7E"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12.1–12.5</w:t>
            </w:r>
          </w:p>
        </w:tc>
      </w:tr>
      <w:tr w:rsidR="00906A7E" w:rsidRPr="00451533" w14:paraId="0C33E009" w14:textId="77777777" w:rsidTr="007C4375">
        <w:trPr>
          <w:cantSplit/>
        </w:trPr>
        <w:tc>
          <w:tcPr>
            <w:tcW w:w="0" w:type="auto"/>
            <w:vMerge/>
            <w:tcBorders>
              <w:left w:val="nil"/>
              <w:right w:val="nil"/>
            </w:tcBorders>
            <w:vAlign w:val="center"/>
            <w:hideMark/>
          </w:tcPr>
          <w:p w14:paraId="57671A8E" w14:textId="77777777" w:rsidR="00906A7E" w:rsidRPr="00451533" w:rsidRDefault="00906A7E" w:rsidP="00451533">
            <w:pPr>
              <w:spacing w:line="240" w:lineRule="auto"/>
              <w:jc w:val="left"/>
              <w:rPr>
                <w:rFonts w:eastAsia="Times New Roman" w:cs="Calibri"/>
                <w:noProof w:val="0"/>
                <w:sz w:val="18"/>
                <w:szCs w:val="18"/>
              </w:rPr>
            </w:pPr>
          </w:p>
        </w:tc>
        <w:tc>
          <w:tcPr>
            <w:tcW w:w="0" w:type="auto"/>
            <w:tcBorders>
              <w:top w:val="nil"/>
              <w:left w:val="nil"/>
              <w:bottom w:val="single" w:sz="8" w:space="0" w:color="7F7F7F"/>
              <w:right w:val="nil"/>
            </w:tcBorders>
            <w:shd w:val="clear" w:color="auto" w:fill="auto"/>
            <w:vAlign w:val="center"/>
            <w:hideMark/>
          </w:tcPr>
          <w:p w14:paraId="2972AF4D"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18–24</w:t>
            </w:r>
          </w:p>
        </w:tc>
        <w:tc>
          <w:tcPr>
            <w:tcW w:w="0" w:type="auto"/>
            <w:tcBorders>
              <w:top w:val="nil"/>
              <w:left w:val="nil"/>
              <w:bottom w:val="single" w:sz="8" w:space="0" w:color="7F7F7F"/>
              <w:right w:val="nil"/>
            </w:tcBorders>
            <w:shd w:val="clear" w:color="auto" w:fill="auto"/>
            <w:vAlign w:val="center"/>
            <w:hideMark/>
          </w:tcPr>
          <w:p w14:paraId="2FBBDE29"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37,750</w:t>
            </w:r>
          </w:p>
        </w:tc>
        <w:tc>
          <w:tcPr>
            <w:tcW w:w="0" w:type="auto"/>
            <w:tcBorders>
              <w:top w:val="nil"/>
              <w:left w:val="nil"/>
              <w:bottom w:val="single" w:sz="8" w:space="0" w:color="7F7F7F"/>
              <w:right w:val="nil"/>
            </w:tcBorders>
            <w:shd w:val="clear" w:color="auto" w:fill="auto"/>
            <w:vAlign w:val="center"/>
            <w:hideMark/>
          </w:tcPr>
          <w:p w14:paraId="5546A5C8"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28.3</w:t>
            </w:r>
          </w:p>
        </w:tc>
        <w:tc>
          <w:tcPr>
            <w:tcW w:w="0" w:type="auto"/>
            <w:tcBorders>
              <w:top w:val="nil"/>
              <w:left w:val="nil"/>
              <w:bottom w:val="single" w:sz="8" w:space="0" w:color="7F7F7F"/>
              <w:right w:val="nil"/>
            </w:tcBorders>
            <w:shd w:val="clear" w:color="auto" w:fill="auto"/>
            <w:vAlign w:val="center"/>
            <w:hideMark/>
          </w:tcPr>
          <w:p w14:paraId="1252D029"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28.1–28.5</w:t>
            </w:r>
          </w:p>
        </w:tc>
        <w:tc>
          <w:tcPr>
            <w:tcW w:w="0" w:type="auto"/>
            <w:tcBorders>
              <w:top w:val="nil"/>
              <w:left w:val="nil"/>
              <w:bottom w:val="single" w:sz="8" w:space="0" w:color="7F7F7F"/>
              <w:right w:val="nil"/>
            </w:tcBorders>
            <w:shd w:val="clear" w:color="auto" w:fill="auto"/>
            <w:vAlign w:val="center"/>
            <w:hideMark/>
          </w:tcPr>
          <w:p w14:paraId="0E087AF5"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27,915</w:t>
            </w:r>
          </w:p>
        </w:tc>
        <w:tc>
          <w:tcPr>
            <w:tcW w:w="0" w:type="auto"/>
            <w:tcBorders>
              <w:top w:val="nil"/>
              <w:left w:val="nil"/>
              <w:bottom w:val="single" w:sz="8" w:space="0" w:color="7F7F7F"/>
              <w:right w:val="nil"/>
            </w:tcBorders>
            <w:shd w:val="clear" w:color="auto" w:fill="auto"/>
            <w:vAlign w:val="center"/>
            <w:hideMark/>
          </w:tcPr>
          <w:p w14:paraId="7661B61C"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29.6</w:t>
            </w:r>
          </w:p>
        </w:tc>
        <w:tc>
          <w:tcPr>
            <w:tcW w:w="0" w:type="auto"/>
            <w:tcBorders>
              <w:top w:val="nil"/>
              <w:left w:val="nil"/>
              <w:bottom w:val="single" w:sz="8" w:space="0" w:color="7F7F7F"/>
              <w:right w:val="nil"/>
            </w:tcBorders>
            <w:shd w:val="clear" w:color="auto" w:fill="auto"/>
            <w:vAlign w:val="center"/>
            <w:hideMark/>
          </w:tcPr>
          <w:p w14:paraId="1D94375A"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29.4–29.9</w:t>
            </w:r>
          </w:p>
        </w:tc>
        <w:tc>
          <w:tcPr>
            <w:tcW w:w="0" w:type="auto"/>
            <w:tcBorders>
              <w:top w:val="nil"/>
              <w:left w:val="nil"/>
              <w:bottom w:val="single" w:sz="8" w:space="0" w:color="7F7F7F"/>
              <w:right w:val="nil"/>
            </w:tcBorders>
            <w:shd w:val="clear" w:color="auto" w:fill="auto"/>
            <w:vAlign w:val="center"/>
            <w:hideMark/>
          </w:tcPr>
          <w:p w14:paraId="5A1C2FD1"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9830</w:t>
            </w:r>
          </w:p>
        </w:tc>
        <w:tc>
          <w:tcPr>
            <w:tcW w:w="0" w:type="auto"/>
            <w:tcBorders>
              <w:top w:val="nil"/>
              <w:left w:val="nil"/>
              <w:bottom w:val="single" w:sz="8" w:space="0" w:color="7F7F7F"/>
              <w:right w:val="nil"/>
            </w:tcBorders>
            <w:shd w:val="clear" w:color="auto" w:fill="auto"/>
            <w:vAlign w:val="center"/>
            <w:hideMark/>
          </w:tcPr>
          <w:p w14:paraId="066340A4"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25.6</w:t>
            </w:r>
          </w:p>
        </w:tc>
        <w:tc>
          <w:tcPr>
            <w:tcW w:w="0" w:type="auto"/>
            <w:tcBorders>
              <w:top w:val="nil"/>
              <w:left w:val="nil"/>
              <w:bottom w:val="single" w:sz="8" w:space="0" w:color="7F7F7F"/>
              <w:right w:val="nil"/>
            </w:tcBorders>
            <w:shd w:val="clear" w:color="auto" w:fill="auto"/>
            <w:vAlign w:val="center"/>
            <w:hideMark/>
          </w:tcPr>
          <w:p w14:paraId="28B393A5"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25.4–25.8</w:t>
            </w:r>
          </w:p>
        </w:tc>
      </w:tr>
      <w:tr w:rsidR="00906A7E" w:rsidRPr="00451533" w14:paraId="1E25C071" w14:textId="77777777" w:rsidTr="007C4375">
        <w:trPr>
          <w:cantSplit/>
        </w:trPr>
        <w:tc>
          <w:tcPr>
            <w:tcW w:w="0" w:type="auto"/>
            <w:vMerge/>
            <w:tcBorders>
              <w:left w:val="nil"/>
              <w:right w:val="nil"/>
            </w:tcBorders>
            <w:vAlign w:val="center"/>
            <w:hideMark/>
          </w:tcPr>
          <w:p w14:paraId="3D266A7F" w14:textId="77777777" w:rsidR="00906A7E" w:rsidRPr="00451533" w:rsidRDefault="00906A7E" w:rsidP="00451533">
            <w:pPr>
              <w:spacing w:line="240" w:lineRule="auto"/>
              <w:jc w:val="left"/>
              <w:rPr>
                <w:rFonts w:eastAsia="Times New Roman" w:cs="Calibri"/>
                <w:noProof w:val="0"/>
                <w:sz w:val="18"/>
                <w:szCs w:val="18"/>
              </w:rPr>
            </w:pPr>
          </w:p>
        </w:tc>
        <w:tc>
          <w:tcPr>
            <w:tcW w:w="0" w:type="auto"/>
            <w:tcBorders>
              <w:top w:val="nil"/>
              <w:left w:val="nil"/>
              <w:bottom w:val="nil"/>
              <w:right w:val="nil"/>
            </w:tcBorders>
            <w:shd w:val="clear" w:color="auto" w:fill="auto"/>
            <w:vAlign w:val="center"/>
            <w:hideMark/>
          </w:tcPr>
          <w:p w14:paraId="05D070F1"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25–34</w:t>
            </w:r>
          </w:p>
        </w:tc>
        <w:tc>
          <w:tcPr>
            <w:tcW w:w="0" w:type="auto"/>
            <w:tcBorders>
              <w:top w:val="nil"/>
              <w:left w:val="nil"/>
              <w:bottom w:val="nil"/>
              <w:right w:val="nil"/>
            </w:tcBorders>
            <w:shd w:val="clear" w:color="auto" w:fill="auto"/>
            <w:vAlign w:val="center"/>
            <w:hideMark/>
          </w:tcPr>
          <w:p w14:paraId="2889891F"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35,470</w:t>
            </w:r>
          </w:p>
        </w:tc>
        <w:tc>
          <w:tcPr>
            <w:tcW w:w="0" w:type="auto"/>
            <w:tcBorders>
              <w:top w:val="nil"/>
              <w:left w:val="nil"/>
              <w:bottom w:val="nil"/>
              <w:right w:val="nil"/>
            </w:tcBorders>
            <w:shd w:val="clear" w:color="auto" w:fill="auto"/>
            <w:vAlign w:val="center"/>
            <w:hideMark/>
          </w:tcPr>
          <w:p w14:paraId="3F5E2D3F"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26.6</w:t>
            </w:r>
          </w:p>
        </w:tc>
        <w:tc>
          <w:tcPr>
            <w:tcW w:w="0" w:type="auto"/>
            <w:tcBorders>
              <w:top w:val="nil"/>
              <w:left w:val="nil"/>
              <w:bottom w:val="nil"/>
              <w:right w:val="nil"/>
            </w:tcBorders>
            <w:shd w:val="clear" w:color="auto" w:fill="auto"/>
            <w:vAlign w:val="center"/>
            <w:hideMark/>
          </w:tcPr>
          <w:p w14:paraId="1AFAB290"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26.4–26.8</w:t>
            </w:r>
          </w:p>
        </w:tc>
        <w:tc>
          <w:tcPr>
            <w:tcW w:w="0" w:type="auto"/>
            <w:tcBorders>
              <w:top w:val="nil"/>
              <w:left w:val="nil"/>
              <w:bottom w:val="nil"/>
              <w:right w:val="nil"/>
            </w:tcBorders>
            <w:shd w:val="clear" w:color="auto" w:fill="auto"/>
            <w:vAlign w:val="center"/>
            <w:hideMark/>
          </w:tcPr>
          <w:p w14:paraId="1EA10EA3"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25,435</w:t>
            </w:r>
          </w:p>
        </w:tc>
        <w:tc>
          <w:tcPr>
            <w:tcW w:w="0" w:type="auto"/>
            <w:tcBorders>
              <w:top w:val="nil"/>
              <w:left w:val="nil"/>
              <w:bottom w:val="nil"/>
              <w:right w:val="nil"/>
            </w:tcBorders>
            <w:shd w:val="clear" w:color="auto" w:fill="auto"/>
            <w:vAlign w:val="center"/>
            <w:hideMark/>
          </w:tcPr>
          <w:p w14:paraId="23BB5244" w14:textId="719EA499"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27</w:t>
            </w:r>
            <w:r>
              <w:rPr>
                <w:rFonts w:eastAsia="Times New Roman" w:cs="Calibri"/>
                <w:noProof w:val="0"/>
                <w:sz w:val="18"/>
                <w:szCs w:val="18"/>
                <w:lang w:val="en-GB"/>
              </w:rPr>
              <w:t>.0</w:t>
            </w:r>
          </w:p>
        </w:tc>
        <w:tc>
          <w:tcPr>
            <w:tcW w:w="0" w:type="auto"/>
            <w:tcBorders>
              <w:top w:val="nil"/>
              <w:left w:val="nil"/>
              <w:bottom w:val="nil"/>
              <w:right w:val="nil"/>
            </w:tcBorders>
            <w:shd w:val="clear" w:color="auto" w:fill="auto"/>
            <w:vAlign w:val="center"/>
            <w:hideMark/>
          </w:tcPr>
          <w:p w14:paraId="644FC661"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26.7–27.2</w:t>
            </w:r>
          </w:p>
        </w:tc>
        <w:tc>
          <w:tcPr>
            <w:tcW w:w="0" w:type="auto"/>
            <w:tcBorders>
              <w:top w:val="nil"/>
              <w:left w:val="nil"/>
              <w:bottom w:val="nil"/>
              <w:right w:val="nil"/>
            </w:tcBorders>
            <w:shd w:val="clear" w:color="auto" w:fill="auto"/>
            <w:vAlign w:val="center"/>
            <w:hideMark/>
          </w:tcPr>
          <w:p w14:paraId="637A629C"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10,030</w:t>
            </w:r>
          </w:p>
        </w:tc>
        <w:tc>
          <w:tcPr>
            <w:tcW w:w="0" w:type="auto"/>
            <w:tcBorders>
              <w:top w:val="nil"/>
              <w:left w:val="nil"/>
              <w:bottom w:val="nil"/>
              <w:right w:val="nil"/>
            </w:tcBorders>
            <w:shd w:val="clear" w:color="auto" w:fill="auto"/>
            <w:vAlign w:val="center"/>
            <w:hideMark/>
          </w:tcPr>
          <w:p w14:paraId="6925DFAC"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26.1</w:t>
            </w:r>
          </w:p>
        </w:tc>
        <w:tc>
          <w:tcPr>
            <w:tcW w:w="0" w:type="auto"/>
            <w:tcBorders>
              <w:top w:val="nil"/>
              <w:left w:val="nil"/>
              <w:bottom w:val="nil"/>
              <w:right w:val="nil"/>
            </w:tcBorders>
            <w:shd w:val="clear" w:color="auto" w:fill="auto"/>
            <w:vAlign w:val="center"/>
            <w:hideMark/>
          </w:tcPr>
          <w:p w14:paraId="6D02C3FD"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25.9–26.3</w:t>
            </w:r>
          </w:p>
        </w:tc>
      </w:tr>
      <w:tr w:rsidR="00906A7E" w:rsidRPr="00451533" w14:paraId="50DD36D1" w14:textId="77777777" w:rsidTr="007C4375">
        <w:trPr>
          <w:cantSplit/>
        </w:trPr>
        <w:tc>
          <w:tcPr>
            <w:tcW w:w="0" w:type="auto"/>
            <w:vMerge/>
            <w:tcBorders>
              <w:left w:val="nil"/>
              <w:right w:val="nil"/>
            </w:tcBorders>
            <w:vAlign w:val="center"/>
            <w:hideMark/>
          </w:tcPr>
          <w:p w14:paraId="29546886" w14:textId="77777777" w:rsidR="00906A7E" w:rsidRPr="00451533" w:rsidRDefault="00906A7E" w:rsidP="00451533">
            <w:pPr>
              <w:spacing w:line="240" w:lineRule="auto"/>
              <w:jc w:val="left"/>
              <w:rPr>
                <w:rFonts w:eastAsia="Times New Roman" w:cs="Calibri"/>
                <w:noProof w:val="0"/>
                <w:sz w:val="18"/>
                <w:szCs w:val="18"/>
              </w:rPr>
            </w:pPr>
          </w:p>
        </w:tc>
        <w:tc>
          <w:tcPr>
            <w:tcW w:w="0" w:type="auto"/>
            <w:tcBorders>
              <w:top w:val="single" w:sz="8" w:space="0" w:color="7F7F7F"/>
              <w:left w:val="nil"/>
              <w:bottom w:val="single" w:sz="8" w:space="0" w:color="7F7F7F"/>
              <w:right w:val="nil"/>
            </w:tcBorders>
            <w:shd w:val="clear" w:color="auto" w:fill="auto"/>
            <w:vAlign w:val="center"/>
            <w:hideMark/>
          </w:tcPr>
          <w:p w14:paraId="263A9C5F"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35–44</w:t>
            </w:r>
          </w:p>
        </w:tc>
        <w:tc>
          <w:tcPr>
            <w:tcW w:w="0" w:type="auto"/>
            <w:tcBorders>
              <w:top w:val="single" w:sz="8" w:space="0" w:color="7F7F7F"/>
              <w:left w:val="nil"/>
              <w:bottom w:val="single" w:sz="8" w:space="0" w:color="7F7F7F"/>
              <w:right w:val="nil"/>
            </w:tcBorders>
            <w:shd w:val="clear" w:color="auto" w:fill="auto"/>
            <w:vAlign w:val="center"/>
            <w:hideMark/>
          </w:tcPr>
          <w:p w14:paraId="318DAB20"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21,155</w:t>
            </w:r>
          </w:p>
        </w:tc>
        <w:tc>
          <w:tcPr>
            <w:tcW w:w="0" w:type="auto"/>
            <w:tcBorders>
              <w:top w:val="single" w:sz="8" w:space="0" w:color="7F7F7F"/>
              <w:left w:val="nil"/>
              <w:bottom w:val="single" w:sz="8" w:space="0" w:color="7F7F7F"/>
              <w:right w:val="nil"/>
            </w:tcBorders>
            <w:shd w:val="clear" w:color="auto" w:fill="auto"/>
            <w:vAlign w:val="center"/>
            <w:hideMark/>
          </w:tcPr>
          <w:p w14:paraId="22EAB076"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15.9</w:t>
            </w:r>
          </w:p>
        </w:tc>
        <w:tc>
          <w:tcPr>
            <w:tcW w:w="0" w:type="auto"/>
            <w:tcBorders>
              <w:top w:val="single" w:sz="8" w:space="0" w:color="7F7F7F"/>
              <w:left w:val="nil"/>
              <w:bottom w:val="single" w:sz="8" w:space="0" w:color="7F7F7F"/>
              <w:right w:val="nil"/>
            </w:tcBorders>
            <w:shd w:val="clear" w:color="auto" w:fill="auto"/>
            <w:vAlign w:val="center"/>
            <w:hideMark/>
          </w:tcPr>
          <w:p w14:paraId="20805D6F"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15.7–16.1</w:t>
            </w:r>
          </w:p>
        </w:tc>
        <w:tc>
          <w:tcPr>
            <w:tcW w:w="0" w:type="auto"/>
            <w:tcBorders>
              <w:top w:val="single" w:sz="8" w:space="0" w:color="7F7F7F"/>
              <w:left w:val="nil"/>
              <w:bottom w:val="single" w:sz="8" w:space="0" w:color="7F7F7F"/>
              <w:right w:val="nil"/>
            </w:tcBorders>
            <w:shd w:val="clear" w:color="auto" w:fill="auto"/>
            <w:vAlign w:val="center"/>
            <w:hideMark/>
          </w:tcPr>
          <w:p w14:paraId="778D387F"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14,685</w:t>
            </w:r>
          </w:p>
        </w:tc>
        <w:tc>
          <w:tcPr>
            <w:tcW w:w="0" w:type="auto"/>
            <w:tcBorders>
              <w:top w:val="single" w:sz="8" w:space="0" w:color="7F7F7F"/>
              <w:left w:val="nil"/>
              <w:bottom w:val="single" w:sz="8" w:space="0" w:color="7F7F7F"/>
              <w:right w:val="nil"/>
            </w:tcBorders>
            <w:shd w:val="clear" w:color="auto" w:fill="auto"/>
            <w:vAlign w:val="center"/>
            <w:hideMark/>
          </w:tcPr>
          <w:p w14:paraId="7FBD63C8"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15.6</w:t>
            </w:r>
          </w:p>
        </w:tc>
        <w:tc>
          <w:tcPr>
            <w:tcW w:w="0" w:type="auto"/>
            <w:tcBorders>
              <w:top w:val="single" w:sz="8" w:space="0" w:color="7F7F7F"/>
              <w:left w:val="nil"/>
              <w:bottom w:val="single" w:sz="8" w:space="0" w:color="7F7F7F"/>
              <w:right w:val="nil"/>
            </w:tcBorders>
            <w:shd w:val="clear" w:color="auto" w:fill="auto"/>
            <w:vAlign w:val="center"/>
            <w:hideMark/>
          </w:tcPr>
          <w:p w14:paraId="1FA9F568"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15.4–15.8</w:t>
            </w:r>
          </w:p>
        </w:tc>
        <w:tc>
          <w:tcPr>
            <w:tcW w:w="0" w:type="auto"/>
            <w:tcBorders>
              <w:top w:val="single" w:sz="8" w:space="0" w:color="7F7F7F"/>
              <w:left w:val="nil"/>
              <w:bottom w:val="single" w:sz="8" w:space="0" w:color="7F7F7F"/>
              <w:right w:val="nil"/>
            </w:tcBorders>
            <w:shd w:val="clear" w:color="auto" w:fill="auto"/>
            <w:vAlign w:val="center"/>
            <w:hideMark/>
          </w:tcPr>
          <w:p w14:paraId="56385319"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6460</w:t>
            </w:r>
          </w:p>
        </w:tc>
        <w:tc>
          <w:tcPr>
            <w:tcW w:w="0" w:type="auto"/>
            <w:tcBorders>
              <w:top w:val="single" w:sz="8" w:space="0" w:color="7F7F7F"/>
              <w:left w:val="nil"/>
              <w:bottom w:val="single" w:sz="8" w:space="0" w:color="7F7F7F"/>
              <w:right w:val="nil"/>
            </w:tcBorders>
            <w:shd w:val="clear" w:color="auto" w:fill="auto"/>
            <w:vAlign w:val="center"/>
            <w:hideMark/>
          </w:tcPr>
          <w:p w14:paraId="49D8C863"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16.8</w:t>
            </w:r>
          </w:p>
        </w:tc>
        <w:tc>
          <w:tcPr>
            <w:tcW w:w="0" w:type="auto"/>
            <w:tcBorders>
              <w:top w:val="single" w:sz="8" w:space="0" w:color="7F7F7F"/>
              <w:left w:val="nil"/>
              <w:bottom w:val="single" w:sz="8" w:space="0" w:color="7F7F7F"/>
              <w:right w:val="nil"/>
            </w:tcBorders>
            <w:shd w:val="clear" w:color="auto" w:fill="auto"/>
            <w:vAlign w:val="center"/>
            <w:hideMark/>
          </w:tcPr>
          <w:p w14:paraId="1C8C63CB"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16.6–17.0</w:t>
            </w:r>
          </w:p>
        </w:tc>
      </w:tr>
      <w:tr w:rsidR="00906A7E" w:rsidRPr="00451533" w14:paraId="57CA02CC" w14:textId="77777777" w:rsidTr="007C4375">
        <w:trPr>
          <w:cantSplit/>
        </w:trPr>
        <w:tc>
          <w:tcPr>
            <w:tcW w:w="0" w:type="auto"/>
            <w:vMerge/>
            <w:tcBorders>
              <w:left w:val="nil"/>
              <w:right w:val="nil"/>
            </w:tcBorders>
            <w:vAlign w:val="center"/>
            <w:hideMark/>
          </w:tcPr>
          <w:p w14:paraId="518CC21F" w14:textId="77777777" w:rsidR="00906A7E" w:rsidRPr="00451533" w:rsidRDefault="00906A7E" w:rsidP="00451533">
            <w:pPr>
              <w:spacing w:line="240" w:lineRule="auto"/>
              <w:jc w:val="left"/>
              <w:rPr>
                <w:rFonts w:eastAsia="Times New Roman" w:cs="Calibri"/>
                <w:noProof w:val="0"/>
                <w:sz w:val="18"/>
                <w:szCs w:val="18"/>
              </w:rPr>
            </w:pPr>
          </w:p>
        </w:tc>
        <w:tc>
          <w:tcPr>
            <w:tcW w:w="0" w:type="auto"/>
            <w:tcBorders>
              <w:top w:val="nil"/>
              <w:left w:val="nil"/>
              <w:bottom w:val="nil"/>
              <w:right w:val="nil"/>
            </w:tcBorders>
            <w:shd w:val="clear" w:color="auto" w:fill="auto"/>
            <w:vAlign w:val="center"/>
            <w:hideMark/>
          </w:tcPr>
          <w:p w14:paraId="20000312"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45–54</w:t>
            </w:r>
          </w:p>
        </w:tc>
        <w:tc>
          <w:tcPr>
            <w:tcW w:w="0" w:type="auto"/>
            <w:tcBorders>
              <w:top w:val="nil"/>
              <w:left w:val="nil"/>
              <w:bottom w:val="nil"/>
              <w:right w:val="nil"/>
            </w:tcBorders>
            <w:shd w:val="clear" w:color="auto" w:fill="auto"/>
            <w:vAlign w:val="center"/>
            <w:hideMark/>
          </w:tcPr>
          <w:p w14:paraId="3B827AEB"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14,195</w:t>
            </w:r>
          </w:p>
        </w:tc>
        <w:tc>
          <w:tcPr>
            <w:tcW w:w="0" w:type="auto"/>
            <w:tcBorders>
              <w:top w:val="nil"/>
              <w:left w:val="nil"/>
              <w:bottom w:val="nil"/>
              <w:right w:val="nil"/>
            </w:tcBorders>
            <w:shd w:val="clear" w:color="auto" w:fill="auto"/>
            <w:vAlign w:val="center"/>
            <w:hideMark/>
          </w:tcPr>
          <w:p w14:paraId="17B257C0"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10.6</w:t>
            </w:r>
          </w:p>
        </w:tc>
        <w:tc>
          <w:tcPr>
            <w:tcW w:w="0" w:type="auto"/>
            <w:tcBorders>
              <w:top w:val="nil"/>
              <w:left w:val="nil"/>
              <w:bottom w:val="nil"/>
              <w:right w:val="nil"/>
            </w:tcBorders>
            <w:shd w:val="clear" w:color="auto" w:fill="auto"/>
            <w:vAlign w:val="center"/>
            <w:hideMark/>
          </w:tcPr>
          <w:p w14:paraId="2FDD1414"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10.5–10.8</w:t>
            </w:r>
          </w:p>
        </w:tc>
        <w:tc>
          <w:tcPr>
            <w:tcW w:w="0" w:type="auto"/>
            <w:tcBorders>
              <w:top w:val="nil"/>
              <w:left w:val="nil"/>
              <w:bottom w:val="nil"/>
              <w:right w:val="nil"/>
            </w:tcBorders>
            <w:shd w:val="clear" w:color="auto" w:fill="auto"/>
            <w:vAlign w:val="center"/>
            <w:hideMark/>
          </w:tcPr>
          <w:p w14:paraId="4F580700"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9640</w:t>
            </w:r>
          </w:p>
        </w:tc>
        <w:tc>
          <w:tcPr>
            <w:tcW w:w="0" w:type="auto"/>
            <w:tcBorders>
              <w:top w:val="nil"/>
              <w:left w:val="nil"/>
              <w:bottom w:val="nil"/>
              <w:right w:val="nil"/>
            </w:tcBorders>
            <w:shd w:val="clear" w:color="auto" w:fill="auto"/>
            <w:vAlign w:val="center"/>
            <w:hideMark/>
          </w:tcPr>
          <w:p w14:paraId="7F116CA1"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10.2</w:t>
            </w:r>
          </w:p>
        </w:tc>
        <w:tc>
          <w:tcPr>
            <w:tcW w:w="0" w:type="auto"/>
            <w:tcBorders>
              <w:top w:val="nil"/>
              <w:left w:val="nil"/>
              <w:bottom w:val="nil"/>
              <w:right w:val="nil"/>
            </w:tcBorders>
            <w:shd w:val="clear" w:color="auto" w:fill="auto"/>
            <w:vAlign w:val="center"/>
            <w:hideMark/>
          </w:tcPr>
          <w:p w14:paraId="5A815053"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10.1–10.4</w:t>
            </w:r>
          </w:p>
        </w:tc>
        <w:tc>
          <w:tcPr>
            <w:tcW w:w="0" w:type="auto"/>
            <w:tcBorders>
              <w:top w:val="nil"/>
              <w:left w:val="nil"/>
              <w:bottom w:val="nil"/>
              <w:right w:val="nil"/>
            </w:tcBorders>
            <w:shd w:val="clear" w:color="auto" w:fill="auto"/>
            <w:vAlign w:val="center"/>
            <w:hideMark/>
          </w:tcPr>
          <w:p w14:paraId="2DF37976"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4555</w:t>
            </w:r>
          </w:p>
        </w:tc>
        <w:tc>
          <w:tcPr>
            <w:tcW w:w="0" w:type="auto"/>
            <w:tcBorders>
              <w:top w:val="nil"/>
              <w:left w:val="nil"/>
              <w:bottom w:val="nil"/>
              <w:right w:val="nil"/>
            </w:tcBorders>
            <w:shd w:val="clear" w:color="auto" w:fill="auto"/>
            <w:vAlign w:val="center"/>
            <w:hideMark/>
          </w:tcPr>
          <w:p w14:paraId="708780A0"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11.9</w:t>
            </w:r>
          </w:p>
        </w:tc>
        <w:tc>
          <w:tcPr>
            <w:tcW w:w="0" w:type="auto"/>
            <w:tcBorders>
              <w:top w:val="nil"/>
              <w:left w:val="nil"/>
              <w:bottom w:val="nil"/>
              <w:right w:val="nil"/>
            </w:tcBorders>
            <w:shd w:val="clear" w:color="auto" w:fill="auto"/>
            <w:vAlign w:val="center"/>
            <w:hideMark/>
          </w:tcPr>
          <w:p w14:paraId="195E7562"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11.7–12.0</w:t>
            </w:r>
          </w:p>
        </w:tc>
      </w:tr>
      <w:tr w:rsidR="00906A7E" w:rsidRPr="00451533" w14:paraId="6FD4C69B" w14:textId="77777777" w:rsidTr="007C4375">
        <w:trPr>
          <w:cantSplit/>
        </w:trPr>
        <w:tc>
          <w:tcPr>
            <w:tcW w:w="0" w:type="auto"/>
            <w:vMerge/>
            <w:tcBorders>
              <w:left w:val="nil"/>
              <w:right w:val="nil"/>
            </w:tcBorders>
            <w:vAlign w:val="center"/>
            <w:hideMark/>
          </w:tcPr>
          <w:p w14:paraId="7BDA2FE9" w14:textId="77777777" w:rsidR="00906A7E" w:rsidRPr="00451533" w:rsidRDefault="00906A7E" w:rsidP="00451533">
            <w:pPr>
              <w:spacing w:line="240" w:lineRule="auto"/>
              <w:jc w:val="left"/>
              <w:rPr>
                <w:rFonts w:eastAsia="Times New Roman" w:cs="Calibri"/>
                <w:noProof w:val="0"/>
                <w:sz w:val="18"/>
                <w:szCs w:val="18"/>
              </w:rPr>
            </w:pPr>
          </w:p>
        </w:tc>
        <w:tc>
          <w:tcPr>
            <w:tcW w:w="0" w:type="auto"/>
            <w:tcBorders>
              <w:top w:val="single" w:sz="8" w:space="0" w:color="7F7F7F"/>
              <w:left w:val="nil"/>
              <w:bottom w:val="single" w:sz="8" w:space="0" w:color="7F7F7F"/>
              <w:right w:val="nil"/>
            </w:tcBorders>
            <w:shd w:val="clear" w:color="auto" w:fill="auto"/>
            <w:vAlign w:val="center"/>
            <w:hideMark/>
          </w:tcPr>
          <w:p w14:paraId="7C6CFBBF"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55–64</w:t>
            </w:r>
          </w:p>
        </w:tc>
        <w:tc>
          <w:tcPr>
            <w:tcW w:w="0" w:type="auto"/>
            <w:tcBorders>
              <w:top w:val="single" w:sz="8" w:space="0" w:color="7F7F7F"/>
              <w:left w:val="nil"/>
              <w:bottom w:val="single" w:sz="8" w:space="0" w:color="7F7F7F"/>
              <w:right w:val="nil"/>
            </w:tcBorders>
            <w:shd w:val="clear" w:color="auto" w:fill="auto"/>
            <w:vAlign w:val="center"/>
            <w:hideMark/>
          </w:tcPr>
          <w:p w14:paraId="7C02C332"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4945</w:t>
            </w:r>
          </w:p>
        </w:tc>
        <w:tc>
          <w:tcPr>
            <w:tcW w:w="0" w:type="auto"/>
            <w:tcBorders>
              <w:top w:val="single" w:sz="8" w:space="0" w:color="7F7F7F"/>
              <w:left w:val="nil"/>
              <w:bottom w:val="single" w:sz="8" w:space="0" w:color="7F7F7F"/>
              <w:right w:val="nil"/>
            </w:tcBorders>
            <w:shd w:val="clear" w:color="auto" w:fill="auto"/>
            <w:vAlign w:val="center"/>
            <w:hideMark/>
          </w:tcPr>
          <w:p w14:paraId="11075C43"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3.7</w:t>
            </w:r>
          </w:p>
        </w:tc>
        <w:tc>
          <w:tcPr>
            <w:tcW w:w="0" w:type="auto"/>
            <w:tcBorders>
              <w:top w:val="single" w:sz="8" w:space="0" w:color="7F7F7F"/>
              <w:left w:val="nil"/>
              <w:bottom w:val="single" w:sz="8" w:space="0" w:color="7F7F7F"/>
              <w:right w:val="nil"/>
            </w:tcBorders>
            <w:shd w:val="clear" w:color="auto" w:fill="auto"/>
            <w:vAlign w:val="center"/>
            <w:hideMark/>
          </w:tcPr>
          <w:p w14:paraId="626B3CFF"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3.6–3.8</w:t>
            </w:r>
          </w:p>
        </w:tc>
        <w:tc>
          <w:tcPr>
            <w:tcW w:w="0" w:type="auto"/>
            <w:tcBorders>
              <w:top w:val="single" w:sz="8" w:space="0" w:color="7F7F7F"/>
              <w:left w:val="nil"/>
              <w:bottom w:val="single" w:sz="8" w:space="0" w:color="7F7F7F"/>
              <w:right w:val="nil"/>
            </w:tcBorders>
            <w:shd w:val="clear" w:color="auto" w:fill="auto"/>
            <w:vAlign w:val="center"/>
            <w:hideMark/>
          </w:tcPr>
          <w:p w14:paraId="470FE77D"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3400</w:t>
            </w:r>
          </w:p>
        </w:tc>
        <w:tc>
          <w:tcPr>
            <w:tcW w:w="0" w:type="auto"/>
            <w:tcBorders>
              <w:top w:val="single" w:sz="8" w:space="0" w:color="7F7F7F"/>
              <w:left w:val="nil"/>
              <w:bottom w:val="single" w:sz="8" w:space="0" w:color="7F7F7F"/>
              <w:right w:val="nil"/>
            </w:tcBorders>
            <w:shd w:val="clear" w:color="auto" w:fill="auto"/>
            <w:vAlign w:val="center"/>
            <w:hideMark/>
          </w:tcPr>
          <w:p w14:paraId="483092FB"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3.6</w:t>
            </w:r>
          </w:p>
        </w:tc>
        <w:tc>
          <w:tcPr>
            <w:tcW w:w="0" w:type="auto"/>
            <w:tcBorders>
              <w:top w:val="single" w:sz="8" w:space="0" w:color="7F7F7F"/>
              <w:left w:val="nil"/>
              <w:bottom w:val="single" w:sz="8" w:space="0" w:color="7F7F7F"/>
              <w:right w:val="nil"/>
            </w:tcBorders>
            <w:shd w:val="clear" w:color="auto" w:fill="auto"/>
            <w:vAlign w:val="center"/>
            <w:hideMark/>
          </w:tcPr>
          <w:p w14:paraId="0A838898"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3.5–3.7</w:t>
            </w:r>
          </w:p>
        </w:tc>
        <w:tc>
          <w:tcPr>
            <w:tcW w:w="0" w:type="auto"/>
            <w:tcBorders>
              <w:top w:val="single" w:sz="8" w:space="0" w:color="7F7F7F"/>
              <w:left w:val="nil"/>
              <w:bottom w:val="single" w:sz="8" w:space="0" w:color="7F7F7F"/>
              <w:right w:val="nil"/>
            </w:tcBorders>
            <w:shd w:val="clear" w:color="auto" w:fill="auto"/>
            <w:vAlign w:val="center"/>
            <w:hideMark/>
          </w:tcPr>
          <w:p w14:paraId="731BE7C9"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1545</w:t>
            </w:r>
          </w:p>
        </w:tc>
        <w:tc>
          <w:tcPr>
            <w:tcW w:w="0" w:type="auto"/>
            <w:tcBorders>
              <w:top w:val="single" w:sz="8" w:space="0" w:color="7F7F7F"/>
              <w:left w:val="nil"/>
              <w:bottom w:val="single" w:sz="8" w:space="0" w:color="7F7F7F"/>
              <w:right w:val="nil"/>
            </w:tcBorders>
            <w:shd w:val="clear" w:color="auto" w:fill="auto"/>
            <w:vAlign w:val="center"/>
            <w:hideMark/>
          </w:tcPr>
          <w:p w14:paraId="10980F8C" w14:textId="79FAF0F1"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w:t>
            </w:r>
            <w:r>
              <w:rPr>
                <w:rFonts w:eastAsia="Times New Roman" w:cs="Calibri"/>
                <w:noProof w:val="0"/>
                <w:sz w:val="18"/>
                <w:szCs w:val="18"/>
                <w:lang w:val="en-GB"/>
              </w:rPr>
              <w:t>.0</w:t>
            </w:r>
          </w:p>
        </w:tc>
        <w:tc>
          <w:tcPr>
            <w:tcW w:w="0" w:type="auto"/>
            <w:tcBorders>
              <w:top w:val="single" w:sz="8" w:space="0" w:color="7F7F7F"/>
              <w:left w:val="nil"/>
              <w:bottom w:val="single" w:sz="8" w:space="0" w:color="7F7F7F"/>
              <w:right w:val="nil"/>
            </w:tcBorders>
            <w:shd w:val="clear" w:color="auto" w:fill="auto"/>
            <w:vAlign w:val="center"/>
            <w:hideMark/>
          </w:tcPr>
          <w:p w14:paraId="34991559"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3.9–4.1</w:t>
            </w:r>
          </w:p>
        </w:tc>
      </w:tr>
      <w:tr w:rsidR="00906A7E" w:rsidRPr="00451533" w14:paraId="6B5A88B1" w14:textId="77777777" w:rsidTr="007C4375">
        <w:trPr>
          <w:cantSplit/>
        </w:trPr>
        <w:tc>
          <w:tcPr>
            <w:tcW w:w="0" w:type="auto"/>
            <w:vMerge/>
            <w:tcBorders>
              <w:left w:val="nil"/>
              <w:bottom w:val="single" w:sz="8" w:space="0" w:color="7F7F7F"/>
              <w:right w:val="nil"/>
            </w:tcBorders>
            <w:vAlign w:val="center"/>
            <w:hideMark/>
          </w:tcPr>
          <w:p w14:paraId="50D408E4" w14:textId="77777777" w:rsidR="00906A7E" w:rsidRPr="00451533" w:rsidRDefault="00906A7E" w:rsidP="00451533">
            <w:pPr>
              <w:spacing w:line="240" w:lineRule="auto"/>
              <w:jc w:val="left"/>
              <w:rPr>
                <w:rFonts w:eastAsia="Times New Roman" w:cs="Calibri"/>
                <w:noProof w:val="0"/>
                <w:sz w:val="18"/>
                <w:szCs w:val="18"/>
              </w:rPr>
            </w:pPr>
          </w:p>
        </w:tc>
        <w:tc>
          <w:tcPr>
            <w:tcW w:w="0" w:type="auto"/>
            <w:tcBorders>
              <w:top w:val="nil"/>
              <w:left w:val="nil"/>
              <w:bottom w:val="single" w:sz="8" w:space="0" w:color="7F7F7F"/>
              <w:right w:val="nil"/>
            </w:tcBorders>
            <w:shd w:val="clear" w:color="auto" w:fill="auto"/>
            <w:vAlign w:val="center"/>
            <w:hideMark/>
          </w:tcPr>
          <w:p w14:paraId="7165F1E9"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65 and older</w:t>
            </w:r>
          </w:p>
        </w:tc>
        <w:tc>
          <w:tcPr>
            <w:tcW w:w="0" w:type="auto"/>
            <w:tcBorders>
              <w:top w:val="nil"/>
              <w:left w:val="nil"/>
              <w:bottom w:val="single" w:sz="8" w:space="0" w:color="7F7F7F"/>
              <w:right w:val="nil"/>
            </w:tcBorders>
            <w:shd w:val="clear" w:color="auto" w:fill="auto"/>
            <w:vAlign w:val="center"/>
            <w:hideMark/>
          </w:tcPr>
          <w:p w14:paraId="6EFE64BD"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2915</w:t>
            </w:r>
          </w:p>
        </w:tc>
        <w:tc>
          <w:tcPr>
            <w:tcW w:w="0" w:type="auto"/>
            <w:tcBorders>
              <w:top w:val="nil"/>
              <w:left w:val="nil"/>
              <w:bottom w:val="single" w:sz="8" w:space="0" w:color="7F7F7F"/>
              <w:right w:val="nil"/>
            </w:tcBorders>
            <w:shd w:val="clear" w:color="auto" w:fill="auto"/>
            <w:vAlign w:val="center"/>
            <w:hideMark/>
          </w:tcPr>
          <w:p w14:paraId="306B927C"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2.2</w:t>
            </w:r>
          </w:p>
        </w:tc>
        <w:tc>
          <w:tcPr>
            <w:tcW w:w="0" w:type="auto"/>
            <w:tcBorders>
              <w:top w:val="nil"/>
              <w:left w:val="nil"/>
              <w:bottom w:val="single" w:sz="8" w:space="0" w:color="7F7F7F"/>
              <w:right w:val="nil"/>
            </w:tcBorders>
            <w:shd w:val="clear" w:color="auto" w:fill="auto"/>
            <w:vAlign w:val="center"/>
            <w:hideMark/>
          </w:tcPr>
          <w:p w14:paraId="29DF6136"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2.1–2.3</w:t>
            </w:r>
          </w:p>
        </w:tc>
        <w:tc>
          <w:tcPr>
            <w:tcW w:w="0" w:type="auto"/>
            <w:tcBorders>
              <w:top w:val="nil"/>
              <w:left w:val="nil"/>
              <w:bottom w:val="single" w:sz="8" w:space="0" w:color="7F7F7F"/>
              <w:right w:val="nil"/>
            </w:tcBorders>
            <w:shd w:val="clear" w:color="auto" w:fill="auto"/>
            <w:vAlign w:val="center"/>
            <w:hideMark/>
          </w:tcPr>
          <w:p w14:paraId="79A11700"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1645</w:t>
            </w:r>
          </w:p>
        </w:tc>
        <w:tc>
          <w:tcPr>
            <w:tcW w:w="0" w:type="auto"/>
            <w:tcBorders>
              <w:top w:val="nil"/>
              <w:left w:val="nil"/>
              <w:bottom w:val="single" w:sz="8" w:space="0" w:color="7F7F7F"/>
              <w:right w:val="nil"/>
            </w:tcBorders>
            <w:shd w:val="clear" w:color="auto" w:fill="auto"/>
            <w:vAlign w:val="center"/>
            <w:hideMark/>
          </w:tcPr>
          <w:p w14:paraId="33FC58A8"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1.7</w:t>
            </w:r>
          </w:p>
        </w:tc>
        <w:tc>
          <w:tcPr>
            <w:tcW w:w="0" w:type="auto"/>
            <w:tcBorders>
              <w:top w:val="nil"/>
              <w:left w:val="nil"/>
              <w:bottom w:val="single" w:sz="8" w:space="0" w:color="7F7F7F"/>
              <w:right w:val="nil"/>
            </w:tcBorders>
            <w:shd w:val="clear" w:color="auto" w:fill="auto"/>
            <w:vAlign w:val="center"/>
            <w:hideMark/>
          </w:tcPr>
          <w:p w14:paraId="72E1F008"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1.7–1.8</w:t>
            </w:r>
          </w:p>
        </w:tc>
        <w:tc>
          <w:tcPr>
            <w:tcW w:w="0" w:type="auto"/>
            <w:tcBorders>
              <w:top w:val="nil"/>
              <w:left w:val="nil"/>
              <w:bottom w:val="single" w:sz="8" w:space="0" w:color="7F7F7F"/>
              <w:right w:val="nil"/>
            </w:tcBorders>
            <w:shd w:val="clear" w:color="auto" w:fill="auto"/>
            <w:vAlign w:val="center"/>
            <w:hideMark/>
          </w:tcPr>
          <w:p w14:paraId="60C25C4A"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1265</w:t>
            </w:r>
          </w:p>
        </w:tc>
        <w:tc>
          <w:tcPr>
            <w:tcW w:w="0" w:type="auto"/>
            <w:tcBorders>
              <w:top w:val="nil"/>
              <w:left w:val="nil"/>
              <w:bottom w:val="single" w:sz="8" w:space="0" w:color="7F7F7F"/>
              <w:right w:val="nil"/>
            </w:tcBorders>
            <w:shd w:val="clear" w:color="auto" w:fill="auto"/>
            <w:vAlign w:val="center"/>
            <w:hideMark/>
          </w:tcPr>
          <w:p w14:paraId="1B5B669D"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3.3</w:t>
            </w:r>
          </w:p>
        </w:tc>
        <w:tc>
          <w:tcPr>
            <w:tcW w:w="0" w:type="auto"/>
            <w:tcBorders>
              <w:top w:val="nil"/>
              <w:left w:val="nil"/>
              <w:bottom w:val="single" w:sz="8" w:space="0" w:color="7F7F7F"/>
              <w:right w:val="nil"/>
            </w:tcBorders>
            <w:shd w:val="clear" w:color="auto" w:fill="auto"/>
            <w:vAlign w:val="center"/>
            <w:hideMark/>
          </w:tcPr>
          <w:p w14:paraId="1C7C65CF" w14:textId="77777777" w:rsidR="00906A7E" w:rsidRPr="00451533" w:rsidRDefault="00906A7E"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3.2–3.4</w:t>
            </w:r>
          </w:p>
        </w:tc>
      </w:tr>
      <w:tr w:rsidR="00451533" w:rsidRPr="00451533" w14:paraId="7A8DE459" w14:textId="77777777" w:rsidTr="00906A7E">
        <w:trPr>
          <w:cantSplit/>
        </w:trPr>
        <w:tc>
          <w:tcPr>
            <w:tcW w:w="0" w:type="auto"/>
            <w:tcBorders>
              <w:top w:val="nil"/>
              <w:left w:val="nil"/>
              <w:bottom w:val="single" w:sz="8" w:space="0" w:color="7F7F7F"/>
              <w:right w:val="nil"/>
            </w:tcBorders>
            <w:shd w:val="clear" w:color="auto" w:fill="auto"/>
            <w:vAlign w:val="center"/>
            <w:hideMark/>
          </w:tcPr>
          <w:p w14:paraId="0B3AEDFB" w14:textId="77777777" w:rsidR="00451533" w:rsidRPr="00451533" w:rsidRDefault="00451533" w:rsidP="00451533">
            <w:pPr>
              <w:spacing w:line="240" w:lineRule="auto"/>
              <w:jc w:val="left"/>
              <w:rPr>
                <w:rFonts w:eastAsia="Times New Roman" w:cs="Calibri"/>
                <w:noProof w:val="0"/>
                <w:sz w:val="18"/>
                <w:szCs w:val="18"/>
              </w:rPr>
            </w:pPr>
            <w:r w:rsidRPr="00451533">
              <w:rPr>
                <w:rFonts w:eastAsia="Times New Roman" w:cs="Calibri"/>
                <w:noProof w:val="0"/>
                <w:sz w:val="18"/>
                <w:szCs w:val="18"/>
                <w:lang w:val="en-GB"/>
              </w:rPr>
              <w:t> </w:t>
            </w:r>
          </w:p>
        </w:tc>
        <w:tc>
          <w:tcPr>
            <w:tcW w:w="0" w:type="auto"/>
            <w:tcBorders>
              <w:top w:val="nil"/>
              <w:left w:val="nil"/>
              <w:bottom w:val="single" w:sz="8" w:space="0" w:color="7F7F7F"/>
              <w:right w:val="nil"/>
            </w:tcBorders>
            <w:shd w:val="clear" w:color="auto" w:fill="auto"/>
            <w:vAlign w:val="center"/>
            <w:hideMark/>
          </w:tcPr>
          <w:p w14:paraId="6EC87D70"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 xml:space="preserve">Missing </w:t>
            </w:r>
          </w:p>
        </w:tc>
        <w:tc>
          <w:tcPr>
            <w:tcW w:w="0" w:type="auto"/>
            <w:tcBorders>
              <w:top w:val="nil"/>
              <w:left w:val="nil"/>
              <w:bottom w:val="single" w:sz="8" w:space="0" w:color="7F7F7F"/>
              <w:right w:val="nil"/>
            </w:tcBorders>
            <w:shd w:val="clear" w:color="auto" w:fill="auto"/>
            <w:vAlign w:val="center"/>
            <w:hideMark/>
          </w:tcPr>
          <w:p w14:paraId="1C8127ED"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690</w:t>
            </w:r>
          </w:p>
        </w:tc>
        <w:tc>
          <w:tcPr>
            <w:tcW w:w="0" w:type="auto"/>
            <w:tcBorders>
              <w:top w:val="nil"/>
              <w:left w:val="nil"/>
              <w:bottom w:val="single" w:sz="8" w:space="0" w:color="7F7F7F"/>
              <w:right w:val="nil"/>
            </w:tcBorders>
            <w:shd w:val="clear" w:color="auto" w:fill="auto"/>
            <w:vAlign w:val="center"/>
            <w:hideMark/>
          </w:tcPr>
          <w:p w14:paraId="21E57ADA"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0.5</w:t>
            </w:r>
          </w:p>
        </w:tc>
        <w:tc>
          <w:tcPr>
            <w:tcW w:w="0" w:type="auto"/>
            <w:tcBorders>
              <w:top w:val="nil"/>
              <w:left w:val="nil"/>
              <w:bottom w:val="single" w:sz="8" w:space="0" w:color="7F7F7F"/>
              <w:right w:val="nil"/>
            </w:tcBorders>
            <w:shd w:val="clear" w:color="auto" w:fill="auto"/>
            <w:vAlign w:val="center"/>
            <w:hideMark/>
          </w:tcPr>
          <w:p w14:paraId="7BA6C92B"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0.5–0.6</w:t>
            </w:r>
          </w:p>
        </w:tc>
        <w:tc>
          <w:tcPr>
            <w:tcW w:w="0" w:type="auto"/>
            <w:tcBorders>
              <w:top w:val="nil"/>
              <w:left w:val="nil"/>
              <w:bottom w:val="single" w:sz="8" w:space="0" w:color="7F7F7F"/>
              <w:right w:val="nil"/>
            </w:tcBorders>
            <w:shd w:val="clear" w:color="auto" w:fill="auto"/>
            <w:vAlign w:val="center"/>
            <w:hideMark/>
          </w:tcPr>
          <w:p w14:paraId="48807DDE"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w:t>
            </w:r>
          </w:p>
        </w:tc>
        <w:tc>
          <w:tcPr>
            <w:tcW w:w="0" w:type="auto"/>
            <w:tcBorders>
              <w:top w:val="nil"/>
              <w:left w:val="nil"/>
              <w:bottom w:val="single" w:sz="8" w:space="0" w:color="7F7F7F"/>
              <w:right w:val="nil"/>
            </w:tcBorders>
            <w:shd w:val="clear" w:color="auto" w:fill="auto"/>
            <w:vAlign w:val="center"/>
            <w:hideMark/>
          </w:tcPr>
          <w:p w14:paraId="0469823F"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w:t>
            </w:r>
          </w:p>
        </w:tc>
        <w:tc>
          <w:tcPr>
            <w:tcW w:w="0" w:type="auto"/>
            <w:tcBorders>
              <w:top w:val="nil"/>
              <w:left w:val="nil"/>
              <w:bottom w:val="single" w:sz="8" w:space="0" w:color="7F7F7F"/>
              <w:right w:val="nil"/>
            </w:tcBorders>
            <w:shd w:val="clear" w:color="auto" w:fill="auto"/>
            <w:vAlign w:val="center"/>
            <w:hideMark/>
          </w:tcPr>
          <w:p w14:paraId="5EB66122"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w:t>
            </w:r>
          </w:p>
        </w:tc>
        <w:tc>
          <w:tcPr>
            <w:tcW w:w="0" w:type="auto"/>
            <w:tcBorders>
              <w:top w:val="nil"/>
              <w:left w:val="nil"/>
              <w:bottom w:val="single" w:sz="8" w:space="0" w:color="7F7F7F"/>
              <w:right w:val="nil"/>
            </w:tcBorders>
            <w:shd w:val="clear" w:color="auto" w:fill="auto"/>
            <w:vAlign w:val="center"/>
            <w:hideMark/>
          </w:tcPr>
          <w:p w14:paraId="15B942AD"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w:t>
            </w:r>
          </w:p>
        </w:tc>
        <w:tc>
          <w:tcPr>
            <w:tcW w:w="0" w:type="auto"/>
            <w:tcBorders>
              <w:top w:val="nil"/>
              <w:left w:val="nil"/>
              <w:bottom w:val="single" w:sz="8" w:space="0" w:color="7F7F7F"/>
              <w:right w:val="nil"/>
            </w:tcBorders>
            <w:shd w:val="clear" w:color="auto" w:fill="auto"/>
            <w:vAlign w:val="center"/>
            <w:hideMark/>
          </w:tcPr>
          <w:p w14:paraId="7F3F9AD8"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w:t>
            </w:r>
          </w:p>
        </w:tc>
        <w:tc>
          <w:tcPr>
            <w:tcW w:w="0" w:type="auto"/>
            <w:tcBorders>
              <w:top w:val="nil"/>
              <w:left w:val="nil"/>
              <w:bottom w:val="single" w:sz="8" w:space="0" w:color="7F7F7F"/>
              <w:right w:val="nil"/>
            </w:tcBorders>
            <w:shd w:val="clear" w:color="auto" w:fill="auto"/>
            <w:vAlign w:val="center"/>
            <w:hideMark/>
          </w:tcPr>
          <w:p w14:paraId="462452EB"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w:t>
            </w:r>
          </w:p>
        </w:tc>
      </w:tr>
      <w:tr w:rsidR="00451533" w:rsidRPr="00451533" w14:paraId="00FD8C7E" w14:textId="77777777" w:rsidTr="00906A7E">
        <w:trPr>
          <w:cantSplit/>
        </w:trPr>
        <w:tc>
          <w:tcPr>
            <w:tcW w:w="0" w:type="auto"/>
            <w:vMerge w:val="restart"/>
            <w:tcBorders>
              <w:top w:val="nil"/>
              <w:left w:val="nil"/>
              <w:bottom w:val="single" w:sz="8" w:space="0" w:color="7F7F7F"/>
              <w:right w:val="nil"/>
            </w:tcBorders>
            <w:shd w:val="clear" w:color="auto" w:fill="auto"/>
            <w:vAlign w:val="center"/>
            <w:hideMark/>
          </w:tcPr>
          <w:p w14:paraId="307E2883" w14:textId="77777777" w:rsidR="00451533" w:rsidRPr="00451533" w:rsidRDefault="00451533" w:rsidP="00451533">
            <w:pPr>
              <w:spacing w:line="240" w:lineRule="auto"/>
              <w:jc w:val="left"/>
              <w:rPr>
                <w:rFonts w:eastAsia="Times New Roman" w:cs="Calibri"/>
                <w:b/>
                <w:noProof w:val="0"/>
                <w:sz w:val="18"/>
                <w:szCs w:val="18"/>
              </w:rPr>
            </w:pPr>
            <w:r w:rsidRPr="00451533">
              <w:rPr>
                <w:rFonts w:eastAsia="Times New Roman" w:cs="Calibri"/>
                <w:b/>
                <w:noProof w:val="0"/>
                <w:sz w:val="18"/>
                <w:szCs w:val="18"/>
                <w:lang w:val="en-GB"/>
              </w:rPr>
              <w:t>Index of Multiple Deprivation (IMD) deciles</w:t>
            </w:r>
          </w:p>
        </w:tc>
        <w:tc>
          <w:tcPr>
            <w:tcW w:w="0" w:type="auto"/>
            <w:tcBorders>
              <w:top w:val="nil"/>
              <w:left w:val="nil"/>
              <w:bottom w:val="single" w:sz="8" w:space="0" w:color="7F7F7F"/>
              <w:right w:val="nil"/>
            </w:tcBorders>
            <w:shd w:val="clear" w:color="auto" w:fill="auto"/>
            <w:vAlign w:val="center"/>
            <w:hideMark/>
          </w:tcPr>
          <w:p w14:paraId="72E4FEEE"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Least deprived 10%</w:t>
            </w:r>
          </w:p>
        </w:tc>
        <w:tc>
          <w:tcPr>
            <w:tcW w:w="0" w:type="auto"/>
            <w:tcBorders>
              <w:top w:val="nil"/>
              <w:left w:val="nil"/>
              <w:bottom w:val="single" w:sz="8" w:space="0" w:color="7F7F7F"/>
              <w:right w:val="nil"/>
            </w:tcBorders>
            <w:shd w:val="clear" w:color="auto" w:fill="auto"/>
            <w:vAlign w:val="center"/>
            <w:hideMark/>
          </w:tcPr>
          <w:p w14:paraId="5614EC64"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5050</w:t>
            </w:r>
          </w:p>
        </w:tc>
        <w:tc>
          <w:tcPr>
            <w:tcW w:w="0" w:type="auto"/>
            <w:tcBorders>
              <w:top w:val="nil"/>
              <w:left w:val="nil"/>
              <w:bottom w:val="single" w:sz="8" w:space="0" w:color="7F7F7F"/>
              <w:right w:val="nil"/>
            </w:tcBorders>
            <w:shd w:val="clear" w:color="auto" w:fill="auto"/>
            <w:vAlign w:val="center"/>
            <w:hideMark/>
          </w:tcPr>
          <w:p w14:paraId="7BBDA2F3"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3.8</w:t>
            </w:r>
          </w:p>
        </w:tc>
        <w:tc>
          <w:tcPr>
            <w:tcW w:w="0" w:type="auto"/>
            <w:tcBorders>
              <w:top w:val="nil"/>
              <w:left w:val="nil"/>
              <w:bottom w:val="single" w:sz="8" w:space="0" w:color="7F7F7F"/>
              <w:right w:val="nil"/>
            </w:tcBorders>
            <w:shd w:val="clear" w:color="auto" w:fill="auto"/>
            <w:vAlign w:val="center"/>
            <w:hideMark/>
          </w:tcPr>
          <w:p w14:paraId="35213053"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3.7–3.9</w:t>
            </w:r>
          </w:p>
        </w:tc>
        <w:tc>
          <w:tcPr>
            <w:tcW w:w="0" w:type="auto"/>
            <w:tcBorders>
              <w:top w:val="nil"/>
              <w:left w:val="nil"/>
              <w:bottom w:val="single" w:sz="8" w:space="0" w:color="7F7F7F"/>
              <w:right w:val="nil"/>
            </w:tcBorders>
            <w:shd w:val="clear" w:color="auto" w:fill="auto"/>
            <w:vAlign w:val="center"/>
            <w:hideMark/>
          </w:tcPr>
          <w:p w14:paraId="5547B74B"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3760</w:t>
            </w:r>
          </w:p>
        </w:tc>
        <w:tc>
          <w:tcPr>
            <w:tcW w:w="0" w:type="auto"/>
            <w:tcBorders>
              <w:top w:val="nil"/>
              <w:left w:val="nil"/>
              <w:bottom w:val="single" w:sz="8" w:space="0" w:color="7F7F7F"/>
              <w:right w:val="nil"/>
            </w:tcBorders>
            <w:shd w:val="clear" w:color="auto" w:fill="auto"/>
            <w:vAlign w:val="center"/>
            <w:hideMark/>
          </w:tcPr>
          <w:p w14:paraId="3B4F9B9A" w14:textId="67409744"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4</w:t>
            </w:r>
            <w:r w:rsidR="001230EC">
              <w:rPr>
                <w:rFonts w:eastAsia="Times New Roman" w:cs="Calibri"/>
                <w:bCs/>
                <w:noProof w:val="0"/>
                <w:sz w:val="18"/>
                <w:szCs w:val="18"/>
                <w:lang w:val="en-GB"/>
              </w:rPr>
              <w:t>.0</w:t>
            </w:r>
          </w:p>
        </w:tc>
        <w:tc>
          <w:tcPr>
            <w:tcW w:w="0" w:type="auto"/>
            <w:tcBorders>
              <w:top w:val="nil"/>
              <w:left w:val="nil"/>
              <w:bottom w:val="single" w:sz="8" w:space="0" w:color="7F7F7F"/>
              <w:right w:val="nil"/>
            </w:tcBorders>
            <w:shd w:val="clear" w:color="auto" w:fill="auto"/>
            <w:vAlign w:val="center"/>
            <w:hideMark/>
          </w:tcPr>
          <w:p w14:paraId="7811373D"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3.9–4.1</w:t>
            </w:r>
          </w:p>
        </w:tc>
        <w:tc>
          <w:tcPr>
            <w:tcW w:w="0" w:type="auto"/>
            <w:tcBorders>
              <w:top w:val="nil"/>
              <w:left w:val="nil"/>
              <w:bottom w:val="single" w:sz="8" w:space="0" w:color="7F7F7F"/>
              <w:right w:val="nil"/>
            </w:tcBorders>
            <w:shd w:val="clear" w:color="auto" w:fill="auto"/>
            <w:vAlign w:val="center"/>
            <w:hideMark/>
          </w:tcPr>
          <w:p w14:paraId="47810643"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1290</w:t>
            </w:r>
          </w:p>
        </w:tc>
        <w:tc>
          <w:tcPr>
            <w:tcW w:w="0" w:type="auto"/>
            <w:tcBorders>
              <w:top w:val="nil"/>
              <w:left w:val="nil"/>
              <w:bottom w:val="single" w:sz="8" w:space="0" w:color="7F7F7F"/>
              <w:right w:val="nil"/>
            </w:tcBorders>
            <w:shd w:val="clear" w:color="auto" w:fill="auto"/>
            <w:vAlign w:val="center"/>
            <w:hideMark/>
          </w:tcPr>
          <w:p w14:paraId="3BDA0FC8"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3.4</w:t>
            </w:r>
          </w:p>
        </w:tc>
        <w:tc>
          <w:tcPr>
            <w:tcW w:w="0" w:type="auto"/>
            <w:tcBorders>
              <w:top w:val="nil"/>
              <w:left w:val="nil"/>
              <w:bottom w:val="single" w:sz="8" w:space="0" w:color="7F7F7F"/>
              <w:right w:val="nil"/>
            </w:tcBorders>
            <w:shd w:val="clear" w:color="auto" w:fill="auto"/>
            <w:vAlign w:val="center"/>
            <w:hideMark/>
          </w:tcPr>
          <w:p w14:paraId="379C4486" w14:textId="77777777" w:rsidR="00451533" w:rsidRPr="00451533" w:rsidRDefault="00451533" w:rsidP="00451533">
            <w:pPr>
              <w:spacing w:line="240" w:lineRule="auto"/>
              <w:jc w:val="right"/>
              <w:rPr>
                <w:rFonts w:eastAsia="Times New Roman" w:cs="Calibri"/>
                <w:bCs/>
                <w:noProof w:val="0"/>
                <w:sz w:val="18"/>
                <w:szCs w:val="18"/>
              </w:rPr>
            </w:pPr>
            <w:r w:rsidRPr="00451533">
              <w:rPr>
                <w:rFonts w:eastAsia="Times New Roman" w:cs="Calibri"/>
                <w:bCs/>
                <w:noProof w:val="0"/>
                <w:sz w:val="18"/>
                <w:szCs w:val="18"/>
                <w:lang w:val="en-GB"/>
              </w:rPr>
              <w:t>3.2–3.5</w:t>
            </w:r>
          </w:p>
        </w:tc>
      </w:tr>
      <w:tr w:rsidR="00451533" w:rsidRPr="00451533" w14:paraId="1D4B36DA" w14:textId="77777777" w:rsidTr="00906A7E">
        <w:trPr>
          <w:cantSplit/>
        </w:trPr>
        <w:tc>
          <w:tcPr>
            <w:tcW w:w="0" w:type="auto"/>
            <w:vMerge/>
            <w:tcBorders>
              <w:top w:val="nil"/>
              <w:left w:val="nil"/>
              <w:bottom w:val="single" w:sz="8" w:space="0" w:color="7F7F7F"/>
              <w:right w:val="nil"/>
            </w:tcBorders>
            <w:vAlign w:val="center"/>
            <w:hideMark/>
          </w:tcPr>
          <w:p w14:paraId="1A038003"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nil"/>
              <w:left w:val="nil"/>
              <w:bottom w:val="single" w:sz="8" w:space="0" w:color="7F7F7F"/>
              <w:right w:val="nil"/>
            </w:tcBorders>
            <w:shd w:val="clear" w:color="auto" w:fill="auto"/>
            <w:vAlign w:val="center"/>
            <w:hideMark/>
          </w:tcPr>
          <w:p w14:paraId="1352BC7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w:t>
            </w:r>
          </w:p>
        </w:tc>
        <w:tc>
          <w:tcPr>
            <w:tcW w:w="0" w:type="auto"/>
            <w:tcBorders>
              <w:top w:val="nil"/>
              <w:left w:val="nil"/>
              <w:bottom w:val="single" w:sz="8" w:space="0" w:color="7F7F7F"/>
              <w:right w:val="nil"/>
            </w:tcBorders>
            <w:shd w:val="clear" w:color="auto" w:fill="auto"/>
            <w:vAlign w:val="center"/>
            <w:hideMark/>
          </w:tcPr>
          <w:p w14:paraId="6814401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6435</w:t>
            </w:r>
          </w:p>
        </w:tc>
        <w:tc>
          <w:tcPr>
            <w:tcW w:w="0" w:type="auto"/>
            <w:tcBorders>
              <w:top w:val="nil"/>
              <w:left w:val="nil"/>
              <w:bottom w:val="single" w:sz="8" w:space="0" w:color="7F7F7F"/>
              <w:right w:val="nil"/>
            </w:tcBorders>
            <w:shd w:val="clear" w:color="auto" w:fill="auto"/>
            <w:vAlign w:val="center"/>
            <w:hideMark/>
          </w:tcPr>
          <w:p w14:paraId="6BEB65F1"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4.8</w:t>
            </w:r>
          </w:p>
        </w:tc>
        <w:tc>
          <w:tcPr>
            <w:tcW w:w="0" w:type="auto"/>
            <w:tcBorders>
              <w:top w:val="nil"/>
              <w:left w:val="nil"/>
              <w:bottom w:val="single" w:sz="8" w:space="0" w:color="7F7F7F"/>
              <w:right w:val="nil"/>
            </w:tcBorders>
            <w:shd w:val="clear" w:color="auto" w:fill="auto"/>
            <w:vAlign w:val="center"/>
            <w:hideMark/>
          </w:tcPr>
          <w:p w14:paraId="40B2BDE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4.7–4.9</w:t>
            </w:r>
          </w:p>
        </w:tc>
        <w:tc>
          <w:tcPr>
            <w:tcW w:w="0" w:type="auto"/>
            <w:tcBorders>
              <w:top w:val="nil"/>
              <w:left w:val="nil"/>
              <w:bottom w:val="single" w:sz="8" w:space="0" w:color="7F7F7F"/>
              <w:right w:val="nil"/>
            </w:tcBorders>
            <w:shd w:val="clear" w:color="auto" w:fill="auto"/>
            <w:vAlign w:val="center"/>
            <w:hideMark/>
          </w:tcPr>
          <w:p w14:paraId="242BD109"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4785</w:t>
            </w:r>
          </w:p>
        </w:tc>
        <w:tc>
          <w:tcPr>
            <w:tcW w:w="0" w:type="auto"/>
            <w:tcBorders>
              <w:top w:val="nil"/>
              <w:left w:val="nil"/>
              <w:bottom w:val="single" w:sz="8" w:space="0" w:color="7F7F7F"/>
              <w:right w:val="nil"/>
            </w:tcBorders>
            <w:shd w:val="clear" w:color="auto" w:fill="auto"/>
            <w:vAlign w:val="center"/>
            <w:hideMark/>
          </w:tcPr>
          <w:p w14:paraId="3FFF0DC0"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5.1</w:t>
            </w:r>
          </w:p>
        </w:tc>
        <w:tc>
          <w:tcPr>
            <w:tcW w:w="0" w:type="auto"/>
            <w:tcBorders>
              <w:top w:val="nil"/>
              <w:left w:val="nil"/>
              <w:bottom w:val="single" w:sz="8" w:space="0" w:color="7F7F7F"/>
              <w:right w:val="nil"/>
            </w:tcBorders>
            <w:shd w:val="clear" w:color="auto" w:fill="auto"/>
            <w:vAlign w:val="center"/>
            <w:hideMark/>
          </w:tcPr>
          <w:p w14:paraId="36BF6388"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4.9–5.2</w:t>
            </w:r>
          </w:p>
        </w:tc>
        <w:tc>
          <w:tcPr>
            <w:tcW w:w="0" w:type="auto"/>
            <w:tcBorders>
              <w:top w:val="nil"/>
              <w:left w:val="nil"/>
              <w:bottom w:val="single" w:sz="8" w:space="0" w:color="7F7F7F"/>
              <w:right w:val="nil"/>
            </w:tcBorders>
            <w:shd w:val="clear" w:color="auto" w:fill="auto"/>
            <w:vAlign w:val="center"/>
            <w:hideMark/>
          </w:tcPr>
          <w:p w14:paraId="675A17A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1650</w:t>
            </w:r>
          </w:p>
        </w:tc>
        <w:tc>
          <w:tcPr>
            <w:tcW w:w="0" w:type="auto"/>
            <w:tcBorders>
              <w:top w:val="nil"/>
              <w:left w:val="nil"/>
              <w:bottom w:val="single" w:sz="8" w:space="0" w:color="7F7F7F"/>
              <w:right w:val="nil"/>
            </w:tcBorders>
            <w:shd w:val="clear" w:color="auto" w:fill="auto"/>
            <w:vAlign w:val="center"/>
            <w:hideMark/>
          </w:tcPr>
          <w:p w14:paraId="0649FA79"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4.3</w:t>
            </w:r>
          </w:p>
        </w:tc>
        <w:tc>
          <w:tcPr>
            <w:tcW w:w="0" w:type="auto"/>
            <w:tcBorders>
              <w:top w:val="nil"/>
              <w:left w:val="nil"/>
              <w:bottom w:val="single" w:sz="8" w:space="0" w:color="7F7F7F"/>
              <w:right w:val="nil"/>
            </w:tcBorders>
            <w:shd w:val="clear" w:color="auto" w:fill="auto"/>
            <w:vAlign w:val="center"/>
            <w:hideMark/>
          </w:tcPr>
          <w:p w14:paraId="5F1AAC27"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4.1–4.5</w:t>
            </w:r>
          </w:p>
        </w:tc>
      </w:tr>
      <w:tr w:rsidR="00451533" w:rsidRPr="00451533" w14:paraId="00E98111" w14:textId="77777777" w:rsidTr="00906A7E">
        <w:trPr>
          <w:cantSplit/>
        </w:trPr>
        <w:tc>
          <w:tcPr>
            <w:tcW w:w="0" w:type="auto"/>
            <w:vMerge/>
            <w:tcBorders>
              <w:top w:val="nil"/>
              <w:left w:val="nil"/>
              <w:bottom w:val="single" w:sz="8" w:space="0" w:color="7F7F7F"/>
              <w:right w:val="nil"/>
            </w:tcBorders>
            <w:vAlign w:val="center"/>
            <w:hideMark/>
          </w:tcPr>
          <w:p w14:paraId="69840523"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nil"/>
              <w:left w:val="nil"/>
              <w:bottom w:val="nil"/>
              <w:right w:val="nil"/>
            </w:tcBorders>
            <w:shd w:val="clear" w:color="auto" w:fill="auto"/>
            <w:vAlign w:val="center"/>
            <w:hideMark/>
          </w:tcPr>
          <w:p w14:paraId="08C5F58C"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w:t>
            </w:r>
          </w:p>
        </w:tc>
        <w:tc>
          <w:tcPr>
            <w:tcW w:w="0" w:type="auto"/>
            <w:tcBorders>
              <w:top w:val="nil"/>
              <w:left w:val="nil"/>
              <w:bottom w:val="nil"/>
              <w:right w:val="nil"/>
            </w:tcBorders>
            <w:shd w:val="clear" w:color="auto" w:fill="auto"/>
            <w:vAlign w:val="center"/>
            <w:hideMark/>
          </w:tcPr>
          <w:p w14:paraId="2D69A991"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7235</w:t>
            </w:r>
          </w:p>
        </w:tc>
        <w:tc>
          <w:tcPr>
            <w:tcW w:w="0" w:type="auto"/>
            <w:tcBorders>
              <w:top w:val="nil"/>
              <w:left w:val="nil"/>
              <w:bottom w:val="nil"/>
              <w:right w:val="nil"/>
            </w:tcBorders>
            <w:shd w:val="clear" w:color="auto" w:fill="auto"/>
            <w:vAlign w:val="center"/>
            <w:hideMark/>
          </w:tcPr>
          <w:p w14:paraId="499AF1DF"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5.4</w:t>
            </w:r>
          </w:p>
        </w:tc>
        <w:tc>
          <w:tcPr>
            <w:tcW w:w="0" w:type="auto"/>
            <w:tcBorders>
              <w:top w:val="nil"/>
              <w:left w:val="nil"/>
              <w:bottom w:val="nil"/>
              <w:right w:val="nil"/>
            </w:tcBorders>
            <w:shd w:val="clear" w:color="auto" w:fill="auto"/>
            <w:vAlign w:val="center"/>
            <w:hideMark/>
          </w:tcPr>
          <w:p w14:paraId="583DDBD1"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5.3–5.5</w:t>
            </w:r>
          </w:p>
        </w:tc>
        <w:tc>
          <w:tcPr>
            <w:tcW w:w="0" w:type="auto"/>
            <w:tcBorders>
              <w:top w:val="nil"/>
              <w:left w:val="nil"/>
              <w:bottom w:val="nil"/>
              <w:right w:val="nil"/>
            </w:tcBorders>
            <w:shd w:val="clear" w:color="auto" w:fill="auto"/>
            <w:vAlign w:val="center"/>
            <w:hideMark/>
          </w:tcPr>
          <w:p w14:paraId="5826B8AA"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5290</w:t>
            </w:r>
          </w:p>
        </w:tc>
        <w:tc>
          <w:tcPr>
            <w:tcW w:w="0" w:type="auto"/>
            <w:tcBorders>
              <w:top w:val="nil"/>
              <w:left w:val="nil"/>
              <w:bottom w:val="nil"/>
              <w:right w:val="nil"/>
            </w:tcBorders>
            <w:shd w:val="clear" w:color="auto" w:fill="auto"/>
            <w:vAlign w:val="center"/>
            <w:hideMark/>
          </w:tcPr>
          <w:p w14:paraId="6087467F"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5.6</w:t>
            </w:r>
          </w:p>
        </w:tc>
        <w:tc>
          <w:tcPr>
            <w:tcW w:w="0" w:type="auto"/>
            <w:tcBorders>
              <w:top w:val="nil"/>
              <w:left w:val="nil"/>
              <w:bottom w:val="nil"/>
              <w:right w:val="nil"/>
            </w:tcBorders>
            <w:shd w:val="clear" w:color="auto" w:fill="auto"/>
            <w:vAlign w:val="center"/>
            <w:hideMark/>
          </w:tcPr>
          <w:p w14:paraId="40A84FD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5.5–5.8</w:t>
            </w:r>
          </w:p>
        </w:tc>
        <w:tc>
          <w:tcPr>
            <w:tcW w:w="0" w:type="auto"/>
            <w:tcBorders>
              <w:top w:val="nil"/>
              <w:left w:val="nil"/>
              <w:bottom w:val="nil"/>
              <w:right w:val="nil"/>
            </w:tcBorders>
            <w:shd w:val="clear" w:color="auto" w:fill="auto"/>
            <w:vAlign w:val="center"/>
            <w:hideMark/>
          </w:tcPr>
          <w:p w14:paraId="140B3BC1"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1945</w:t>
            </w:r>
          </w:p>
        </w:tc>
        <w:tc>
          <w:tcPr>
            <w:tcW w:w="0" w:type="auto"/>
            <w:tcBorders>
              <w:top w:val="nil"/>
              <w:left w:val="nil"/>
              <w:bottom w:val="nil"/>
              <w:right w:val="nil"/>
            </w:tcBorders>
            <w:shd w:val="clear" w:color="auto" w:fill="auto"/>
            <w:vAlign w:val="center"/>
            <w:hideMark/>
          </w:tcPr>
          <w:p w14:paraId="0E00166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5.1</w:t>
            </w:r>
          </w:p>
        </w:tc>
        <w:tc>
          <w:tcPr>
            <w:tcW w:w="0" w:type="auto"/>
            <w:tcBorders>
              <w:top w:val="nil"/>
              <w:left w:val="nil"/>
              <w:bottom w:val="nil"/>
              <w:right w:val="nil"/>
            </w:tcBorders>
            <w:shd w:val="clear" w:color="auto" w:fill="auto"/>
            <w:vAlign w:val="center"/>
            <w:hideMark/>
          </w:tcPr>
          <w:p w14:paraId="34677B14"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4.8–5.3</w:t>
            </w:r>
          </w:p>
        </w:tc>
      </w:tr>
      <w:tr w:rsidR="00451533" w:rsidRPr="00451533" w14:paraId="65B2582D" w14:textId="77777777" w:rsidTr="00906A7E">
        <w:trPr>
          <w:cantSplit/>
        </w:trPr>
        <w:tc>
          <w:tcPr>
            <w:tcW w:w="0" w:type="auto"/>
            <w:vMerge/>
            <w:tcBorders>
              <w:top w:val="nil"/>
              <w:left w:val="nil"/>
              <w:bottom w:val="single" w:sz="8" w:space="0" w:color="7F7F7F"/>
              <w:right w:val="nil"/>
            </w:tcBorders>
            <w:vAlign w:val="center"/>
            <w:hideMark/>
          </w:tcPr>
          <w:p w14:paraId="190911A4"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single" w:sz="8" w:space="0" w:color="7F7F7F"/>
              <w:left w:val="nil"/>
              <w:bottom w:val="single" w:sz="8" w:space="0" w:color="7F7F7F"/>
              <w:right w:val="nil"/>
            </w:tcBorders>
            <w:shd w:val="clear" w:color="auto" w:fill="auto"/>
            <w:vAlign w:val="center"/>
            <w:hideMark/>
          </w:tcPr>
          <w:p w14:paraId="0BF6775B"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w:t>
            </w:r>
          </w:p>
        </w:tc>
        <w:tc>
          <w:tcPr>
            <w:tcW w:w="0" w:type="auto"/>
            <w:tcBorders>
              <w:top w:val="single" w:sz="8" w:space="0" w:color="7F7F7F"/>
              <w:left w:val="nil"/>
              <w:bottom w:val="single" w:sz="8" w:space="0" w:color="7F7F7F"/>
              <w:right w:val="nil"/>
            </w:tcBorders>
            <w:shd w:val="clear" w:color="auto" w:fill="auto"/>
            <w:vAlign w:val="center"/>
            <w:hideMark/>
          </w:tcPr>
          <w:p w14:paraId="094D949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8110</w:t>
            </w:r>
          </w:p>
        </w:tc>
        <w:tc>
          <w:tcPr>
            <w:tcW w:w="0" w:type="auto"/>
            <w:tcBorders>
              <w:top w:val="single" w:sz="8" w:space="0" w:color="7F7F7F"/>
              <w:left w:val="nil"/>
              <w:bottom w:val="single" w:sz="8" w:space="0" w:color="7F7F7F"/>
              <w:right w:val="nil"/>
            </w:tcBorders>
            <w:shd w:val="clear" w:color="auto" w:fill="auto"/>
            <w:vAlign w:val="center"/>
            <w:hideMark/>
          </w:tcPr>
          <w:p w14:paraId="0049713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6.1</w:t>
            </w:r>
          </w:p>
        </w:tc>
        <w:tc>
          <w:tcPr>
            <w:tcW w:w="0" w:type="auto"/>
            <w:tcBorders>
              <w:top w:val="single" w:sz="8" w:space="0" w:color="7F7F7F"/>
              <w:left w:val="nil"/>
              <w:bottom w:val="single" w:sz="8" w:space="0" w:color="7F7F7F"/>
              <w:right w:val="nil"/>
            </w:tcBorders>
            <w:shd w:val="clear" w:color="auto" w:fill="auto"/>
            <w:vAlign w:val="center"/>
            <w:hideMark/>
          </w:tcPr>
          <w:p w14:paraId="1C88B704"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6.0–6.2</w:t>
            </w:r>
          </w:p>
        </w:tc>
        <w:tc>
          <w:tcPr>
            <w:tcW w:w="0" w:type="auto"/>
            <w:tcBorders>
              <w:top w:val="single" w:sz="8" w:space="0" w:color="7F7F7F"/>
              <w:left w:val="nil"/>
              <w:bottom w:val="single" w:sz="8" w:space="0" w:color="7F7F7F"/>
              <w:right w:val="nil"/>
            </w:tcBorders>
            <w:shd w:val="clear" w:color="auto" w:fill="auto"/>
            <w:vAlign w:val="center"/>
            <w:hideMark/>
          </w:tcPr>
          <w:p w14:paraId="43E1CB7D"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5850</w:t>
            </w:r>
          </w:p>
        </w:tc>
        <w:tc>
          <w:tcPr>
            <w:tcW w:w="0" w:type="auto"/>
            <w:tcBorders>
              <w:top w:val="single" w:sz="8" w:space="0" w:color="7F7F7F"/>
              <w:left w:val="nil"/>
              <w:bottom w:val="single" w:sz="8" w:space="0" w:color="7F7F7F"/>
              <w:right w:val="nil"/>
            </w:tcBorders>
            <w:shd w:val="clear" w:color="auto" w:fill="auto"/>
            <w:vAlign w:val="center"/>
            <w:hideMark/>
          </w:tcPr>
          <w:p w14:paraId="48485F60"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6.2</w:t>
            </w:r>
          </w:p>
        </w:tc>
        <w:tc>
          <w:tcPr>
            <w:tcW w:w="0" w:type="auto"/>
            <w:tcBorders>
              <w:top w:val="single" w:sz="8" w:space="0" w:color="7F7F7F"/>
              <w:left w:val="nil"/>
              <w:bottom w:val="single" w:sz="8" w:space="0" w:color="7F7F7F"/>
              <w:right w:val="nil"/>
            </w:tcBorders>
            <w:shd w:val="clear" w:color="auto" w:fill="auto"/>
            <w:vAlign w:val="center"/>
            <w:hideMark/>
          </w:tcPr>
          <w:p w14:paraId="1B7FC9AF"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6.1–6.4</w:t>
            </w:r>
          </w:p>
        </w:tc>
        <w:tc>
          <w:tcPr>
            <w:tcW w:w="0" w:type="auto"/>
            <w:tcBorders>
              <w:top w:val="single" w:sz="8" w:space="0" w:color="7F7F7F"/>
              <w:left w:val="nil"/>
              <w:bottom w:val="single" w:sz="8" w:space="0" w:color="7F7F7F"/>
              <w:right w:val="nil"/>
            </w:tcBorders>
            <w:shd w:val="clear" w:color="auto" w:fill="auto"/>
            <w:vAlign w:val="center"/>
            <w:hideMark/>
          </w:tcPr>
          <w:p w14:paraId="1068EFF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2260</w:t>
            </w:r>
          </w:p>
        </w:tc>
        <w:tc>
          <w:tcPr>
            <w:tcW w:w="0" w:type="auto"/>
            <w:tcBorders>
              <w:top w:val="single" w:sz="8" w:space="0" w:color="7F7F7F"/>
              <w:left w:val="nil"/>
              <w:bottom w:val="single" w:sz="8" w:space="0" w:color="7F7F7F"/>
              <w:right w:val="nil"/>
            </w:tcBorders>
            <w:shd w:val="clear" w:color="auto" w:fill="auto"/>
            <w:vAlign w:val="center"/>
            <w:hideMark/>
          </w:tcPr>
          <w:p w14:paraId="24CA320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5.9</w:t>
            </w:r>
          </w:p>
        </w:tc>
        <w:tc>
          <w:tcPr>
            <w:tcW w:w="0" w:type="auto"/>
            <w:tcBorders>
              <w:top w:val="single" w:sz="8" w:space="0" w:color="7F7F7F"/>
              <w:left w:val="nil"/>
              <w:bottom w:val="single" w:sz="8" w:space="0" w:color="7F7F7F"/>
              <w:right w:val="nil"/>
            </w:tcBorders>
            <w:shd w:val="clear" w:color="auto" w:fill="auto"/>
            <w:vAlign w:val="center"/>
            <w:hideMark/>
          </w:tcPr>
          <w:p w14:paraId="7BED9D24"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5.6–6.1</w:t>
            </w:r>
          </w:p>
        </w:tc>
      </w:tr>
      <w:tr w:rsidR="00451533" w:rsidRPr="00451533" w14:paraId="3D4553A4" w14:textId="77777777" w:rsidTr="00906A7E">
        <w:trPr>
          <w:cantSplit/>
        </w:trPr>
        <w:tc>
          <w:tcPr>
            <w:tcW w:w="0" w:type="auto"/>
            <w:vMerge/>
            <w:tcBorders>
              <w:top w:val="nil"/>
              <w:left w:val="nil"/>
              <w:bottom w:val="single" w:sz="8" w:space="0" w:color="7F7F7F"/>
              <w:right w:val="nil"/>
            </w:tcBorders>
            <w:vAlign w:val="center"/>
            <w:hideMark/>
          </w:tcPr>
          <w:p w14:paraId="05ED97FC"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nil"/>
              <w:left w:val="nil"/>
              <w:bottom w:val="nil"/>
              <w:right w:val="nil"/>
            </w:tcBorders>
            <w:shd w:val="clear" w:color="auto" w:fill="auto"/>
            <w:vAlign w:val="center"/>
            <w:hideMark/>
          </w:tcPr>
          <w:p w14:paraId="06EC45AA"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w:t>
            </w:r>
          </w:p>
        </w:tc>
        <w:tc>
          <w:tcPr>
            <w:tcW w:w="0" w:type="auto"/>
            <w:tcBorders>
              <w:top w:val="nil"/>
              <w:left w:val="nil"/>
              <w:bottom w:val="nil"/>
              <w:right w:val="nil"/>
            </w:tcBorders>
            <w:shd w:val="clear" w:color="auto" w:fill="auto"/>
            <w:vAlign w:val="center"/>
            <w:hideMark/>
          </w:tcPr>
          <w:p w14:paraId="31393731"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9360</w:t>
            </w:r>
          </w:p>
        </w:tc>
        <w:tc>
          <w:tcPr>
            <w:tcW w:w="0" w:type="auto"/>
            <w:tcBorders>
              <w:top w:val="nil"/>
              <w:left w:val="nil"/>
              <w:bottom w:val="nil"/>
              <w:right w:val="nil"/>
            </w:tcBorders>
            <w:shd w:val="clear" w:color="auto" w:fill="auto"/>
            <w:vAlign w:val="center"/>
            <w:hideMark/>
          </w:tcPr>
          <w:p w14:paraId="7B07219F" w14:textId="60AF2E59"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7</w:t>
            </w:r>
            <w:r w:rsidR="001230EC">
              <w:rPr>
                <w:rFonts w:eastAsia="Times New Roman" w:cs="Calibri"/>
                <w:noProof w:val="0"/>
                <w:sz w:val="18"/>
                <w:szCs w:val="18"/>
                <w:lang w:val="en-GB"/>
              </w:rPr>
              <w:t>.0</w:t>
            </w:r>
          </w:p>
        </w:tc>
        <w:tc>
          <w:tcPr>
            <w:tcW w:w="0" w:type="auto"/>
            <w:tcBorders>
              <w:top w:val="nil"/>
              <w:left w:val="nil"/>
              <w:bottom w:val="nil"/>
              <w:right w:val="nil"/>
            </w:tcBorders>
            <w:shd w:val="clear" w:color="auto" w:fill="auto"/>
            <w:vAlign w:val="center"/>
            <w:hideMark/>
          </w:tcPr>
          <w:p w14:paraId="5BA1D442"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6.9–7.2</w:t>
            </w:r>
          </w:p>
        </w:tc>
        <w:tc>
          <w:tcPr>
            <w:tcW w:w="0" w:type="auto"/>
            <w:tcBorders>
              <w:top w:val="nil"/>
              <w:left w:val="nil"/>
              <w:bottom w:val="nil"/>
              <w:right w:val="nil"/>
            </w:tcBorders>
            <w:shd w:val="clear" w:color="auto" w:fill="auto"/>
            <w:vAlign w:val="center"/>
            <w:hideMark/>
          </w:tcPr>
          <w:p w14:paraId="6A58DFC9"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6685</w:t>
            </w:r>
          </w:p>
        </w:tc>
        <w:tc>
          <w:tcPr>
            <w:tcW w:w="0" w:type="auto"/>
            <w:tcBorders>
              <w:top w:val="nil"/>
              <w:left w:val="nil"/>
              <w:bottom w:val="nil"/>
              <w:right w:val="nil"/>
            </w:tcBorders>
            <w:shd w:val="clear" w:color="auto" w:fill="auto"/>
            <w:vAlign w:val="center"/>
            <w:hideMark/>
          </w:tcPr>
          <w:p w14:paraId="6E8E0CDD"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7.1</w:t>
            </w:r>
          </w:p>
        </w:tc>
        <w:tc>
          <w:tcPr>
            <w:tcW w:w="0" w:type="auto"/>
            <w:tcBorders>
              <w:top w:val="nil"/>
              <w:left w:val="nil"/>
              <w:bottom w:val="nil"/>
              <w:right w:val="nil"/>
            </w:tcBorders>
            <w:shd w:val="clear" w:color="auto" w:fill="auto"/>
            <w:vAlign w:val="center"/>
            <w:hideMark/>
          </w:tcPr>
          <w:p w14:paraId="5A907B3C"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6.9–7.3</w:t>
            </w:r>
          </w:p>
        </w:tc>
        <w:tc>
          <w:tcPr>
            <w:tcW w:w="0" w:type="auto"/>
            <w:tcBorders>
              <w:top w:val="nil"/>
              <w:left w:val="nil"/>
              <w:bottom w:val="nil"/>
              <w:right w:val="nil"/>
            </w:tcBorders>
            <w:shd w:val="clear" w:color="auto" w:fill="auto"/>
            <w:vAlign w:val="center"/>
            <w:hideMark/>
          </w:tcPr>
          <w:p w14:paraId="73D49DDC"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2675</w:t>
            </w:r>
          </w:p>
        </w:tc>
        <w:tc>
          <w:tcPr>
            <w:tcW w:w="0" w:type="auto"/>
            <w:tcBorders>
              <w:top w:val="nil"/>
              <w:left w:val="nil"/>
              <w:bottom w:val="nil"/>
              <w:right w:val="nil"/>
            </w:tcBorders>
            <w:shd w:val="clear" w:color="auto" w:fill="auto"/>
            <w:vAlign w:val="center"/>
            <w:hideMark/>
          </w:tcPr>
          <w:p w14:paraId="3EB904CC" w14:textId="670A58C4"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7</w:t>
            </w:r>
            <w:r w:rsidR="007A5297">
              <w:rPr>
                <w:rFonts w:eastAsia="Times New Roman" w:cs="Calibri"/>
                <w:noProof w:val="0"/>
                <w:sz w:val="18"/>
                <w:szCs w:val="18"/>
                <w:lang w:val="en-GB"/>
              </w:rPr>
              <w:t>.0</w:t>
            </w:r>
          </w:p>
        </w:tc>
        <w:tc>
          <w:tcPr>
            <w:tcW w:w="0" w:type="auto"/>
            <w:tcBorders>
              <w:top w:val="nil"/>
              <w:left w:val="nil"/>
              <w:bottom w:val="nil"/>
              <w:right w:val="nil"/>
            </w:tcBorders>
            <w:shd w:val="clear" w:color="auto" w:fill="auto"/>
            <w:vAlign w:val="center"/>
            <w:hideMark/>
          </w:tcPr>
          <w:p w14:paraId="5AF9D3F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6.7–7.2</w:t>
            </w:r>
          </w:p>
        </w:tc>
      </w:tr>
      <w:tr w:rsidR="00451533" w:rsidRPr="00451533" w14:paraId="28969E5F" w14:textId="77777777" w:rsidTr="00906A7E">
        <w:trPr>
          <w:cantSplit/>
        </w:trPr>
        <w:tc>
          <w:tcPr>
            <w:tcW w:w="0" w:type="auto"/>
            <w:vMerge/>
            <w:tcBorders>
              <w:top w:val="nil"/>
              <w:left w:val="nil"/>
              <w:bottom w:val="single" w:sz="8" w:space="0" w:color="7F7F7F"/>
              <w:right w:val="nil"/>
            </w:tcBorders>
            <w:vAlign w:val="center"/>
            <w:hideMark/>
          </w:tcPr>
          <w:p w14:paraId="27A69B2A"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single" w:sz="8" w:space="0" w:color="7F7F7F"/>
              <w:left w:val="nil"/>
              <w:bottom w:val="single" w:sz="8" w:space="0" w:color="7F7F7F"/>
              <w:right w:val="nil"/>
            </w:tcBorders>
            <w:shd w:val="clear" w:color="auto" w:fill="auto"/>
            <w:vAlign w:val="center"/>
            <w:hideMark/>
          </w:tcPr>
          <w:p w14:paraId="3D9B52E7"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w:t>
            </w:r>
          </w:p>
        </w:tc>
        <w:tc>
          <w:tcPr>
            <w:tcW w:w="0" w:type="auto"/>
            <w:tcBorders>
              <w:top w:val="single" w:sz="8" w:space="0" w:color="7F7F7F"/>
              <w:left w:val="nil"/>
              <w:bottom w:val="single" w:sz="8" w:space="0" w:color="7F7F7F"/>
              <w:right w:val="nil"/>
            </w:tcBorders>
            <w:shd w:val="clear" w:color="auto" w:fill="auto"/>
            <w:vAlign w:val="center"/>
            <w:hideMark/>
          </w:tcPr>
          <w:p w14:paraId="0AC84E0C"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22,070</w:t>
            </w:r>
          </w:p>
        </w:tc>
        <w:tc>
          <w:tcPr>
            <w:tcW w:w="0" w:type="auto"/>
            <w:tcBorders>
              <w:top w:val="single" w:sz="8" w:space="0" w:color="7F7F7F"/>
              <w:left w:val="nil"/>
              <w:bottom w:val="single" w:sz="8" w:space="0" w:color="7F7F7F"/>
              <w:right w:val="nil"/>
            </w:tcBorders>
            <w:shd w:val="clear" w:color="auto" w:fill="auto"/>
            <w:vAlign w:val="center"/>
            <w:hideMark/>
          </w:tcPr>
          <w:p w14:paraId="4166EBF0"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16.5</w:t>
            </w:r>
          </w:p>
        </w:tc>
        <w:tc>
          <w:tcPr>
            <w:tcW w:w="0" w:type="auto"/>
            <w:tcBorders>
              <w:top w:val="single" w:sz="8" w:space="0" w:color="7F7F7F"/>
              <w:left w:val="nil"/>
              <w:bottom w:val="single" w:sz="8" w:space="0" w:color="7F7F7F"/>
              <w:right w:val="nil"/>
            </w:tcBorders>
            <w:shd w:val="clear" w:color="auto" w:fill="auto"/>
            <w:vAlign w:val="center"/>
            <w:hideMark/>
          </w:tcPr>
          <w:p w14:paraId="24763E44"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16.3–16.7</w:t>
            </w:r>
          </w:p>
        </w:tc>
        <w:tc>
          <w:tcPr>
            <w:tcW w:w="0" w:type="auto"/>
            <w:tcBorders>
              <w:top w:val="single" w:sz="8" w:space="0" w:color="7F7F7F"/>
              <w:left w:val="nil"/>
              <w:bottom w:val="single" w:sz="8" w:space="0" w:color="7F7F7F"/>
              <w:right w:val="nil"/>
            </w:tcBorders>
            <w:shd w:val="clear" w:color="auto" w:fill="auto"/>
            <w:vAlign w:val="center"/>
            <w:hideMark/>
          </w:tcPr>
          <w:p w14:paraId="673F75A4"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15,305</w:t>
            </w:r>
          </w:p>
        </w:tc>
        <w:tc>
          <w:tcPr>
            <w:tcW w:w="0" w:type="auto"/>
            <w:tcBorders>
              <w:top w:val="single" w:sz="8" w:space="0" w:color="7F7F7F"/>
              <w:left w:val="nil"/>
              <w:bottom w:val="single" w:sz="8" w:space="0" w:color="7F7F7F"/>
              <w:right w:val="nil"/>
            </w:tcBorders>
            <w:shd w:val="clear" w:color="auto" w:fill="auto"/>
            <w:vAlign w:val="center"/>
            <w:hideMark/>
          </w:tcPr>
          <w:p w14:paraId="0891049A"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16.2</w:t>
            </w:r>
          </w:p>
        </w:tc>
        <w:tc>
          <w:tcPr>
            <w:tcW w:w="0" w:type="auto"/>
            <w:tcBorders>
              <w:top w:val="single" w:sz="8" w:space="0" w:color="7F7F7F"/>
              <w:left w:val="nil"/>
              <w:bottom w:val="single" w:sz="8" w:space="0" w:color="7F7F7F"/>
              <w:right w:val="nil"/>
            </w:tcBorders>
            <w:shd w:val="clear" w:color="auto" w:fill="auto"/>
            <w:vAlign w:val="center"/>
            <w:hideMark/>
          </w:tcPr>
          <w:p w14:paraId="3E6A2A4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16.0–16.5</w:t>
            </w:r>
          </w:p>
        </w:tc>
        <w:tc>
          <w:tcPr>
            <w:tcW w:w="0" w:type="auto"/>
            <w:tcBorders>
              <w:top w:val="single" w:sz="8" w:space="0" w:color="7F7F7F"/>
              <w:left w:val="nil"/>
              <w:bottom w:val="single" w:sz="8" w:space="0" w:color="7F7F7F"/>
              <w:right w:val="nil"/>
            </w:tcBorders>
            <w:shd w:val="clear" w:color="auto" w:fill="auto"/>
            <w:vAlign w:val="center"/>
            <w:hideMark/>
          </w:tcPr>
          <w:p w14:paraId="09E42D87"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6760</w:t>
            </w:r>
          </w:p>
        </w:tc>
        <w:tc>
          <w:tcPr>
            <w:tcW w:w="0" w:type="auto"/>
            <w:tcBorders>
              <w:top w:val="single" w:sz="8" w:space="0" w:color="7F7F7F"/>
              <w:left w:val="nil"/>
              <w:bottom w:val="single" w:sz="8" w:space="0" w:color="7F7F7F"/>
              <w:right w:val="nil"/>
            </w:tcBorders>
            <w:shd w:val="clear" w:color="auto" w:fill="auto"/>
            <w:vAlign w:val="center"/>
            <w:hideMark/>
          </w:tcPr>
          <w:p w14:paraId="11B337B6"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17.6</w:t>
            </w:r>
          </w:p>
        </w:tc>
        <w:tc>
          <w:tcPr>
            <w:tcW w:w="0" w:type="auto"/>
            <w:tcBorders>
              <w:top w:val="single" w:sz="8" w:space="0" w:color="7F7F7F"/>
              <w:left w:val="nil"/>
              <w:bottom w:val="single" w:sz="8" w:space="0" w:color="7F7F7F"/>
              <w:right w:val="nil"/>
            </w:tcBorders>
            <w:shd w:val="clear" w:color="auto" w:fill="auto"/>
            <w:vAlign w:val="center"/>
            <w:hideMark/>
          </w:tcPr>
          <w:p w14:paraId="236D0647"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17.2–18.0</w:t>
            </w:r>
          </w:p>
        </w:tc>
      </w:tr>
      <w:tr w:rsidR="00451533" w:rsidRPr="00451533" w14:paraId="5FB84558" w14:textId="77777777" w:rsidTr="00906A7E">
        <w:trPr>
          <w:cantSplit/>
        </w:trPr>
        <w:tc>
          <w:tcPr>
            <w:tcW w:w="0" w:type="auto"/>
            <w:vMerge/>
            <w:tcBorders>
              <w:top w:val="nil"/>
              <w:left w:val="nil"/>
              <w:bottom w:val="single" w:sz="8" w:space="0" w:color="7F7F7F"/>
              <w:right w:val="nil"/>
            </w:tcBorders>
            <w:vAlign w:val="center"/>
            <w:hideMark/>
          </w:tcPr>
          <w:p w14:paraId="35466E6A"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nil"/>
              <w:left w:val="nil"/>
              <w:bottom w:val="nil"/>
              <w:right w:val="nil"/>
            </w:tcBorders>
            <w:shd w:val="clear" w:color="auto" w:fill="auto"/>
            <w:vAlign w:val="center"/>
            <w:hideMark/>
          </w:tcPr>
          <w:p w14:paraId="6A06B26B"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7</w:t>
            </w:r>
          </w:p>
        </w:tc>
        <w:tc>
          <w:tcPr>
            <w:tcW w:w="0" w:type="auto"/>
            <w:tcBorders>
              <w:top w:val="nil"/>
              <w:left w:val="nil"/>
              <w:bottom w:val="nil"/>
              <w:right w:val="nil"/>
            </w:tcBorders>
            <w:shd w:val="clear" w:color="auto" w:fill="auto"/>
            <w:vAlign w:val="center"/>
            <w:hideMark/>
          </w:tcPr>
          <w:p w14:paraId="1DF7B1E0"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17,190</w:t>
            </w:r>
          </w:p>
        </w:tc>
        <w:tc>
          <w:tcPr>
            <w:tcW w:w="0" w:type="auto"/>
            <w:tcBorders>
              <w:top w:val="nil"/>
              <w:left w:val="nil"/>
              <w:bottom w:val="nil"/>
              <w:right w:val="nil"/>
            </w:tcBorders>
            <w:shd w:val="clear" w:color="auto" w:fill="auto"/>
            <w:vAlign w:val="center"/>
            <w:hideMark/>
          </w:tcPr>
          <w:p w14:paraId="426FB3A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12.9</w:t>
            </w:r>
          </w:p>
        </w:tc>
        <w:tc>
          <w:tcPr>
            <w:tcW w:w="0" w:type="auto"/>
            <w:tcBorders>
              <w:top w:val="nil"/>
              <w:left w:val="nil"/>
              <w:bottom w:val="nil"/>
              <w:right w:val="nil"/>
            </w:tcBorders>
            <w:shd w:val="clear" w:color="auto" w:fill="auto"/>
            <w:vAlign w:val="center"/>
            <w:hideMark/>
          </w:tcPr>
          <w:p w14:paraId="524B8F8A"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12.7–13.1</w:t>
            </w:r>
          </w:p>
        </w:tc>
        <w:tc>
          <w:tcPr>
            <w:tcW w:w="0" w:type="auto"/>
            <w:tcBorders>
              <w:top w:val="nil"/>
              <w:left w:val="nil"/>
              <w:bottom w:val="nil"/>
              <w:right w:val="nil"/>
            </w:tcBorders>
            <w:shd w:val="clear" w:color="auto" w:fill="auto"/>
            <w:vAlign w:val="center"/>
            <w:hideMark/>
          </w:tcPr>
          <w:p w14:paraId="37CE8FBA"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11,935</w:t>
            </w:r>
          </w:p>
        </w:tc>
        <w:tc>
          <w:tcPr>
            <w:tcW w:w="0" w:type="auto"/>
            <w:tcBorders>
              <w:top w:val="nil"/>
              <w:left w:val="nil"/>
              <w:bottom w:val="nil"/>
              <w:right w:val="nil"/>
            </w:tcBorders>
            <w:shd w:val="clear" w:color="auto" w:fill="auto"/>
            <w:vAlign w:val="center"/>
            <w:hideMark/>
          </w:tcPr>
          <w:p w14:paraId="0A6CB04F"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12.7</w:t>
            </w:r>
          </w:p>
        </w:tc>
        <w:tc>
          <w:tcPr>
            <w:tcW w:w="0" w:type="auto"/>
            <w:tcBorders>
              <w:top w:val="nil"/>
              <w:left w:val="nil"/>
              <w:bottom w:val="nil"/>
              <w:right w:val="nil"/>
            </w:tcBorders>
            <w:shd w:val="clear" w:color="auto" w:fill="auto"/>
            <w:vAlign w:val="center"/>
            <w:hideMark/>
          </w:tcPr>
          <w:p w14:paraId="06B48318"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12.4–12.9</w:t>
            </w:r>
          </w:p>
        </w:tc>
        <w:tc>
          <w:tcPr>
            <w:tcW w:w="0" w:type="auto"/>
            <w:tcBorders>
              <w:top w:val="nil"/>
              <w:left w:val="nil"/>
              <w:bottom w:val="nil"/>
              <w:right w:val="nil"/>
            </w:tcBorders>
            <w:shd w:val="clear" w:color="auto" w:fill="auto"/>
            <w:vAlign w:val="center"/>
            <w:hideMark/>
          </w:tcPr>
          <w:p w14:paraId="5615F2A1"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5255</w:t>
            </w:r>
          </w:p>
        </w:tc>
        <w:tc>
          <w:tcPr>
            <w:tcW w:w="0" w:type="auto"/>
            <w:tcBorders>
              <w:top w:val="nil"/>
              <w:left w:val="nil"/>
              <w:bottom w:val="nil"/>
              <w:right w:val="nil"/>
            </w:tcBorders>
            <w:shd w:val="clear" w:color="auto" w:fill="auto"/>
            <w:vAlign w:val="center"/>
            <w:hideMark/>
          </w:tcPr>
          <w:p w14:paraId="2309EC32"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13.7</w:t>
            </w:r>
          </w:p>
        </w:tc>
        <w:tc>
          <w:tcPr>
            <w:tcW w:w="0" w:type="auto"/>
            <w:tcBorders>
              <w:top w:val="nil"/>
              <w:left w:val="nil"/>
              <w:bottom w:val="nil"/>
              <w:right w:val="nil"/>
            </w:tcBorders>
            <w:shd w:val="clear" w:color="auto" w:fill="auto"/>
            <w:vAlign w:val="center"/>
            <w:hideMark/>
          </w:tcPr>
          <w:p w14:paraId="4EB70E9C"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13.3–14.0</w:t>
            </w:r>
          </w:p>
        </w:tc>
      </w:tr>
      <w:tr w:rsidR="00451533" w:rsidRPr="00451533" w14:paraId="465566EC" w14:textId="77777777" w:rsidTr="00906A7E">
        <w:trPr>
          <w:cantSplit/>
        </w:trPr>
        <w:tc>
          <w:tcPr>
            <w:tcW w:w="0" w:type="auto"/>
            <w:vMerge/>
            <w:tcBorders>
              <w:top w:val="nil"/>
              <w:left w:val="nil"/>
              <w:bottom w:val="single" w:sz="8" w:space="0" w:color="7F7F7F"/>
              <w:right w:val="nil"/>
            </w:tcBorders>
            <w:vAlign w:val="center"/>
            <w:hideMark/>
          </w:tcPr>
          <w:p w14:paraId="3B493688"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single" w:sz="8" w:space="0" w:color="7F7F7F"/>
              <w:left w:val="nil"/>
              <w:bottom w:val="single" w:sz="8" w:space="0" w:color="7F7F7F"/>
              <w:right w:val="nil"/>
            </w:tcBorders>
            <w:shd w:val="clear" w:color="auto" w:fill="auto"/>
            <w:vAlign w:val="center"/>
            <w:hideMark/>
          </w:tcPr>
          <w:p w14:paraId="02BDD906"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8</w:t>
            </w:r>
          </w:p>
        </w:tc>
        <w:tc>
          <w:tcPr>
            <w:tcW w:w="0" w:type="auto"/>
            <w:tcBorders>
              <w:top w:val="single" w:sz="8" w:space="0" w:color="7F7F7F"/>
              <w:left w:val="nil"/>
              <w:bottom w:val="single" w:sz="8" w:space="0" w:color="7F7F7F"/>
              <w:right w:val="nil"/>
            </w:tcBorders>
            <w:shd w:val="clear" w:color="auto" w:fill="auto"/>
            <w:vAlign w:val="center"/>
            <w:hideMark/>
          </w:tcPr>
          <w:p w14:paraId="483B77F2"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13,690</w:t>
            </w:r>
          </w:p>
        </w:tc>
        <w:tc>
          <w:tcPr>
            <w:tcW w:w="0" w:type="auto"/>
            <w:tcBorders>
              <w:top w:val="single" w:sz="8" w:space="0" w:color="7F7F7F"/>
              <w:left w:val="nil"/>
              <w:bottom w:val="single" w:sz="8" w:space="0" w:color="7F7F7F"/>
              <w:right w:val="nil"/>
            </w:tcBorders>
            <w:shd w:val="clear" w:color="auto" w:fill="auto"/>
            <w:vAlign w:val="center"/>
            <w:hideMark/>
          </w:tcPr>
          <w:p w14:paraId="2C7564AC"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10.3</w:t>
            </w:r>
          </w:p>
        </w:tc>
        <w:tc>
          <w:tcPr>
            <w:tcW w:w="0" w:type="auto"/>
            <w:tcBorders>
              <w:top w:val="single" w:sz="8" w:space="0" w:color="7F7F7F"/>
              <w:left w:val="nil"/>
              <w:bottom w:val="single" w:sz="8" w:space="0" w:color="7F7F7F"/>
              <w:right w:val="nil"/>
            </w:tcBorders>
            <w:shd w:val="clear" w:color="auto" w:fill="auto"/>
            <w:vAlign w:val="center"/>
            <w:hideMark/>
          </w:tcPr>
          <w:p w14:paraId="2EA3D83A"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10.1–10.4</w:t>
            </w:r>
          </w:p>
        </w:tc>
        <w:tc>
          <w:tcPr>
            <w:tcW w:w="0" w:type="auto"/>
            <w:tcBorders>
              <w:top w:val="single" w:sz="8" w:space="0" w:color="7F7F7F"/>
              <w:left w:val="nil"/>
              <w:bottom w:val="single" w:sz="8" w:space="0" w:color="7F7F7F"/>
              <w:right w:val="nil"/>
            </w:tcBorders>
            <w:shd w:val="clear" w:color="auto" w:fill="auto"/>
            <w:vAlign w:val="center"/>
            <w:hideMark/>
          </w:tcPr>
          <w:p w14:paraId="5EAAF652"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9615</w:t>
            </w:r>
          </w:p>
        </w:tc>
        <w:tc>
          <w:tcPr>
            <w:tcW w:w="0" w:type="auto"/>
            <w:tcBorders>
              <w:top w:val="single" w:sz="8" w:space="0" w:color="7F7F7F"/>
              <w:left w:val="nil"/>
              <w:bottom w:val="single" w:sz="8" w:space="0" w:color="7F7F7F"/>
              <w:right w:val="nil"/>
            </w:tcBorders>
            <w:shd w:val="clear" w:color="auto" w:fill="auto"/>
            <w:vAlign w:val="center"/>
            <w:hideMark/>
          </w:tcPr>
          <w:p w14:paraId="5FB88C0B"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10.2</w:t>
            </w:r>
          </w:p>
        </w:tc>
        <w:tc>
          <w:tcPr>
            <w:tcW w:w="0" w:type="auto"/>
            <w:tcBorders>
              <w:top w:val="single" w:sz="8" w:space="0" w:color="7F7F7F"/>
              <w:left w:val="nil"/>
              <w:bottom w:val="single" w:sz="8" w:space="0" w:color="7F7F7F"/>
              <w:right w:val="nil"/>
            </w:tcBorders>
            <w:shd w:val="clear" w:color="auto" w:fill="auto"/>
            <w:vAlign w:val="center"/>
            <w:hideMark/>
          </w:tcPr>
          <w:p w14:paraId="45E15D2F"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10.0–10.4</w:t>
            </w:r>
          </w:p>
        </w:tc>
        <w:tc>
          <w:tcPr>
            <w:tcW w:w="0" w:type="auto"/>
            <w:tcBorders>
              <w:top w:val="single" w:sz="8" w:space="0" w:color="7F7F7F"/>
              <w:left w:val="nil"/>
              <w:bottom w:val="single" w:sz="8" w:space="0" w:color="7F7F7F"/>
              <w:right w:val="nil"/>
            </w:tcBorders>
            <w:shd w:val="clear" w:color="auto" w:fill="auto"/>
            <w:vAlign w:val="center"/>
            <w:hideMark/>
          </w:tcPr>
          <w:p w14:paraId="71C0B01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4070</w:t>
            </w:r>
          </w:p>
        </w:tc>
        <w:tc>
          <w:tcPr>
            <w:tcW w:w="0" w:type="auto"/>
            <w:tcBorders>
              <w:top w:val="single" w:sz="8" w:space="0" w:color="7F7F7F"/>
              <w:left w:val="nil"/>
              <w:bottom w:val="single" w:sz="8" w:space="0" w:color="7F7F7F"/>
              <w:right w:val="nil"/>
            </w:tcBorders>
            <w:shd w:val="clear" w:color="auto" w:fill="auto"/>
            <w:vAlign w:val="center"/>
            <w:hideMark/>
          </w:tcPr>
          <w:p w14:paraId="083017EF"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10.6</w:t>
            </w:r>
          </w:p>
        </w:tc>
        <w:tc>
          <w:tcPr>
            <w:tcW w:w="0" w:type="auto"/>
            <w:tcBorders>
              <w:top w:val="single" w:sz="8" w:space="0" w:color="7F7F7F"/>
              <w:left w:val="nil"/>
              <w:bottom w:val="single" w:sz="8" w:space="0" w:color="7F7F7F"/>
              <w:right w:val="nil"/>
            </w:tcBorders>
            <w:shd w:val="clear" w:color="auto" w:fill="auto"/>
            <w:vAlign w:val="center"/>
            <w:hideMark/>
          </w:tcPr>
          <w:p w14:paraId="3812DA81"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10.3–10.9</w:t>
            </w:r>
          </w:p>
        </w:tc>
      </w:tr>
      <w:tr w:rsidR="00451533" w:rsidRPr="00451533" w14:paraId="5CA696B1" w14:textId="77777777" w:rsidTr="00906A7E">
        <w:trPr>
          <w:cantSplit/>
        </w:trPr>
        <w:tc>
          <w:tcPr>
            <w:tcW w:w="0" w:type="auto"/>
            <w:vMerge/>
            <w:tcBorders>
              <w:top w:val="nil"/>
              <w:left w:val="nil"/>
              <w:bottom w:val="single" w:sz="8" w:space="0" w:color="7F7F7F"/>
              <w:right w:val="nil"/>
            </w:tcBorders>
            <w:vAlign w:val="center"/>
            <w:hideMark/>
          </w:tcPr>
          <w:p w14:paraId="555A4054"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nil"/>
              <w:left w:val="nil"/>
              <w:bottom w:val="nil"/>
              <w:right w:val="nil"/>
            </w:tcBorders>
            <w:shd w:val="clear" w:color="auto" w:fill="auto"/>
            <w:vAlign w:val="center"/>
            <w:hideMark/>
          </w:tcPr>
          <w:p w14:paraId="0262B322"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9</w:t>
            </w:r>
          </w:p>
        </w:tc>
        <w:tc>
          <w:tcPr>
            <w:tcW w:w="0" w:type="auto"/>
            <w:tcBorders>
              <w:top w:val="nil"/>
              <w:left w:val="nil"/>
              <w:bottom w:val="nil"/>
              <w:right w:val="nil"/>
            </w:tcBorders>
            <w:shd w:val="clear" w:color="auto" w:fill="auto"/>
            <w:vAlign w:val="center"/>
            <w:hideMark/>
          </w:tcPr>
          <w:p w14:paraId="1F7EBFF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11,605</w:t>
            </w:r>
          </w:p>
        </w:tc>
        <w:tc>
          <w:tcPr>
            <w:tcW w:w="0" w:type="auto"/>
            <w:tcBorders>
              <w:top w:val="nil"/>
              <w:left w:val="nil"/>
              <w:bottom w:val="nil"/>
              <w:right w:val="nil"/>
            </w:tcBorders>
            <w:shd w:val="clear" w:color="auto" w:fill="auto"/>
            <w:vAlign w:val="center"/>
            <w:hideMark/>
          </w:tcPr>
          <w:p w14:paraId="5C968147"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8.7</w:t>
            </w:r>
          </w:p>
        </w:tc>
        <w:tc>
          <w:tcPr>
            <w:tcW w:w="0" w:type="auto"/>
            <w:tcBorders>
              <w:top w:val="nil"/>
              <w:left w:val="nil"/>
              <w:bottom w:val="nil"/>
              <w:right w:val="nil"/>
            </w:tcBorders>
            <w:shd w:val="clear" w:color="auto" w:fill="auto"/>
            <w:vAlign w:val="center"/>
            <w:hideMark/>
          </w:tcPr>
          <w:p w14:paraId="14EA73E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8.5–8.9</w:t>
            </w:r>
          </w:p>
        </w:tc>
        <w:tc>
          <w:tcPr>
            <w:tcW w:w="0" w:type="auto"/>
            <w:tcBorders>
              <w:top w:val="nil"/>
              <w:left w:val="nil"/>
              <w:bottom w:val="nil"/>
              <w:right w:val="nil"/>
            </w:tcBorders>
            <w:shd w:val="clear" w:color="auto" w:fill="auto"/>
            <w:vAlign w:val="center"/>
            <w:hideMark/>
          </w:tcPr>
          <w:p w14:paraId="016C7EF2"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8360</w:t>
            </w:r>
          </w:p>
        </w:tc>
        <w:tc>
          <w:tcPr>
            <w:tcW w:w="0" w:type="auto"/>
            <w:tcBorders>
              <w:top w:val="nil"/>
              <w:left w:val="nil"/>
              <w:bottom w:val="nil"/>
              <w:right w:val="nil"/>
            </w:tcBorders>
            <w:shd w:val="clear" w:color="auto" w:fill="auto"/>
            <w:vAlign w:val="center"/>
            <w:hideMark/>
          </w:tcPr>
          <w:p w14:paraId="3A4EB539"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8.9</w:t>
            </w:r>
          </w:p>
        </w:tc>
        <w:tc>
          <w:tcPr>
            <w:tcW w:w="0" w:type="auto"/>
            <w:tcBorders>
              <w:top w:val="nil"/>
              <w:left w:val="nil"/>
              <w:bottom w:val="nil"/>
              <w:right w:val="nil"/>
            </w:tcBorders>
            <w:shd w:val="clear" w:color="auto" w:fill="auto"/>
            <w:vAlign w:val="center"/>
            <w:hideMark/>
          </w:tcPr>
          <w:p w14:paraId="788B2518"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8.7–9.0</w:t>
            </w:r>
          </w:p>
        </w:tc>
        <w:tc>
          <w:tcPr>
            <w:tcW w:w="0" w:type="auto"/>
            <w:tcBorders>
              <w:top w:val="nil"/>
              <w:left w:val="nil"/>
              <w:bottom w:val="nil"/>
              <w:right w:val="nil"/>
            </w:tcBorders>
            <w:shd w:val="clear" w:color="auto" w:fill="auto"/>
            <w:vAlign w:val="center"/>
            <w:hideMark/>
          </w:tcPr>
          <w:p w14:paraId="0D1B09C6"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3245</w:t>
            </w:r>
          </w:p>
        </w:tc>
        <w:tc>
          <w:tcPr>
            <w:tcW w:w="0" w:type="auto"/>
            <w:tcBorders>
              <w:top w:val="nil"/>
              <w:left w:val="nil"/>
              <w:bottom w:val="nil"/>
              <w:right w:val="nil"/>
            </w:tcBorders>
            <w:shd w:val="clear" w:color="auto" w:fill="auto"/>
            <w:vAlign w:val="center"/>
            <w:hideMark/>
          </w:tcPr>
          <w:p w14:paraId="6152B4BD"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8.4</w:t>
            </w:r>
          </w:p>
        </w:tc>
        <w:tc>
          <w:tcPr>
            <w:tcW w:w="0" w:type="auto"/>
            <w:tcBorders>
              <w:top w:val="nil"/>
              <w:left w:val="nil"/>
              <w:bottom w:val="nil"/>
              <w:right w:val="nil"/>
            </w:tcBorders>
            <w:shd w:val="clear" w:color="auto" w:fill="auto"/>
            <w:vAlign w:val="center"/>
            <w:hideMark/>
          </w:tcPr>
          <w:p w14:paraId="3CEC9F4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8.2–8.7</w:t>
            </w:r>
          </w:p>
        </w:tc>
      </w:tr>
      <w:tr w:rsidR="00451533" w:rsidRPr="00451533" w14:paraId="4440971C" w14:textId="77777777" w:rsidTr="00906A7E">
        <w:trPr>
          <w:cantSplit/>
        </w:trPr>
        <w:tc>
          <w:tcPr>
            <w:tcW w:w="0" w:type="auto"/>
            <w:vMerge/>
            <w:tcBorders>
              <w:top w:val="nil"/>
              <w:left w:val="nil"/>
              <w:bottom w:val="single" w:sz="8" w:space="0" w:color="7F7F7F"/>
              <w:right w:val="nil"/>
            </w:tcBorders>
            <w:vAlign w:val="center"/>
            <w:hideMark/>
          </w:tcPr>
          <w:p w14:paraId="7DEFFDD5"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single" w:sz="8" w:space="0" w:color="7F7F7F"/>
              <w:left w:val="nil"/>
              <w:bottom w:val="single" w:sz="8" w:space="0" w:color="7F7F7F"/>
              <w:right w:val="nil"/>
            </w:tcBorders>
            <w:shd w:val="clear" w:color="auto" w:fill="auto"/>
            <w:vAlign w:val="center"/>
            <w:hideMark/>
          </w:tcPr>
          <w:p w14:paraId="7AE9C60B"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Most deprived 10%</w:t>
            </w:r>
          </w:p>
        </w:tc>
        <w:tc>
          <w:tcPr>
            <w:tcW w:w="0" w:type="auto"/>
            <w:tcBorders>
              <w:top w:val="single" w:sz="8" w:space="0" w:color="7F7F7F"/>
              <w:left w:val="nil"/>
              <w:bottom w:val="single" w:sz="8" w:space="0" w:color="7F7F7F"/>
              <w:right w:val="nil"/>
            </w:tcBorders>
            <w:shd w:val="clear" w:color="auto" w:fill="auto"/>
            <w:vAlign w:val="center"/>
            <w:hideMark/>
          </w:tcPr>
          <w:p w14:paraId="755F82F6"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28,305</w:t>
            </w:r>
          </w:p>
        </w:tc>
        <w:tc>
          <w:tcPr>
            <w:tcW w:w="0" w:type="auto"/>
            <w:tcBorders>
              <w:top w:val="single" w:sz="8" w:space="0" w:color="7F7F7F"/>
              <w:left w:val="nil"/>
              <w:bottom w:val="single" w:sz="8" w:space="0" w:color="7F7F7F"/>
              <w:right w:val="nil"/>
            </w:tcBorders>
            <w:shd w:val="clear" w:color="auto" w:fill="auto"/>
            <w:vAlign w:val="center"/>
            <w:hideMark/>
          </w:tcPr>
          <w:p w14:paraId="6C301804"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21.2</w:t>
            </w:r>
          </w:p>
        </w:tc>
        <w:tc>
          <w:tcPr>
            <w:tcW w:w="0" w:type="auto"/>
            <w:tcBorders>
              <w:top w:val="single" w:sz="8" w:space="0" w:color="7F7F7F"/>
              <w:left w:val="nil"/>
              <w:bottom w:val="single" w:sz="8" w:space="0" w:color="7F7F7F"/>
              <w:right w:val="nil"/>
            </w:tcBorders>
            <w:shd w:val="clear" w:color="auto" w:fill="auto"/>
            <w:vAlign w:val="center"/>
            <w:hideMark/>
          </w:tcPr>
          <w:p w14:paraId="0C164D0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21.0–21.4</w:t>
            </w:r>
          </w:p>
        </w:tc>
        <w:tc>
          <w:tcPr>
            <w:tcW w:w="0" w:type="auto"/>
            <w:tcBorders>
              <w:top w:val="single" w:sz="8" w:space="0" w:color="7F7F7F"/>
              <w:left w:val="nil"/>
              <w:bottom w:val="single" w:sz="8" w:space="0" w:color="7F7F7F"/>
              <w:right w:val="nil"/>
            </w:tcBorders>
            <w:shd w:val="clear" w:color="auto" w:fill="auto"/>
            <w:vAlign w:val="center"/>
            <w:hideMark/>
          </w:tcPr>
          <w:p w14:paraId="4E9533CC"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19,670</w:t>
            </w:r>
          </w:p>
        </w:tc>
        <w:tc>
          <w:tcPr>
            <w:tcW w:w="0" w:type="auto"/>
            <w:tcBorders>
              <w:top w:val="single" w:sz="8" w:space="0" w:color="7F7F7F"/>
              <w:left w:val="nil"/>
              <w:bottom w:val="single" w:sz="8" w:space="0" w:color="7F7F7F"/>
              <w:right w:val="nil"/>
            </w:tcBorders>
            <w:shd w:val="clear" w:color="auto" w:fill="auto"/>
            <w:vAlign w:val="center"/>
            <w:hideMark/>
          </w:tcPr>
          <w:p w14:paraId="4CF0EC6E"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20.9</w:t>
            </w:r>
          </w:p>
        </w:tc>
        <w:tc>
          <w:tcPr>
            <w:tcW w:w="0" w:type="auto"/>
            <w:tcBorders>
              <w:top w:val="single" w:sz="8" w:space="0" w:color="7F7F7F"/>
              <w:left w:val="nil"/>
              <w:bottom w:val="single" w:sz="8" w:space="0" w:color="7F7F7F"/>
              <w:right w:val="nil"/>
            </w:tcBorders>
            <w:shd w:val="clear" w:color="auto" w:fill="auto"/>
            <w:vAlign w:val="center"/>
            <w:hideMark/>
          </w:tcPr>
          <w:p w14:paraId="51AB113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20.6–21.1</w:t>
            </w:r>
          </w:p>
        </w:tc>
        <w:tc>
          <w:tcPr>
            <w:tcW w:w="0" w:type="auto"/>
            <w:tcBorders>
              <w:top w:val="single" w:sz="8" w:space="0" w:color="7F7F7F"/>
              <w:left w:val="nil"/>
              <w:bottom w:val="single" w:sz="8" w:space="0" w:color="7F7F7F"/>
              <w:right w:val="nil"/>
            </w:tcBorders>
            <w:shd w:val="clear" w:color="auto" w:fill="auto"/>
            <w:vAlign w:val="center"/>
            <w:hideMark/>
          </w:tcPr>
          <w:p w14:paraId="2ABFB82E"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8630</w:t>
            </w:r>
          </w:p>
        </w:tc>
        <w:tc>
          <w:tcPr>
            <w:tcW w:w="0" w:type="auto"/>
            <w:tcBorders>
              <w:top w:val="single" w:sz="8" w:space="0" w:color="7F7F7F"/>
              <w:left w:val="nil"/>
              <w:bottom w:val="single" w:sz="8" w:space="0" w:color="7F7F7F"/>
              <w:right w:val="nil"/>
            </w:tcBorders>
            <w:shd w:val="clear" w:color="auto" w:fill="auto"/>
            <w:vAlign w:val="center"/>
            <w:hideMark/>
          </w:tcPr>
          <w:p w14:paraId="180990B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22.5</w:t>
            </w:r>
          </w:p>
        </w:tc>
        <w:tc>
          <w:tcPr>
            <w:tcW w:w="0" w:type="auto"/>
            <w:tcBorders>
              <w:top w:val="single" w:sz="8" w:space="0" w:color="7F7F7F"/>
              <w:left w:val="nil"/>
              <w:bottom w:val="single" w:sz="8" w:space="0" w:color="7F7F7F"/>
              <w:right w:val="nil"/>
            </w:tcBorders>
            <w:shd w:val="clear" w:color="auto" w:fill="auto"/>
            <w:vAlign w:val="center"/>
            <w:hideMark/>
          </w:tcPr>
          <w:p w14:paraId="42013AFB"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22.0–22.9</w:t>
            </w:r>
          </w:p>
        </w:tc>
      </w:tr>
      <w:tr w:rsidR="00451533" w:rsidRPr="00451533" w14:paraId="618850CA" w14:textId="77777777" w:rsidTr="00906A7E">
        <w:trPr>
          <w:cantSplit/>
        </w:trPr>
        <w:tc>
          <w:tcPr>
            <w:tcW w:w="0" w:type="auto"/>
            <w:vMerge/>
            <w:tcBorders>
              <w:top w:val="nil"/>
              <w:left w:val="nil"/>
              <w:bottom w:val="single" w:sz="8" w:space="0" w:color="7F7F7F"/>
              <w:right w:val="nil"/>
            </w:tcBorders>
            <w:vAlign w:val="center"/>
            <w:hideMark/>
          </w:tcPr>
          <w:p w14:paraId="7CF1E489"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nil"/>
              <w:left w:val="nil"/>
              <w:bottom w:val="nil"/>
              <w:right w:val="nil"/>
            </w:tcBorders>
            <w:shd w:val="clear" w:color="auto" w:fill="auto"/>
            <w:vAlign w:val="center"/>
            <w:hideMark/>
          </w:tcPr>
          <w:p w14:paraId="66D95407"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Missing</w:t>
            </w:r>
          </w:p>
        </w:tc>
        <w:tc>
          <w:tcPr>
            <w:tcW w:w="0" w:type="auto"/>
            <w:tcBorders>
              <w:top w:val="nil"/>
              <w:left w:val="nil"/>
              <w:bottom w:val="nil"/>
              <w:right w:val="nil"/>
            </w:tcBorders>
            <w:shd w:val="clear" w:color="auto" w:fill="auto"/>
            <w:vAlign w:val="center"/>
            <w:hideMark/>
          </w:tcPr>
          <w:p w14:paraId="3A797EEA"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4345</w:t>
            </w:r>
          </w:p>
        </w:tc>
        <w:tc>
          <w:tcPr>
            <w:tcW w:w="0" w:type="auto"/>
            <w:tcBorders>
              <w:top w:val="nil"/>
              <w:left w:val="nil"/>
              <w:bottom w:val="nil"/>
              <w:right w:val="nil"/>
            </w:tcBorders>
            <w:shd w:val="clear" w:color="auto" w:fill="auto"/>
            <w:vAlign w:val="center"/>
            <w:hideMark/>
          </w:tcPr>
          <w:p w14:paraId="62069FD6"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3.3</w:t>
            </w:r>
          </w:p>
        </w:tc>
        <w:tc>
          <w:tcPr>
            <w:tcW w:w="0" w:type="auto"/>
            <w:tcBorders>
              <w:top w:val="nil"/>
              <w:left w:val="nil"/>
              <w:bottom w:val="nil"/>
              <w:right w:val="nil"/>
            </w:tcBorders>
            <w:shd w:val="clear" w:color="auto" w:fill="auto"/>
            <w:vAlign w:val="center"/>
            <w:hideMark/>
          </w:tcPr>
          <w:p w14:paraId="332EC3DD"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3.2–3.4</w:t>
            </w:r>
          </w:p>
        </w:tc>
        <w:tc>
          <w:tcPr>
            <w:tcW w:w="0" w:type="auto"/>
            <w:tcBorders>
              <w:top w:val="nil"/>
              <w:left w:val="nil"/>
              <w:bottom w:val="nil"/>
              <w:right w:val="nil"/>
            </w:tcBorders>
            <w:shd w:val="clear" w:color="auto" w:fill="auto"/>
            <w:vAlign w:val="center"/>
            <w:hideMark/>
          </w:tcPr>
          <w:p w14:paraId="241CB71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3005</w:t>
            </w:r>
          </w:p>
        </w:tc>
        <w:tc>
          <w:tcPr>
            <w:tcW w:w="0" w:type="auto"/>
            <w:tcBorders>
              <w:top w:val="nil"/>
              <w:left w:val="nil"/>
              <w:bottom w:val="nil"/>
              <w:right w:val="nil"/>
            </w:tcBorders>
            <w:shd w:val="clear" w:color="auto" w:fill="auto"/>
            <w:vAlign w:val="center"/>
            <w:hideMark/>
          </w:tcPr>
          <w:p w14:paraId="7CA819CF"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3.2</w:t>
            </w:r>
          </w:p>
        </w:tc>
        <w:tc>
          <w:tcPr>
            <w:tcW w:w="0" w:type="auto"/>
            <w:tcBorders>
              <w:top w:val="nil"/>
              <w:left w:val="nil"/>
              <w:bottom w:val="nil"/>
              <w:right w:val="nil"/>
            </w:tcBorders>
            <w:shd w:val="clear" w:color="auto" w:fill="auto"/>
            <w:vAlign w:val="center"/>
            <w:hideMark/>
          </w:tcPr>
          <w:p w14:paraId="57F30618"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3.1–3.3</w:t>
            </w:r>
          </w:p>
        </w:tc>
        <w:tc>
          <w:tcPr>
            <w:tcW w:w="0" w:type="auto"/>
            <w:tcBorders>
              <w:top w:val="nil"/>
              <w:left w:val="nil"/>
              <w:bottom w:val="nil"/>
              <w:right w:val="nil"/>
            </w:tcBorders>
            <w:shd w:val="clear" w:color="auto" w:fill="auto"/>
            <w:vAlign w:val="center"/>
            <w:hideMark/>
          </w:tcPr>
          <w:p w14:paraId="213DB624"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650</w:t>
            </w:r>
          </w:p>
        </w:tc>
        <w:tc>
          <w:tcPr>
            <w:tcW w:w="0" w:type="auto"/>
            <w:tcBorders>
              <w:top w:val="nil"/>
              <w:left w:val="nil"/>
              <w:bottom w:val="nil"/>
              <w:right w:val="nil"/>
            </w:tcBorders>
            <w:shd w:val="clear" w:color="auto" w:fill="auto"/>
            <w:vAlign w:val="center"/>
            <w:hideMark/>
          </w:tcPr>
          <w:p w14:paraId="57813A60"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1.7</w:t>
            </w:r>
          </w:p>
        </w:tc>
        <w:tc>
          <w:tcPr>
            <w:tcW w:w="0" w:type="auto"/>
            <w:tcBorders>
              <w:top w:val="nil"/>
              <w:left w:val="nil"/>
              <w:bottom w:val="nil"/>
              <w:right w:val="nil"/>
            </w:tcBorders>
            <w:shd w:val="clear" w:color="auto" w:fill="auto"/>
            <w:vAlign w:val="center"/>
            <w:hideMark/>
          </w:tcPr>
          <w:p w14:paraId="13A950AA"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1.6–1.8</w:t>
            </w:r>
          </w:p>
        </w:tc>
      </w:tr>
      <w:tr w:rsidR="00451533" w:rsidRPr="00451533" w14:paraId="094A3C40" w14:textId="77777777" w:rsidTr="00906A7E">
        <w:trPr>
          <w:cantSplit/>
        </w:trPr>
        <w:tc>
          <w:tcPr>
            <w:tcW w:w="0" w:type="auto"/>
            <w:vMerge w:val="restart"/>
            <w:tcBorders>
              <w:top w:val="nil"/>
              <w:left w:val="nil"/>
              <w:bottom w:val="single" w:sz="8" w:space="0" w:color="7F7F7F"/>
              <w:right w:val="nil"/>
            </w:tcBorders>
            <w:shd w:val="clear" w:color="auto" w:fill="auto"/>
            <w:vAlign w:val="center"/>
            <w:hideMark/>
          </w:tcPr>
          <w:p w14:paraId="459036B7" w14:textId="28173A87" w:rsidR="00451533" w:rsidRPr="00451533" w:rsidRDefault="00451533" w:rsidP="00451533">
            <w:pPr>
              <w:spacing w:line="240" w:lineRule="auto"/>
              <w:jc w:val="left"/>
              <w:rPr>
                <w:rFonts w:eastAsia="Times New Roman" w:cs="Calibri"/>
                <w:b/>
                <w:noProof w:val="0"/>
                <w:sz w:val="18"/>
                <w:szCs w:val="18"/>
              </w:rPr>
            </w:pPr>
            <w:r w:rsidRPr="00451533">
              <w:rPr>
                <w:rFonts w:eastAsia="Times New Roman" w:cs="Calibri"/>
                <w:b/>
                <w:noProof w:val="0"/>
                <w:sz w:val="18"/>
                <w:szCs w:val="18"/>
                <w:lang w:val="en-GB"/>
              </w:rPr>
              <w:t>Location of incident</w:t>
            </w:r>
          </w:p>
        </w:tc>
        <w:tc>
          <w:tcPr>
            <w:tcW w:w="0" w:type="auto"/>
            <w:tcBorders>
              <w:top w:val="single" w:sz="8" w:space="0" w:color="7F7F7F"/>
              <w:left w:val="nil"/>
              <w:bottom w:val="single" w:sz="8" w:space="0" w:color="7F7F7F"/>
              <w:right w:val="nil"/>
            </w:tcBorders>
            <w:shd w:val="clear" w:color="auto" w:fill="auto"/>
            <w:vAlign w:val="center"/>
            <w:hideMark/>
          </w:tcPr>
          <w:p w14:paraId="488FE272"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Educational establishment</w:t>
            </w:r>
          </w:p>
        </w:tc>
        <w:tc>
          <w:tcPr>
            <w:tcW w:w="0" w:type="auto"/>
            <w:tcBorders>
              <w:top w:val="single" w:sz="8" w:space="0" w:color="7F7F7F"/>
              <w:left w:val="nil"/>
              <w:bottom w:val="single" w:sz="8" w:space="0" w:color="7F7F7F"/>
              <w:right w:val="nil"/>
            </w:tcBorders>
            <w:shd w:val="clear" w:color="auto" w:fill="auto"/>
            <w:vAlign w:val="center"/>
            <w:hideMark/>
          </w:tcPr>
          <w:p w14:paraId="52EF12B1"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3420</w:t>
            </w:r>
          </w:p>
        </w:tc>
        <w:tc>
          <w:tcPr>
            <w:tcW w:w="0" w:type="auto"/>
            <w:tcBorders>
              <w:top w:val="single" w:sz="8" w:space="0" w:color="7F7F7F"/>
              <w:left w:val="nil"/>
              <w:bottom w:val="single" w:sz="8" w:space="0" w:color="7F7F7F"/>
              <w:right w:val="nil"/>
            </w:tcBorders>
            <w:shd w:val="clear" w:color="auto" w:fill="auto"/>
            <w:vAlign w:val="center"/>
            <w:hideMark/>
          </w:tcPr>
          <w:p w14:paraId="38AD03FE"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2.6</w:t>
            </w:r>
          </w:p>
        </w:tc>
        <w:tc>
          <w:tcPr>
            <w:tcW w:w="0" w:type="auto"/>
            <w:tcBorders>
              <w:top w:val="single" w:sz="8" w:space="0" w:color="7F7F7F"/>
              <w:left w:val="nil"/>
              <w:bottom w:val="single" w:sz="8" w:space="0" w:color="7F7F7F"/>
              <w:right w:val="nil"/>
            </w:tcBorders>
            <w:shd w:val="clear" w:color="auto" w:fill="auto"/>
            <w:vAlign w:val="center"/>
            <w:hideMark/>
          </w:tcPr>
          <w:p w14:paraId="607EEC22"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2.5–2.6</w:t>
            </w:r>
          </w:p>
        </w:tc>
        <w:tc>
          <w:tcPr>
            <w:tcW w:w="0" w:type="auto"/>
            <w:tcBorders>
              <w:top w:val="single" w:sz="8" w:space="0" w:color="7F7F7F"/>
              <w:left w:val="nil"/>
              <w:bottom w:val="single" w:sz="8" w:space="0" w:color="7F7F7F"/>
              <w:right w:val="nil"/>
            </w:tcBorders>
            <w:shd w:val="clear" w:color="auto" w:fill="auto"/>
            <w:vAlign w:val="center"/>
            <w:hideMark/>
          </w:tcPr>
          <w:p w14:paraId="0035AB6C"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2550</w:t>
            </w:r>
          </w:p>
        </w:tc>
        <w:tc>
          <w:tcPr>
            <w:tcW w:w="0" w:type="auto"/>
            <w:tcBorders>
              <w:top w:val="single" w:sz="8" w:space="0" w:color="7F7F7F"/>
              <w:left w:val="nil"/>
              <w:bottom w:val="single" w:sz="8" w:space="0" w:color="7F7F7F"/>
              <w:right w:val="nil"/>
            </w:tcBorders>
            <w:shd w:val="clear" w:color="auto" w:fill="auto"/>
            <w:vAlign w:val="center"/>
            <w:hideMark/>
          </w:tcPr>
          <w:p w14:paraId="25FE0442"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2.7</w:t>
            </w:r>
          </w:p>
        </w:tc>
        <w:tc>
          <w:tcPr>
            <w:tcW w:w="0" w:type="auto"/>
            <w:tcBorders>
              <w:top w:val="single" w:sz="8" w:space="0" w:color="7F7F7F"/>
              <w:left w:val="nil"/>
              <w:bottom w:val="single" w:sz="8" w:space="0" w:color="7F7F7F"/>
              <w:right w:val="nil"/>
            </w:tcBorders>
            <w:shd w:val="clear" w:color="auto" w:fill="auto"/>
            <w:vAlign w:val="center"/>
            <w:hideMark/>
          </w:tcPr>
          <w:p w14:paraId="1CF6306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2.6–2.8</w:t>
            </w:r>
          </w:p>
        </w:tc>
        <w:tc>
          <w:tcPr>
            <w:tcW w:w="0" w:type="auto"/>
            <w:tcBorders>
              <w:top w:val="single" w:sz="8" w:space="0" w:color="7F7F7F"/>
              <w:left w:val="nil"/>
              <w:bottom w:val="single" w:sz="8" w:space="0" w:color="7F7F7F"/>
              <w:right w:val="nil"/>
            </w:tcBorders>
            <w:shd w:val="clear" w:color="auto" w:fill="auto"/>
            <w:vAlign w:val="center"/>
            <w:hideMark/>
          </w:tcPr>
          <w:p w14:paraId="2BAB6171"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865</w:t>
            </w:r>
          </w:p>
        </w:tc>
        <w:tc>
          <w:tcPr>
            <w:tcW w:w="0" w:type="auto"/>
            <w:tcBorders>
              <w:top w:val="single" w:sz="8" w:space="0" w:color="7F7F7F"/>
              <w:left w:val="nil"/>
              <w:bottom w:val="single" w:sz="8" w:space="0" w:color="7F7F7F"/>
              <w:right w:val="nil"/>
            </w:tcBorders>
            <w:shd w:val="clear" w:color="auto" w:fill="auto"/>
            <w:vAlign w:val="center"/>
            <w:hideMark/>
          </w:tcPr>
          <w:p w14:paraId="68C60237"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2.3</w:t>
            </w:r>
          </w:p>
        </w:tc>
        <w:tc>
          <w:tcPr>
            <w:tcW w:w="0" w:type="auto"/>
            <w:tcBorders>
              <w:top w:val="single" w:sz="8" w:space="0" w:color="7F7F7F"/>
              <w:left w:val="nil"/>
              <w:bottom w:val="single" w:sz="8" w:space="0" w:color="7F7F7F"/>
              <w:right w:val="nil"/>
            </w:tcBorders>
            <w:shd w:val="clear" w:color="auto" w:fill="auto"/>
            <w:vAlign w:val="center"/>
            <w:hideMark/>
          </w:tcPr>
          <w:p w14:paraId="0F4FF3D7"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2.1–2.4</w:t>
            </w:r>
          </w:p>
        </w:tc>
      </w:tr>
      <w:tr w:rsidR="00451533" w:rsidRPr="00451533" w14:paraId="26E35486" w14:textId="77777777" w:rsidTr="00906A7E">
        <w:trPr>
          <w:cantSplit/>
        </w:trPr>
        <w:tc>
          <w:tcPr>
            <w:tcW w:w="0" w:type="auto"/>
            <w:vMerge/>
            <w:tcBorders>
              <w:top w:val="nil"/>
              <w:left w:val="nil"/>
              <w:bottom w:val="single" w:sz="8" w:space="0" w:color="7F7F7F"/>
              <w:right w:val="nil"/>
            </w:tcBorders>
            <w:vAlign w:val="center"/>
            <w:hideMark/>
          </w:tcPr>
          <w:p w14:paraId="7FF61F1D"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nil"/>
              <w:left w:val="nil"/>
              <w:bottom w:val="nil"/>
              <w:right w:val="nil"/>
            </w:tcBorders>
            <w:shd w:val="clear" w:color="auto" w:fill="auto"/>
            <w:vAlign w:val="center"/>
            <w:hideMark/>
          </w:tcPr>
          <w:p w14:paraId="2014A0C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Home</w:t>
            </w:r>
          </w:p>
        </w:tc>
        <w:tc>
          <w:tcPr>
            <w:tcW w:w="0" w:type="auto"/>
            <w:tcBorders>
              <w:top w:val="nil"/>
              <w:left w:val="nil"/>
              <w:bottom w:val="nil"/>
              <w:right w:val="nil"/>
            </w:tcBorders>
            <w:shd w:val="clear" w:color="auto" w:fill="auto"/>
            <w:vAlign w:val="center"/>
            <w:hideMark/>
          </w:tcPr>
          <w:p w14:paraId="52680AD1"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26,755</w:t>
            </w:r>
          </w:p>
        </w:tc>
        <w:tc>
          <w:tcPr>
            <w:tcW w:w="0" w:type="auto"/>
            <w:tcBorders>
              <w:top w:val="nil"/>
              <w:left w:val="nil"/>
              <w:bottom w:val="nil"/>
              <w:right w:val="nil"/>
            </w:tcBorders>
            <w:shd w:val="clear" w:color="auto" w:fill="auto"/>
            <w:vAlign w:val="center"/>
            <w:hideMark/>
          </w:tcPr>
          <w:p w14:paraId="7C73D3AE"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20.1</w:t>
            </w:r>
          </w:p>
        </w:tc>
        <w:tc>
          <w:tcPr>
            <w:tcW w:w="0" w:type="auto"/>
            <w:tcBorders>
              <w:top w:val="nil"/>
              <w:left w:val="nil"/>
              <w:bottom w:val="nil"/>
              <w:right w:val="nil"/>
            </w:tcBorders>
            <w:shd w:val="clear" w:color="auto" w:fill="auto"/>
            <w:vAlign w:val="center"/>
            <w:hideMark/>
          </w:tcPr>
          <w:p w14:paraId="028CBFAA"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19.8–20.3</w:t>
            </w:r>
          </w:p>
        </w:tc>
        <w:tc>
          <w:tcPr>
            <w:tcW w:w="0" w:type="auto"/>
            <w:tcBorders>
              <w:top w:val="nil"/>
              <w:left w:val="nil"/>
              <w:bottom w:val="nil"/>
              <w:right w:val="nil"/>
            </w:tcBorders>
            <w:shd w:val="clear" w:color="auto" w:fill="auto"/>
            <w:vAlign w:val="center"/>
            <w:hideMark/>
          </w:tcPr>
          <w:p w14:paraId="6CA17D3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14,035</w:t>
            </w:r>
          </w:p>
        </w:tc>
        <w:tc>
          <w:tcPr>
            <w:tcW w:w="0" w:type="auto"/>
            <w:tcBorders>
              <w:top w:val="nil"/>
              <w:left w:val="nil"/>
              <w:bottom w:val="nil"/>
              <w:right w:val="nil"/>
            </w:tcBorders>
            <w:shd w:val="clear" w:color="auto" w:fill="auto"/>
            <w:vAlign w:val="center"/>
            <w:hideMark/>
          </w:tcPr>
          <w:p w14:paraId="0A4D005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14.9</w:t>
            </w:r>
          </w:p>
        </w:tc>
        <w:tc>
          <w:tcPr>
            <w:tcW w:w="0" w:type="auto"/>
            <w:tcBorders>
              <w:top w:val="nil"/>
              <w:left w:val="nil"/>
              <w:bottom w:val="nil"/>
              <w:right w:val="nil"/>
            </w:tcBorders>
            <w:shd w:val="clear" w:color="auto" w:fill="auto"/>
            <w:vAlign w:val="center"/>
            <w:hideMark/>
          </w:tcPr>
          <w:p w14:paraId="47121ED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14.7–15.1</w:t>
            </w:r>
          </w:p>
        </w:tc>
        <w:tc>
          <w:tcPr>
            <w:tcW w:w="0" w:type="auto"/>
            <w:tcBorders>
              <w:top w:val="nil"/>
              <w:left w:val="nil"/>
              <w:bottom w:val="nil"/>
              <w:right w:val="nil"/>
            </w:tcBorders>
            <w:shd w:val="clear" w:color="auto" w:fill="auto"/>
            <w:vAlign w:val="center"/>
            <w:hideMark/>
          </w:tcPr>
          <w:p w14:paraId="1D35B170"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12,720</w:t>
            </w:r>
          </w:p>
        </w:tc>
        <w:tc>
          <w:tcPr>
            <w:tcW w:w="0" w:type="auto"/>
            <w:tcBorders>
              <w:top w:val="nil"/>
              <w:left w:val="nil"/>
              <w:bottom w:val="nil"/>
              <w:right w:val="nil"/>
            </w:tcBorders>
            <w:shd w:val="clear" w:color="auto" w:fill="auto"/>
            <w:vAlign w:val="center"/>
            <w:hideMark/>
          </w:tcPr>
          <w:p w14:paraId="2FE4EA48"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33.1</w:t>
            </w:r>
          </w:p>
        </w:tc>
        <w:tc>
          <w:tcPr>
            <w:tcW w:w="0" w:type="auto"/>
            <w:tcBorders>
              <w:top w:val="nil"/>
              <w:left w:val="nil"/>
              <w:bottom w:val="nil"/>
              <w:right w:val="nil"/>
            </w:tcBorders>
            <w:shd w:val="clear" w:color="auto" w:fill="auto"/>
            <w:vAlign w:val="center"/>
            <w:hideMark/>
          </w:tcPr>
          <w:p w14:paraId="7BFCA8C4"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32.6–33.6</w:t>
            </w:r>
          </w:p>
        </w:tc>
      </w:tr>
      <w:tr w:rsidR="00451533" w:rsidRPr="00451533" w14:paraId="0747EA6F" w14:textId="77777777" w:rsidTr="00906A7E">
        <w:trPr>
          <w:cantSplit/>
        </w:trPr>
        <w:tc>
          <w:tcPr>
            <w:tcW w:w="0" w:type="auto"/>
            <w:vMerge/>
            <w:tcBorders>
              <w:top w:val="nil"/>
              <w:left w:val="nil"/>
              <w:bottom w:val="single" w:sz="8" w:space="0" w:color="7F7F7F"/>
              <w:right w:val="nil"/>
            </w:tcBorders>
            <w:vAlign w:val="center"/>
            <w:hideMark/>
          </w:tcPr>
          <w:p w14:paraId="7A2E731D"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single" w:sz="8" w:space="0" w:color="7F7F7F"/>
              <w:left w:val="nil"/>
              <w:bottom w:val="single" w:sz="8" w:space="0" w:color="7F7F7F"/>
              <w:right w:val="nil"/>
            </w:tcBorders>
            <w:shd w:val="clear" w:color="auto" w:fill="auto"/>
            <w:vAlign w:val="center"/>
            <w:hideMark/>
          </w:tcPr>
          <w:p w14:paraId="630328F4"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Public place</w:t>
            </w:r>
          </w:p>
        </w:tc>
        <w:tc>
          <w:tcPr>
            <w:tcW w:w="0" w:type="auto"/>
            <w:tcBorders>
              <w:top w:val="single" w:sz="8" w:space="0" w:color="7F7F7F"/>
              <w:left w:val="nil"/>
              <w:bottom w:val="single" w:sz="8" w:space="0" w:color="7F7F7F"/>
              <w:right w:val="nil"/>
            </w:tcBorders>
            <w:shd w:val="clear" w:color="auto" w:fill="auto"/>
            <w:vAlign w:val="center"/>
            <w:hideMark/>
          </w:tcPr>
          <w:p w14:paraId="0B46F794"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59,110</w:t>
            </w:r>
          </w:p>
        </w:tc>
        <w:tc>
          <w:tcPr>
            <w:tcW w:w="0" w:type="auto"/>
            <w:tcBorders>
              <w:top w:val="single" w:sz="8" w:space="0" w:color="7F7F7F"/>
              <w:left w:val="nil"/>
              <w:bottom w:val="single" w:sz="8" w:space="0" w:color="7F7F7F"/>
              <w:right w:val="nil"/>
            </w:tcBorders>
            <w:shd w:val="clear" w:color="auto" w:fill="auto"/>
            <w:vAlign w:val="center"/>
            <w:hideMark/>
          </w:tcPr>
          <w:p w14:paraId="3C94A190"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44.3</w:t>
            </w:r>
          </w:p>
        </w:tc>
        <w:tc>
          <w:tcPr>
            <w:tcW w:w="0" w:type="auto"/>
            <w:tcBorders>
              <w:top w:val="single" w:sz="8" w:space="0" w:color="7F7F7F"/>
              <w:left w:val="nil"/>
              <w:bottom w:val="single" w:sz="8" w:space="0" w:color="7F7F7F"/>
              <w:right w:val="nil"/>
            </w:tcBorders>
            <w:shd w:val="clear" w:color="auto" w:fill="auto"/>
            <w:vAlign w:val="center"/>
            <w:hideMark/>
          </w:tcPr>
          <w:p w14:paraId="2D06DF04"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44.0–44.6</w:t>
            </w:r>
          </w:p>
        </w:tc>
        <w:tc>
          <w:tcPr>
            <w:tcW w:w="0" w:type="auto"/>
            <w:tcBorders>
              <w:top w:val="single" w:sz="8" w:space="0" w:color="7F7F7F"/>
              <w:left w:val="nil"/>
              <w:bottom w:val="single" w:sz="8" w:space="0" w:color="7F7F7F"/>
              <w:right w:val="nil"/>
            </w:tcBorders>
            <w:shd w:val="clear" w:color="auto" w:fill="auto"/>
            <w:vAlign w:val="center"/>
            <w:hideMark/>
          </w:tcPr>
          <w:p w14:paraId="7BA65DCA"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47,665</w:t>
            </w:r>
          </w:p>
        </w:tc>
        <w:tc>
          <w:tcPr>
            <w:tcW w:w="0" w:type="auto"/>
            <w:tcBorders>
              <w:top w:val="single" w:sz="8" w:space="0" w:color="7F7F7F"/>
              <w:left w:val="nil"/>
              <w:bottom w:val="single" w:sz="8" w:space="0" w:color="7F7F7F"/>
              <w:right w:val="nil"/>
            </w:tcBorders>
            <w:shd w:val="clear" w:color="auto" w:fill="auto"/>
            <w:vAlign w:val="center"/>
            <w:hideMark/>
          </w:tcPr>
          <w:p w14:paraId="3868F73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50.6</w:t>
            </w:r>
          </w:p>
        </w:tc>
        <w:tc>
          <w:tcPr>
            <w:tcW w:w="0" w:type="auto"/>
            <w:tcBorders>
              <w:top w:val="single" w:sz="8" w:space="0" w:color="7F7F7F"/>
              <w:left w:val="nil"/>
              <w:bottom w:val="single" w:sz="8" w:space="0" w:color="7F7F7F"/>
              <w:right w:val="nil"/>
            </w:tcBorders>
            <w:shd w:val="clear" w:color="auto" w:fill="auto"/>
            <w:vAlign w:val="center"/>
            <w:hideMark/>
          </w:tcPr>
          <w:p w14:paraId="2DE08A97"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50.2–50.9</w:t>
            </w:r>
          </w:p>
        </w:tc>
        <w:tc>
          <w:tcPr>
            <w:tcW w:w="0" w:type="auto"/>
            <w:tcBorders>
              <w:top w:val="single" w:sz="8" w:space="0" w:color="7F7F7F"/>
              <w:left w:val="nil"/>
              <w:bottom w:val="single" w:sz="8" w:space="0" w:color="7F7F7F"/>
              <w:right w:val="nil"/>
            </w:tcBorders>
            <w:shd w:val="clear" w:color="auto" w:fill="auto"/>
            <w:vAlign w:val="center"/>
            <w:hideMark/>
          </w:tcPr>
          <w:p w14:paraId="1A3190A2"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11,430</w:t>
            </w:r>
          </w:p>
        </w:tc>
        <w:tc>
          <w:tcPr>
            <w:tcW w:w="0" w:type="auto"/>
            <w:tcBorders>
              <w:top w:val="single" w:sz="8" w:space="0" w:color="7F7F7F"/>
              <w:left w:val="nil"/>
              <w:bottom w:val="single" w:sz="8" w:space="0" w:color="7F7F7F"/>
              <w:right w:val="nil"/>
            </w:tcBorders>
            <w:shd w:val="clear" w:color="auto" w:fill="auto"/>
            <w:vAlign w:val="center"/>
            <w:hideMark/>
          </w:tcPr>
          <w:p w14:paraId="7A865F27"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29.7</w:t>
            </w:r>
          </w:p>
        </w:tc>
        <w:tc>
          <w:tcPr>
            <w:tcW w:w="0" w:type="auto"/>
            <w:tcBorders>
              <w:top w:val="single" w:sz="8" w:space="0" w:color="7F7F7F"/>
              <w:left w:val="nil"/>
              <w:bottom w:val="single" w:sz="8" w:space="0" w:color="7F7F7F"/>
              <w:right w:val="nil"/>
            </w:tcBorders>
            <w:shd w:val="clear" w:color="auto" w:fill="auto"/>
            <w:vAlign w:val="center"/>
            <w:hideMark/>
          </w:tcPr>
          <w:p w14:paraId="0FFD663D"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29.3–30.2</w:t>
            </w:r>
          </w:p>
        </w:tc>
      </w:tr>
      <w:tr w:rsidR="00451533" w:rsidRPr="00451533" w14:paraId="0FA53D8E" w14:textId="77777777" w:rsidTr="00906A7E">
        <w:trPr>
          <w:cantSplit/>
        </w:trPr>
        <w:tc>
          <w:tcPr>
            <w:tcW w:w="0" w:type="auto"/>
            <w:vMerge/>
            <w:tcBorders>
              <w:top w:val="nil"/>
              <w:left w:val="nil"/>
              <w:bottom w:val="single" w:sz="8" w:space="0" w:color="7F7F7F"/>
              <w:right w:val="nil"/>
            </w:tcBorders>
            <w:vAlign w:val="center"/>
            <w:hideMark/>
          </w:tcPr>
          <w:p w14:paraId="6CF9679B"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nil"/>
              <w:left w:val="nil"/>
              <w:bottom w:val="nil"/>
              <w:right w:val="nil"/>
            </w:tcBorders>
            <w:shd w:val="clear" w:color="auto" w:fill="auto"/>
            <w:vAlign w:val="center"/>
            <w:hideMark/>
          </w:tcPr>
          <w:p w14:paraId="3708A9DC"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Work</w:t>
            </w:r>
          </w:p>
        </w:tc>
        <w:tc>
          <w:tcPr>
            <w:tcW w:w="0" w:type="auto"/>
            <w:tcBorders>
              <w:top w:val="nil"/>
              <w:left w:val="nil"/>
              <w:bottom w:val="nil"/>
              <w:right w:val="nil"/>
            </w:tcBorders>
            <w:shd w:val="clear" w:color="auto" w:fill="auto"/>
            <w:vAlign w:val="center"/>
            <w:hideMark/>
          </w:tcPr>
          <w:p w14:paraId="62691CD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7225</w:t>
            </w:r>
          </w:p>
        </w:tc>
        <w:tc>
          <w:tcPr>
            <w:tcW w:w="0" w:type="auto"/>
            <w:tcBorders>
              <w:top w:val="nil"/>
              <w:left w:val="nil"/>
              <w:bottom w:val="nil"/>
              <w:right w:val="nil"/>
            </w:tcBorders>
            <w:shd w:val="clear" w:color="auto" w:fill="auto"/>
            <w:vAlign w:val="center"/>
            <w:hideMark/>
          </w:tcPr>
          <w:p w14:paraId="75841541"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5.4</w:t>
            </w:r>
          </w:p>
        </w:tc>
        <w:tc>
          <w:tcPr>
            <w:tcW w:w="0" w:type="auto"/>
            <w:tcBorders>
              <w:top w:val="nil"/>
              <w:left w:val="nil"/>
              <w:bottom w:val="nil"/>
              <w:right w:val="nil"/>
            </w:tcBorders>
            <w:shd w:val="clear" w:color="auto" w:fill="auto"/>
            <w:vAlign w:val="center"/>
            <w:hideMark/>
          </w:tcPr>
          <w:p w14:paraId="673064CF"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5.3–5.5</w:t>
            </w:r>
          </w:p>
        </w:tc>
        <w:tc>
          <w:tcPr>
            <w:tcW w:w="0" w:type="auto"/>
            <w:tcBorders>
              <w:top w:val="nil"/>
              <w:left w:val="nil"/>
              <w:bottom w:val="nil"/>
              <w:right w:val="nil"/>
            </w:tcBorders>
            <w:shd w:val="clear" w:color="auto" w:fill="auto"/>
            <w:vAlign w:val="center"/>
            <w:hideMark/>
          </w:tcPr>
          <w:p w14:paraId="46983F54"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4150</w:t>
            </w:r>
          </w:p>
        </w:tc>
        <w:tc>
          <w:tcPr>
            <w:tcW w:w="0" w:type="auto"/>
            <w:tcBorders>
              <w:top w:val="nil"/>
              <w:left w:val="nil"/>
              <w:bottom w:val="nil"/>
              <w:right w:val="nil"/>
            </w:tcBorders>
            <w:shd w:val="clear" w:color="auto" w:fill="auto"/>
            <w:vAlign w:val="center"/>
            <w:hideMark/>
          </w:tcPr>
          <w:p w14:paraId="59C24318"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4.4</w:t>
            </w:r>
          </w:p>
        </w:tc>
        <w:tc>
          <w:tcPr>
            <w:tcW w:w="0" w:type="auto"/>
            <w:tcBorders>
              <w:top w:val="nil"/>
              <w:left w:val="nil"/>
              <w:bottom w:val="nil"/>
              <w:right w:val="nil"/>
            </w:tcBorders>
            <w:shd w:val="clear" w:color="auto" w:fill="auto"/>
            <w:vAlign w:val="center"/>
            <w:hideMark/>
          </w:tcPr>
          <w:p w14:paraId="0C94D7CC"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4.3–4.5</w:t>
            </w:r>
          </w:p>
        </w:tc>
        <w:tc>
          <w:tcPr>
            <w:tcW w:w="0" w:type="auto"/>
            <w:tcBorders>
              <w:top w:val="nil"/>
              <w:left w:val="nil"/>
              <w:bottom w:val="nil"/>
              <w:right w:val="nil"/>
            </w:tcBorders>
            <w:shd w:val="clear" w:color="auto" w:fill="auto"/>
            <w:vAlign w:val="center"/>
            <w:hideMark/>
          </w:tcPr>
          <w:p w14:paraId="45276C0D"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3070</w:t>
            </w:r>
          </w:p>
        </w:tc>
        <w:tc>
          <w:tcPr>
            <w:tcW w:w="0" w:type="auto"/>
            <w:tcBorders>
              <w:top w:val="nil"/>
              <w:left w:val="nil"/>
              <w:bottom w:val="nil"/>
              <w:right w:val="nil"/>
            </w:tcBorders>
            <w:shd w:val="clear" w:color="auto" w:fill="auto"/>
            <w:vAlign w:val="center"/>
            <w:hideMark/>
          </w:tcPr>
          <w:p w14:paraId="1468F861" w14:textId="6745C865"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8</w:t>
            </w:r>
            <w:r w:rsidR="00E03A4A">
              <w:rPr>
                <w:rFonts w:eastAsia="Times New Roman" w:cs="Calibri"/>
                <w:noProof w:val="0"/>
                <w:sz w:val="18"/>
                <w:szCs w:val="18"/>
                <w:lang w:val="en-GB"/>
              </w:rPr>
              <w:t>.0</w:t>
            </w:r>
          </w:p>
        </w:tc>
        <w:tc>
          <w:tcPr>
            <w:tcW w:w="0" w:type="auto"/>
            <w:tcBorders>
              <w:top w:val="nil"/>
              <w:left w:val="nil"/>
              <w:bottom w:val="nil"/>
              <w:right w:val="nil"/>
            </w:tcBorders>
            <w:shd w:val="clear" w:color="auto" w:fill="auto"/>
            <w:vAlign w:val="center"/>
            <w:hideMark/>
          </w:tcPr>
          <w:p w14:paraId="1A0D69EC"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7.7–8.3</w:t>
            </w:r>
          </w:p>
        </w:tc>
      </w:tr>
      <w:tr w:rsidR="00451533" w:rsidRPr="00451533" w14:paraId="4DE95911" w14:textId="77777777" w:rsidTr="00906A7E">
        <w:trPr>
          <w:cantSplit/>
        </w:trPr>
        <w:tc>
          <w:tcPr>
            <w:tcW w:w="0" w:type="auto"/>
            <w:vMerge/>
            <w:tcBorders>
              <w:top w:val="nil"/>
              <w:left w:val="nil"/>
              <w:bottom w:val="single" w:sz="8" w:space="0" w:color="7F7F7F"/>
              <w:right w:val="nil"/>
            </w:tcBorders>
            <w:vAlign w:val="center"/>
            <w:hideMark/>
          </w:tcPr>
          <w:p w14:paraId="51373A9D"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single" w:sz="8" w:space="0" w:color="7F7F7F"/>
              <w:left w:val="nil"/>
              <w:bottom w:val="single" w:sz="8" w:space="0" w:color="7F7F7F"/>
              <w:right w:val="nil"/>
            </w:tcBorders>
            <w:shd w:val="clear" w:color="auto" w:fill="auto"/>
            <w:vAlign w:val="center"/>
            <w:hideMark/>
          </w:tcPr>
          <w:p w14:paraId="4ED0848F"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Other</w:t>
            </w:r>
          </w:p>
        </w:tc>
        <w:tc>
          <w:tcPr>
            <w:tcW w:w="0" w:type="auto"/>
            <w:tcBorders>
              <w:top w:val="single" w:sz="8" w:space="0" w:color="7F7F7F"/>
              <w:left w:val="nil"/>
              <w:bottom w:val="single" w:sz="8" w:space="0" w:color="7F7F7F"/>
              <w:right w:val="nil"/>
            </w:tcBorders>
            <w:shd w:val="clear" w:color="auto" w:fill="auto"/>
            <w:vAlign w:val="center"/>
            <w:hideMark/>
          </w:tcPr>
          <w:p w14:paraId="307A2E87"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29,585</w:t>
            </w:r>
          </w:p>
        </w:tc>
        <w:tc>
          <w:tcPr>
            <w:tcW w:w="0" w:type="auto"/>
            <w:tcBorders>
              <w:top w:val="single" w:sz="8" w:space="0" w:color="7F7F7F"/>
              <w:left w:val="nil"/>
              <w:bottom w:val="single" w:sz="8" w:space="0" w:color="7F7F7F"/>
              <w:right w:val="nil"/>
            </w:tcBorders>
            <w:shd w:val="clear" w:color="auto" w:fill="auto"/>
            <w:vAlign w:val="center"/>
            <w:hideMark/>
          </w:tcPr>
          <w:p w14:paraId="5A57BCF2"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22.2</w:t>
            </w:r>
          </w:p>
        </w:tc>
        <w:tc>
          <w:tcPr>
            <w:tcW w:w="0" w:type="auto"/>
            <w:tcBorders>
              <w:top w:val="single" w:sz="8" w:space="0" w:color="7F7F7F"/>
              <w:left w:val="nil"/>
              <w:bottom w:val="single" w:sz="8" w:space="0" w:color="7F7F7F"/>
              <w:right w:val="nil"/>
            </w:tcBorders>
            <w:shd w:val="clear" w:color="auto" w:fill="auto"/>
            <w:vAlign w:val="center"/>
            <w:hideMark/>
          </w:tcPr>
          <w:p w14:paraId="72F869D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22.0–22.4</w:t>
            </w:r>
          </w:p>
        </w:tc>
        <w:tc>
          <w:tcPr>
            <w:tcW w:w="0" w:type="auto"/>
            <w:tcBorders>
              <w:top w:val="single" w:sz="8" w:space="0" w:color="7F7F7F"/>
              <w:left w:val="nil"/>
              <w:bottom w:val="single" w:sz="8" w:space="0" w:color="7F7F7F"/>
              <w:right w:val="nil"/>
            </w:tcBorders>
            <w:shd w:val="clear" w:color="auto" w:fill="auto"/>
            <w:vAlign w:val="center"/>
            <w:hideMark/>
          </w:tcPr>
          <w:p w14:paraId="3F00C2A8"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21,150</w:t>
            </w:r>
          </w:p>
        </w:tc>
        <w:tc>
          <w:tcPr>
            <w:tcW w:w="0" w:type="auto"/>
            <w:tcBorders>
              <w:top w:val="single" w:sz="8" w:space="0" w:color="7F7F7F"/>
              <w:left w:val="nil"/>
              <w:bottom w:val="single" w:sz="8" w:space="0" w:color="7F7F7F"/>
              <w:right w:val="nil"/>
            </w:tcBorders>
            <w:shd w:val="clear" w:color="auto" w:fill="auto"/>
            <w:vAlign w:val="center"/>
            <w:hideMark/>
          </w:tcPr>
          <w:p w14:paraId="1B387C61"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22.4</w:t>
            </w:r>
          </w:p>
        </w:tc>
        <w:tc>
          <w:tcPr>
            <w:tcW w:w="0" w:type="auto"/>
            <w:tcBorders>
              <w:top w:val="single" w:sz="8" w:space="0" w:color="7F7F7F"/>
              <w:left w:val="nil"/>
              <w:bottom w:val="single" w:sz="8" w:space="0" w:color="7F7F7F"/>
              <w:right w:val="nil"/>
            </w:tcBorders>
            <w:shd w:val="clear" w:color="auto" w:fill="auto"/>
            <w:vAlign w:val="center"/>
            <w:hideMark/>
          </w:tcPr>
          <w:p w14:paraId="61084471"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22.2–22.7</w:t>
            </w:r>
          </w:p>
        </w:tc>
        <w:tc>
          <w:tcPr>
            <w:tcW w:w="0" w:type="auto"/>
            <w:tcBorders>
              <w:top w:val="single" w:sz="8" w:space="0" w:color="7F7F7F"/>
              <w:left w:val="nil"/>
              <w:bottom w:val="single" w:sz="8" w:space="0" w:color="7F7F7F"/>
              <w:right w:val="nil"/>
            </w:tcBorders>
            <w:shd w:val="clear" w:color="auto" w:fill="auto"/>
            <w:vAlign w:val="center"/>
            <w:hideMark/>
          </w:tcPr>
          <w:p w14:paraId="15368D87"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8435</w:t>
            </w:r>
          </w:p>
        </w:tc>
        <w:tc>
          <w:tcPr>
            <w:tcW w:w="0" w:type="auto"/>
            <w:tcBorders>
              <w:top w:val="single" w:sz="8" w:space="0" w:color="7F7F7F"/>
              <w:left w:val="nil"/>
              <w:bottom w:val="single" w:sz="8" w:space="0" w:color="7F7F7F"/>
              <w:right w:val="nil"/>
            </w:tcBorders>
            <w:shd w:val="clear" w:color="auto" w:fill="auto"/>
            <w:vAlign w:val="center"/>
            <w:hideMark/>
          </w:tcPr>
          <w:p w14:paraId="68E02BCA" w14:textId="73DA0561"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22</w:t>
            </w:r>
            <w:r w:rsidR="00E03A4A">
              <w:rPr>
                <w:rFonts w:eastAsia="Times New Roman" w:cs="Calibri"/>
                <w:noProof w:val="0"/>
                <w:sz w:val="18"/>
                <w:szCs w:val="18"/>
                <w:lang w:val="en-GB"/>
              </w:rPr>
              <w:t>.0</w:t>
            </w:r>
          </w:p>
        </w:tc>
        <w:tc>
          <w:tcPr>
            <w:tcW w:w="0" w:type="auto"/>
            <w:tcBorders>
              <w:top w:val="single" w:sz="8" w:space="0" w:color="7F7F7F"/>
              <w:left w:val="nil"/>
              <w:bottom w:val="single" w:sz="8" w:space="0" w:color="7F7F7F"/>
              <w:right w:val="nil"/>
            </w:tcBorders>
            <w:shd w:val="clear" w:color="auto" w:fill="auto"/>
            <w:vAlign w:val="center"/>
            <w:hideMark/>
          </w:tcPr>
          <w:p w14:paraId="7AFCC39D"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21.5–22.4</w:t>
            </w:r>
          </w:p>
        </w:tc>
      </w:tr>
      <w:tr w:rsidR="00451533" w:rsidRPr="00451533" w14:paraId="120141C3" w14:textId="77777777" w:rsidTr="00906A7E">
        <w:trPr>
          <w:cantSplit/>
        </w:trPr>
        <w:tc>
          <w:tcPr>
            <w:tcW w:w="0" w:type="auto"/>
            <w:vMerge/>
            <w:tcBorders>
              <w:top w:val="nil"/>
              <w:left w:val="nil"/>
              <w:bottom w:val="single" w:sz="8" w:space="0" w:color="7F7F7F"/>
              <w:right w:val="nil"/>
            </w:tcBorders>
            <w:vAlign w:val="center"/>
            <w:hideMark/>
          </w:tcPr>
          <w:p w14:paraId="0C0AC4E9"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nil"/>
              <w:left w:val="nil"/>
              <w:bottom w:val="nil"/>
              <w:right w:val="nil"/>
            </w:tcBorders>
            <w:shd w:val="clear" w:color="auto" w:fill="auto"/>
            <w:vAlign w:val="center"/>
            <w:hideMark/>
          </w:tcPr>
          <w:p w14:paraId="1430C90F"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Not known</w:t>
            </w:r>
          </w:p>
        </w:tc>
        <w:tc>
          <w:tcPr>
            <w:tcW w:w="0" w:type="auto"/>
            <w:tcBorders>
              <w:top w:val="nil"/>
              <w:left w:val="nil"/>
              <w:bottom w:val="nil"/>
              <w:right w:val="nil"/>
            </w:tcBorders>
            <w:shd w:val="clear" w:color="auto" w:fill="auto"/>
            <w:vAlign w:val="center"/>
            <w:hideMark/>
          </w:tcPr>
          <w:p w14:paraId="2E9DF09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6610</w:t>
            </w:r>
          </w:p>
        </w:tc>
        <w:tc>
          <w:tcPr>
            <w:tcW w:w="0" w:type="auto"/>
            <w:tcBorders>
              <w:top w:val="nil"/>
              <w:left w:val="nil"/>
              <w:bottom w:val="nil"/>
              <w:right w:val="nil"/>
            </w:tcBorders>
            <w:shd w:val="clear" w:color="auto" w:fill="auto"/>
            <w:vAlign w:val="center"/>
            <w:hideMark/>
          </w:tcPr>
          <w:p w14:paraId="7C235D71"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w:t>
            </w:r>
          </w:p>
        </w:tc>
        <w:tc>
          <w:tcPr>
            <w:tcW w:w="0" w:type="auto"/>
            <w:tcBorders>
              <w:top w:val="nil"/>
              <w:left w:val="nil"/>
              <w:bottom w:val="nil"/>
              <w:right w:val="nil"/>
            </w:tcBorders>
            <w:shd w:val="clear" w:color="auto" w:fill="auto"/>
            <w:vAlign w:val="center"/>
            <w:hideMark/>
          </w:tcPr>
          <w:p w14:paraId="73C4A5AB"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4.8–5.1</w:t>
            </w:r>
          </w:p>
        </w:tc>
        <w:tc>
          <w:tcPr>
            <w:tcW w:w="0" w:type="auto"/>
            <w:tcBorders>
              <w:top w:val="nil"/>
              <w:left w:val="nil"/>
              <w:bottom w:val="nil"/>
              <w:right w:val="nil"/>
            </w:tcBorders>
            <w:shd w:val="clear" w:color="auto" w:fill="auto"/>
            <w:vAlign w:val="center"/>
            <w:hideMark/>
          </w:tcPr>
          <w:p w14:paraId="5A14876E"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4705</w:t>
            </w:r>
          </w:p>
        </w:tc>
        <w:tc>
          <w:tcPr>
            <w:tcW w:w="0" w:type="auto"/>
            <w:tcBorders>
              <w:top w:val="nil"/>
              <w:left w:val="nil"/>
              <w:bottom w:val="nil"/>
              <w:right w:val="nil"/>
            </w:tcBorders>
            <w:shd w:val="clear" w:color="auto" w:fill="auto"/>
            <w:vAlign w:val="center"/>
            <w:hideMark/>
          </w:tcPr>
          <w:p w14:paraId="609C7FF8" w14:textId="39B91B14"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w:t>
            </w:r>
            <w:r w:rsidR="00E03A4A">
              <w:rPr>
                <w:rFonts w:eastAsia="Times New Roman" w:cs="Calibri"/>
                <w:noProof w:val="0"/>
                <w:sz w:val="18"/>
                <w:szCs w:val="18"/>
                <w:lang w:val="en-GB"/>
              </w:rPr>
              <w:t>.0</w:t>
            </w:r>
          </w:p>
        </w:tc>
        <w:tc>
          <w:tcPr>
            <w:tcW w:w="0" w:type="auto"/>
            <w:tcBorders>
              <w:top w:val="nil"/>
              <w:left w:val="nil"/>
              <w:bottom w:val="nil"/>
              <w:right w:val="nil"/>
            </w:tcBorders>
            <w:shd w:val="clear" w:color="auto" w:fill="auto"/>
            <w:vAlign w:val="center"/>
            <w:hideMark/>
          </w:tcPr>
          <w:p w14:paraId="6EE63458"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4.9–5.1</w:t>
            </w:r>
          </w:p>
        </w:tc>
        <w:tc>
          <w:tcPr>
            <w:tcW w:w="0" w:type="auto"/>
            <w:tcBorders>
              <w:top w:val="nil"/>
              <w:left w:val="nil"/>
              <w:bottom w:val="nil"/>
              <w:right w:val="nil"/>
            </w:tcBorders>
            <w:shd w:val="clear" w:color="auto" w:fill="auto"/>
            <w:vAlign w:val="center"/>
            <w:hideMark/>
          </w:tcPr>
          <w:p w14:paraId="1072F95A"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1905</w:t>
            </w:r>
          </w:p>
        </w:tc>
        <w:tc>
          <w:tcPr>
            <w:tcW w:w="0" w:type="auto"/>
            <w:tcBorders>
              <w:top w:val="nil"/>
              <w:left w:val="nil"/>
              <w:bottom w:val="nil"/>
              <w:right w:val="nil"/>
            </w:tcBorders>
            <w:shd w:val="clear" w:color="auto" w:fill="auto"/>
            <w:vAlign w:val="center"/>
            <w:hideMark/>
          </w:tcPr>
          <w:p w14:paraId="25D49C08" w14:textId="2E009914"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5</w:t>
            </w:r>
            <w:r w:rsidR="00E03A4A">
              <w:rPr>
                <w:rFonts w:eastAsia="Times New Roman" w:cs="Calibri"/>
                <w:noProof w:val="0"/>
                <w:sz w:val="18"/>
                <w:szCs w:val="18"/>
                <w:lang w:val="en-GB"/>
              </w:rPr>
              <w:t>.0</w:t>
            </w:r>
          </w:p>
        </w:tc>
        <w:tc>
          <w:tcPr>
            <w:tcW w:w="0" w:type="auto"/>
            <w:tcBorders>
              <w:top w:val="nil"/>
              <w:left w:val="nil"/>
              <w:bottom w:val="nil"/>
              <w:right w:val="nil"/>
            </w:tcBorders>
            <w:shd w:val="clear" w:color="auto" w:fill="auto"/>
            <w:vAlign w:val="center"/>
            <w:hideMark/>
          </w:tcPr>
          <w:p w14:paraId="6872AA6F"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4.7–5.2</w:t>
            </w:r>
          </w:p>
        </w:tc>
      </w:tr>
      <w:tr w:rsidR="00451533" w:rsidRPr="00451533" w14:paraId="3056D6F8" w14:textId="77777777" w:rsidTr="00906A7E">
        <w:trPr>
          <w:cantSplit/>
        </w:trPr>
        <w:tc>
          <w:tcPr>
            <w:tcW w:w="0" w:type="auto"/>
            <w:vMerge/>
            <w:tcBorders>
              <w:top w:val="nil"/>
              <w:left w:val="nil"/>
              <w:bottom w:val="single" w:sz="8" w:space="0" w:color="7F7F7F"/>
              <w:right w:val="nil"/>
            </w:tcBorders>
            <w:vAlign w:val="center"/>
            <w:hideMark/>
          </w:tcPr>
          <w:p w14:paraId="55449CB9" w14:textId="77777777" w:rsidR="00451533" w:rsidRPr="00451533" w:rsidRDefault="00451533" w:rsidP="00451533">
            <w:pPr>
              <w:spacing w:line="240" w:lineRule="auto"/>
              <w:jc w:val="left"/>
              <w:rPr>
                <w:rFonts w:eastAsia="Times New Roman" w:cs="Calibri"/>
                <w:noProof w:val="0"/>
                <w:sz w:val="18"/>
                <w:szCs w:val="18"/>
              </w:rPr>
            </w:pPr>
          </w:p>
        </w:tc>
        <w:tc>
          <w:tcPr>
            <w:tcW w:w="0" w:type="auto"/>
            <w:tcBorders>
              <w:top w:val="single" w:sz="8" w:space="0" w:color="7F7F7F"/>
              <w:left w:val="nil"/>
              <w:bottom w:val="single" w:sz="8" w:space="0" w:color="7F7F7F"/>
              <w:right w:val="nil"/>
            </w:tcBorders>
            <w:shd w:val="clear" w:color="auto" w:fill="auto"/>
            <w:vAlign w:val="center"/>
            <w:hideMark/>
          </w:tcPr>
          <w:p w14:paraId="443D389A"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Missing</w:t>
            </w:r>
          </w:p>
        </w:tc>
        <w:tc>
          <w:tcPr>
            <w:tcW w:w="0" w:type="auto"/>
            <w:tcBorders>
              <w:top w:val="single" w:sz="8" w:space="0" w:color="7F7F7F"/>
              <w:left w:val="nil"/>
              <w:bottom w:val="single" w:sz="8" w:space="0" w:color="7F7F7F"/>
              <w:right w:val="nil"/>
            </w:tcBorders>
            <w:shd w:val="clear" w:color="auto" w:fill="auto"/>
            <w:vAlign w:val="center"/>
            <w:hideMark/>
          </w:tcPr>
          <w:p w14:paraId="7BB14C26"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690</w:t>
            </w:r>
          </w:p>
        </w:tc>
        <w:tc>
          <w:tcPr>
            <w:tcW w:w="0" w:type="auto"/>
            <w:tcBorders>
              <w:top w:val="single" w:sz="8" w:space="0" w:color="7F7F7F"/>
              <w:left w:val="nil"/>
              <w:bottom w:val="single" w:sz="8" w:space="0" w:color="7F7F7F"/>
              <w:right w:val="nil"/>
            </w:tcBorders>
            <w:shd w:val="clear" w:color="auto" w:fill="auto"/>
            <w:vAlign w:val="center"/>
            <w:hideMark/>
          </w:tcPr>
          <w:p w14:paraId="5BC356B3"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0.5</w:t>
            </w:r>
          </w:p>
        </w:tc>
        <w:tc>
          <w:tcPr>
            <w:tcW w:w="0" w:type="auto"/>
            <w:tcBorders>
              <w:top w:val="single" w:sz="8" w:space="0" w:color="7F7F7F"/>
              <w:left w:val="nil"/>
              <w:bottom w:val="single" w:sz="8" w:space="0" w:color="7F7F7F"/>
              <w:right w:val="nil"/>
            </w:tcBorders>
            <w:shd w:val="clear" w:color="auto" w:fill="auto"/>
            <w:vAlign w:val="center"/>
            <w:hideMark/>
          </w:tcPr>
          <w:p w14:paraId="6FE1E578"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0.5–0.6</w:t>
            </w:r>
          </w:p>
        </w:tc>
        <w:tc>
          <w:tcPr>
            <w:tcW w:w="0" w:type="auto"/>
            <w:tcBorders>
              <w:top w:val="single" w:sz="8" w:space="0" w:color="7F7F7F"/>
              <w:left w:val="nil"/>
              <w:bottom w:val="single" w:sz="8" w:space="0" w:color="7F7F7F"/>
              <w:right w:val="nil"/>
            </w:tcBorders>
            <w:shd w:val="clear" w:color="auto" w:fill="auto"/>
            <w:vAlign w:val="center"/>
            <w:hideMark/>
          </w:tcPr>
          <w:p w14:paraId="482D21A2"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w:t>
            </w:r>
          </w:p>
        </w:tc>
        <w:tc>
          <w:tcPr>
            <w:tcW w:w="0" w:type="auto"/>
            <w:tcBorders>
              <w:top w:val="single" w:sz="8" w:space="0" w:color="7F7F7F"/>
              <w:left w:val="nil"/>
              <w:bottom w:val="single" w:sz="8" w:space="0" w:color="7F7F7F"/>
              <w:right w:val="nil"/>
            </w:tcBorders>
            <w:shd w:val="clear" w:color="auto" w:fill="auto"/>
            <w:vAlign w:val="center"/>
            <w:hideMark/>
          </w:tcPr>
          <w:p w14:paraId="06701334"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w:t>
            </w:r>
          </w:p>
        </w:tc>
        <w:tc>
          <w:tcPr>
            <w:tcW w:w="0" w:type="auto"/>
            <w:tcBorders>
              <w:top w:val="single" w:sz="8" w:space="0" w:color="7F7F7F"/>
              <w:left w:val="nil"/>
              <w:bottom w:val="single" w:sz="8" w:space="0" w:color="7F7F7F"/>
              <w:right w:val="nil"/>
            </w:tcBorders>
            <w:shd w:val="clear" w:color="auto" w:fill="auto"/>
            <w:vAlign w:val="center"/>
            <w:hideMark/>
          </w:tcPr>
          <w:p w14:paraId="149D7315"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w:t>
            </w:r>
          </w:p>
        </w:tc>
        <w:tc>
          <w:tcPr>
            <w:tcW w:w="0" w:type="auto"/>
            <w:tcBorders>
              <w:top w:val="single" w:sz="8" w:space="0" w:color="7F7F7F"/>
              <w:left w:val="nil"/>
              <w:bottom w:val="single" w:sz="8" w:space="0" w:color="7F7F7F"/>
              <w:right w:val="nil"/>
            </w:tcBorders>
            <w:shd w:val="clear" w:color="auto" w:fill="auto"/>
            <w:vAlign w:val="center"/>
            <w:hideMark/>
          </w:tcPr>
          <w:p w14:paraId="7754A127"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w:t>
            </w:r>
          </w:p>
        </w:tc>
        <w:tc>
          <w:tcPr>
            <w:tcW w:w="0" w:type="auto"/>
            <w:tcBorders>
              <w:top w:val="single" w:sz="8" w:space="0" w:color="7F7F7F"/>
              <w:left w:val="nil"/>
              <w:bottom w:val="single" w:sz="8" w:space="0" w:color="7F7F7F"/>
              <w:right w:val="nil"/>
            </w:tcBorders>
            <w:shd w:val="clear" w:color="auto" w:fill="auto"/>
            <w:vAlign w:val="center"/>
            <w:hideMark/>
          </w:tcPr>
          <w:p w14:paraId="04B73BAC"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w:t>
            </w:r>
          </w:p>
        </w:tc>
        <w:tc>
          <w:tcPr>
            <w:tcW w:w="0" w:type="auto"/>
            <w:tcBorders>
              <w:top w:val="single" w:sz="8" w:space="0" w:color="7F7F7F"/>
              <w:left w:val="nil"/>
              <w:bottom w:val="single" w:sz="8" w:space="0" w:color="7F7F7F"/>
              <w:right w:val="nil"/>
            </w:tcBorders>
            <w:shd w:val="clear" w:color="auto" w:fill="auto"/>
            <w:vAlign w:val="center"/>
            <w:hideMark/>
          </w:tcPr>
          <w:p w14:paraId="0478FB8C" w14:textId="77777777" w:rsidR="00451533" w:rsidRPr="00451533" w:rsidRDefault="00451533" w:rsidP="00451533">
            <w:pPr>
              <w:spacing w:line="240" w:lineRule="auto"/>
              <w:jc w:val="right"/>
              <w:rPr>
                <w:rFonts w:eastAsia="Times New Roman" w:cs="Calibri"/>
                <w:noProof w:val="0"/>
                <w:sz w:val="18"/>
                <w:szCs w:val="18"/>
              </w:rPr>
            </w:pPr>
            <w:r w:rsidRPr="00451533">
              <w:rPr>
                <w:rFonts w:eastAsia="Times New Roman" w:cs="Calibri"/>
                <w:noProof w:val="0"/>
                <w:sz w:val="18"/>
                <w:szCs w:val="18"/>
                <w:lang w:val="en-GB"/>
              </w:rPr>
              <w:t>-</w:t>
            </w:r>
          </w:p>
        </w:tc>
      </w:tr>
    </w:tbl>
    <w:p w14:paraId="38C112AC" w14:textId="4A35301D" w:rsidR="00EF6C1C" w:rsidRPr="006436E9" w:rsidRDefault="00EF6C1C" w:rsidP="00807D56">
      <w:pPr>
        <w:pStyle w:val="MDPI43tablefooter"/>
        <w:spacing w:after="240"/>
        <w:rPr>
          <w:szCs w:val="20"/>
          <w:lang w:val="en-GB"/>
        </w:rPr>
      </w:pPr>
      <w:r w:rsidRPr="006436E9">
        <w:rPr>
          <w:lang w:val="en-GB"/>
        </w:rPr>
        <w:t>*</w:t>
      </w:r>
      <w:r w:rsidR="00B93506" w:rsidRPr="006436E9">
        <w:rPr>
          <w:lang w:val="en-GB"/>
        </w:rPr>
        <w:t xml:space="preserve"> </w:t>
      </w:r>
      <w:r w:rsidRPr="006436E9">
        <w:rPr>
          <w:lang w:val="en-GB"/>
        </w:rPr>
        <w:t>All counts are rounded to the nearest 5 or 10 as per requirements of the Department of Health and Social Care and NHS England.</w:t>
      </w:r>
      <w:r w:rsidR="00B15757" w:rsidRPr="006436E9">
        <w:rPr>
          <w:lang w:val="en-GB"/>
        </w:rPr>
        <w:t xml:space="preserve"> </w:t>
      </w:r>
      <w:r w:rsidRPr="006436E9">
        <w:rPr>
          <w:szCs w:val="20"/>
          <w:lang w:val="en-GB"/>
        </w:rPr>
        <w:t>**</w:t>
      </w:r>
      <w:r w:rsidR="00B93506" w:rsidRPr="006436E9">
        <w:rPr>
          <w:szCs w:val="20"/>
          <w:lang w:val="en-GB"/>
        </w:rPr>
        <w:t xml:space="preserve"> </w:t>
      </w:r>
      <w:r w:rsidRPr="006436E9">
        <w:rPr>
          <w:szCs w:val="20"/>
          <w:lang w:val="en-GB"/>
        </w:rPr>
        <w:t>Other categories for gender included ‘Not known’ (15 cases)</w:t>
      </w:r>
      <w:r w:rsidR="0024060B" w:rsidRPr="006436E9">
        <w:rPr>
          <w:szCs w:val="20"/>
          <w:lang w:val="en-GB"/>
        </w:rPr>
        <w:t xml:space="preserve"> and</w:t>
      </w:r>
      <w:r w:rsidRPr="006436E9">
        <w:rPr>
          <w:szCs w:val="20"/>
          <w:lang w:val="en-GB"/>
        </w:rPr>
        <w:t xml:space="preserve"> ‘Not specified’ (less than 10) but were excluded from the analysis due to insufficient numbers.</w:t>
      </w:r>
    </w:p>
    <w:p w14:paraId="76E71A0C" w14:textId="77777777" w:rsidR="00EF6C1C" w:rsidRPr="006436E9" w:rsidRDefault="00EF6C1C" w:rsidP="00413456">
      <w:pPr>
        <w:pStyle w:val="MDPI31text"/>
        <w:rPr>
          <w:lang w:val="en-GB"/>
        </w:rPr>
        <w:sectPr w:rsidR="00EF6C1C" w:rsidRPr="006436E9" w:rsidSect="00B22474">
          <w:pgSz w:w="16838" w:h="11906" w:orient="landscape" w:code="9"/>
          <w:pgMar w:top="1417" w:right="720" w:bottom="1077" w:left="720" w:header="1020" w:footer="340" w:gutter="0"/>
          <w:cols w:space="425"/>
          <w:bidi/>
          <w:docGrid w:type="linesAndChars" w:linePitch="326"/>
        </w:sectPr>
      </w:pPr>
    </w:p>
    <w:p w14:paraId="72812084" w14:textId="7583952F" w:rsidR="000420B5" w:rsidRPr="006436E9" w:rsidRDefault="000420B5" w:rsidP="00EF6C1C">
      <w:pPr>
        <w:pStyle w:val="MDPI31text"/>
        <w:rPr>
          <w:lang w:val="en-GB"/>
        </w:rPr>
      </w:pPr>
      <w:r w:rsidRPr="006436E9">
        <w:rPr>
          <w:lang w:val="en-GB"/>
        </w:rPr>
        <w:lastRenderedPageBreak/>
        <w:t xml:space="preserve">The HES A&amp;E assault code only takes into account physical violence, which </w:t>
      </w:r>
      <w:r w:rsidR="0024060B" w:rsidRPr="006436E9">
        <w:rPr>
          <w:lang w:val="en-GB"/>
        </w:rPr>
        <w:t xml:space="preserve">could </w:t>
      </w:r>
      <w:r w:rsidRPr="006436E9">
        <w:rPr>
          <w:lang w:val="en-GB"/>
        </w:rPr>
        <w:t>explain why the findings suggested that the most frequent violence victims were young men. Also, the dataset does not contain information on the relationship with the assault assailant, making it more difficult to understand the contexts related to violence and abuse experienced by different groups.</w:t>
      </w:r>
    </w:p>
    <w:p w14:paraId="5EC96947" w14:textId="366AAD98" w:rsidR="000420B5" w:rsidRPr="006436E9" w:rsidRDefault="000420B5" w:rsidP="00EF6C1C">
      <w:pPr>
        <w:pStyle w:val="MDPI31text"/>
        <w:rPr>
          <w:lang w:val="en-GB"/>
        </w:rPr>
      </w:pPr>
      <w:r w:rsidRPr="006436E9">
        <w:rPr>
          <w:lang w:val="en-GB"/>
        </w:rPr>
        <w:t>When HES A&amp;E is used for measuring violence, it is important to acknowledge that only physical assaults can be indicated. For other types of violence, the dataset might not be suitable.</w:t>
      </w:r>
    </w:p>
    <w:p w14:paraId="6FD8B669" w14:textId="2E02D5FA" w:rsidR="000420B5" w:rsidRPr="006436E9" w:rsidRDefault="00EF6C1C" w:rsidP="00EF6C1C">
      <w:pPr>
        <w:pStyle w:val="MDPI22heading2"/>
        <w:spacing w:before="240"/>
        <w:rPr>
          <w:noProof w:val="0"/>
          <w:lang w:val="en-GB"/>
        </w:rPr>
      </w:pPr>
      <w:r w:rsidRPr="006436E9">
        <w:rPr>
          <w:noProof w:val="0"/>
          <w:lang w:val="en-GB"/>
        </w:rPr>
        <w:t xml:space="preserve">3.3. </w:t>
      </w:r>
      <w:r w:rsidR="000420B5" w:rsidRPr="006436E9">
        <w:rPr>
          <w:noProof w:val="0"/>
          <w:lang w:val="en-GB"/>
        </w:rPr>
        <w:t>Emergency Care Data Set (ECDS)</w:t>
      </w:r>
    </w:p>
    <w:p w14:paraId="67DAD061" w14:textId="29766309" w:rsidR="000420B5" w:rsidRPr="006436E9" w:rsidRDefault="000420B5" w:rsidP="00EF6C1C">
      <w:pPr>
        <w:pStyle w:val="MDPI31text"/>
        <w:rPr>
          <w:lang w:val="en-GB"/>
        </w:rPr>
      </w:pPr>
      <w:r w:rsidRPr="006436E9">
        <w:rPr>
          <w:lang w:val="en-GB"/>
        </w:rPr>
        <w:t xml:space="preserve">The successor to </w:t>
      </w:r>
      <w:r w:rsidR="0024060B" w:rsidRPr="006436E9">
        <w:rPr>
          <w:lang w:val="en-GB"/>
        </w:rPr>
        <w:t xml:space="preserve">the </w:t>
      </w:r>
      <w:r w:rsidRPr="006436E9">
        <w:rPr>
          <w:lang w:val="en-GB"/>
        </w:rPr>
        <w:t xml:space="preserve">HES A&amp;E, </w:t>
      </w:r>
      <w:r w:rsidR="0024060B" w:rsidRPr="006436E9">
        <w:rPr>
          <w:lang w:val="en-GB"/>
        </w:rPr>
        <w:t xml:space="preserve">the </w:t>
      </w:r>
      <w:r w:rsidRPr="006436E9">
        <w:rPr>
          <w:lang w:val="en-GB"/>
        </w:rPr>
        <w:t>ECDS, was launched to provide more detailed and consistently recorded data on all ED activity</w:t>
      </w:r>
      <w:r w:rsidR="0024060B" w:rsidRPr="006436E9">
        <w:rPr>
          <w:lang w:val="en-GB"/>
        </w:rPr>
        <w:t xml:space="preserve"> </w:t>
      </w:r>
      <w:r w:rsidRPr="006436E9">
        <w:rPr>
          <w:lang w:val="en-GB"/>
        </w:rPr>
        <w:t xml:space="preserve">and to obtain a greater understanding of the complexity of patients and the reasons for attending emergency care services. </w:t>
      </w:r>
      <w:r w:rsidR="0024060B" w:rsidRPr="006436E9">
        <w:rPr>
          <w:lang w:val="en-GB"/>
        </w:rPr>
        <w:t xml:space="preserve">The </w:t>
      </w:r>
      <w:r w:rsidRPr="006436E9">
        <w:rPr>
          <w:lang w:val="en-GB"/>
        </w:rPr>
        <w:t>ECDS include</w:t>
      </w:r>
      <w:r w:rsidR="0024060B" w:rsidRPr="006436E9">
        <w:rPr>
          <w:lang w:val="en-GB"/>
        </w:rPr>
        <w:t>s</w:t>
      </w:r>
      <w:r w:rsidRPr="006436E9">
        <w:rPr>
          <w:lang w:val="en-GB"/>
        </w:rPr>
        <w:t xml:space="preserve"> Information Sharing to Tackle Violence (ISTV), which is a subset of data informed by the Cardiff Model </w:t>
      </w:r>
      <w:r w:rsidR="00436D8F" w:rsidRPr="006436E9">
        <w:rPr>
          <w:lang w:val="en-GB"/>
        </w:rPr>
        <w:t>(Florence et al. 2011)</w:t>
      </w:r>
      <w:r w:rsidRPr="006436E9">
        <w:rPr>
          <w:lang w:val="en-GB"/>
        </w:rPr>
        <w:fldChar w:fldCharType="begin"/>
      </w:r>
      <w:r w:rsidR="00510B5C" w:rsidRPr="006436E9">
        <w:rPr>
          <w:lang w:val="en-GB"/>
        </w:rPr>
        <w:instrText xml:space="preserve"> ADDIN EN.CITE &lt;EndNote&gt;&lt;Cite&gt;&lt;Author&gt;Florence&lt;/Author&gt;&lt;Year&gt;2011&lt;/Year&gt;&lt;RecNum&gt;83&lt;/RecNum&gt;&lt;record&gt;&lt;rec-number&gt;83&lt;/rec-number&gt;&lt;foreign-keys&gt;&lt;key app="EN" db-id="ea20aprfuxefvgeet96vdtfxv90eesr9t5tt" timestamp="1652971993"&gt;83&lt;/key&gt;&lt;/foreign-keys&gt;&lt;ref-type name="Journal Article"&gt;17&lt;/ref-type&gt;&lt;contributors&gt;&lt;authors&gt;&lt;author&gt;Florence, Curtis&lt;/author&gt;&lt;author&gt;Shepherd, Jonathan&lt;/author&gt;&lt;author&gt;Brennan, Iain&lt;/author&gt;&lt;author&gt;Simon, Thomas&lt;/author&gt;&lt;/authors&gt;&lt;/contributors&gt;&lt;titles&gt;&lt;title&gt;Effectiveness of anonymised information sharing and use in health service, police, and local government partnership for preventing violence related injury: experimental study and time series analysis&lt;/title&gt;&lt;secondary-title&gt;Bmj&lt;/secondary-title&gt;&lt;/titles&gt;&lt;periodical&gt;&lt;full-title&gt;Bmj&lt;/full-title&gt;&lt;/periodical&gt;&lt;volume&gt;342&lt;/volume&gt;&lt;dates&gt;&lt;year&gt;2011&lt;/year&gt;&lt;/dates&gt;&lt;isbn&gt;0959-8138&lt;/isbn&gt;&lt;urls&gt;&lt;/urls&gt;&lt;/record&gt;&lt;/Cite&gt;&lt;/EndNote&gt;</w:instrText>
      </w:r>
      <w:r w:rsidRPr="006436E9">
        <w:rPr>
          <w:lang w:val="en-GB"/>
        </w:rPr>
        <w:fldChar w:fldCharType="end"/>
      </w:r>
      <w:r w:rsidRPr="006436E9">
        <w:rPr>
          <w:lang w:val="en-GB"/>
        </w:rPr>
        <w:t xml:space="preserve">. The data in ISTV includes all ED attendances resulting from violent incidents and </w:t>
      </w:r>
      <w:r w:rsidR="0024060B" w:rsidRPr="006436E9">
        <w:rPr>
          <w:lang w:val="en-GB"/>
        </w:rPr>
        <w:t xml:space="preserve">was </w:t>
      </w:r>
      <w:r w:rsidRPr="006436E9">
        <w:rPr>
          <w:lang w:val="en-GB"/>
        </w:rPr>
        <w:t>designed to enhance the understanding of violence</w:t>
      </w:r>
      <w:r w:rsidR="0024060B" w:rsidRPr="006436E9">
        <w:rPr>
          <w:lang w:val="en-GB"/>
        </w:rPr>
        <w:t>,</w:t>
      </w:r>
      <w:r w:rsidRPr="006436E9">
        <w:rPr>
          <w:lang w:val="en-GB"/>
        </w:rPr>
        <w:t xml:space="preserve"> including its geographical and temporal or seasonal patterns. In terms of sociodemographic characteristics, </w:t>
      </w:r>
      <w:r w:rsidR="0024060B" w:rsidRPr="006436E9">
        <w:rPr>
          <w:lang w:val="en-GB"/>
        </w:rPr>
        <w:t xml:space="preserve">the </w:t>
      </w:r>
      <w:r w:rsidRPr="006436E9">
        <w:rPr>
          <w:lang w:val="en-GB"/>
        </w:rPr>
        <w:t>ECDS collects information on age, gender, ethnicity, and</w:t>
      </w:r>
      <w:r w:rsidR="0024060B" w:rsidRPr="006436E9">
        <w:rPr>
          <w:lang w:val="en-GB"/>
        </w:rPr>
        <w:t xml:space="preserve"> the</w:t>
      </w:r>
      <w:r w:rsidRPr="006436E9">
        <w:rPr>
          <w:lang w:val="en-GB"/>
        </w:rPr>
        <w:t xml:space="preserve"> postcode of the patient’s registered address (Table 2). </w:t>
      </w:r>
      <w:r w:rsidR="0024060B" w:rsidRPr="006436E9">
        <w:rPr>
          <w:lang w:val="en-GB"/>
        </w:rPr>
        <w:t xml:space="preserve">The </w:t>
      </w:r>
      <w:r w:rsidRPr="006436E9">
        <w:rPr>
          <w:lang w:val="en-GB"/>
        </w:rPr>
        <w:t xml:space="preserve">ECDS also records accommodation status, which can specify whether a patient lives in a private household, temporary shelter, residential setting (such as an offender institution or in nursing care), </w:t>
      </w:r>
      <w:r w:rsidR="0024060B" w:rsidRPr="006436E9">
        <w:rPr>
          <w:lang w:val="en-GB"/>
        </w:rPr>
        <w:t xml:space="preserve">or </w:t>
      </w:r>
      <w:r w:rsidRPr="006436E9">
        <w:rPr>
          <w:lang w:val="en-GB"/>
        </w:rPr>
        <w:t>student accommodation or is homeless (</w:t>
      </w:r>
      <w:r w:rsidR="005A6B56" w:rsidRPr="006436E9">
        <w:rPr>
          <w:szCs w:val="18"/>
          <w:lang w:val="en-GB"/>
        </w:rPr>
        <w:t>Harrison et al. 2020)</w:t>
      </w:r>
      <w:r w:rsidRPr="006436E9">
        <w:rPr>
          <w:lang w:val="en-GB"/>
        </w:rPr>
        <w:t xml:space="preserve">. Additionally, </w:t>
      </w:r>
      <w:r w:rsidR="0024060B" w:rsidRPr="006436E9">
        <w:rPr>
          <w:lang w:val="en-GB"/>
        </w:rPr>
        <w:t xml:space="preserve">the </w:t>
      </w:r>
      <w:r w:rsidRPr="006436E9">
        <w:rPr>
          <w:lang w:val="en-GB"/>
        </w:rPr>
        <w:t>ECDS contains information on whether the patient is an overseas visitor, their preferred spoken language</w:t>
      </w:r>
      <w:r w:rsidR="0024060B" w:rsidRPr="006436E9">
        <w:rPr>
          <w:lang w:val="en-GB"/>
        </w:rPr>
        <w:t>,</w:t>
      </w:r>
      <w:r w:rsidRPr="006436E9">
        <w:rPr>
          <w:lang w:val="en-GB"/>
        </w:rPr>
        <w:t xml:space="preserve"> and</w:t>
      </w:r>
      <w:r w:rsidR="0024060B" w:rsidRPr="006436E9">
        <w:rPr>
          <w:lang w:val="en-GB"/>
        </w:rPr>
        <w:t xml:space="preserve"> their</w:t>
      </w:r>
      <w:r w:rsidRPr="006436E9">
        <w:rPr>
          <w:lang w:val="en-GB"/>
        </w:rPr>
        <w:t xml:space="preserve"> interpreter language, which can give some insights </w:t>
      </w:r>
      <w:r w:rsidR="0024060B" w:rsidRPr="006436E9">
        <w:rPr>
          <w:lang w:val="en-GB"/>
        </w:rPr>
        <w:t xml:space="preserve">into </w:t>
      </w:r>
      <w:r w:rsidRPr="006436E9">
        <w:rPr>
          <w:lang w:val="en-GB"/>
        </w:rPr>
        <w:t>whether the person is a migrant.</w:t>
      </w:r>
    </w:p>
    <w:p w14:paraId="4EB56E09" w14:textId="71AE71FD" w:rsidR="000420B5" w:rsidRPr="006436E9" w:rsidRDefault="00EF6C1C" w:rsidP="00EF6C1C">
      <w:pPr>
        <w:pStyle w:val="MDPI23heading3"/>
        <w:spacing w:before="240"/>
        <w:rPr>
          <w:lang w:val="en-GB"/>
        </w:rPr>
      </w:pPr>
      <w:r w:rsidRPr="006436E9">
        <w:rPr>
          <w:lang w:val="en-GB"/>
        </w:rPr>
        <w:t xml:space="preserve">3.3.1. </w:t>
      </w:r>
      <w:r w:rsidR="000420B5" w:rsidRPr="006436E9">
        <w:rPr>
          <w:lang w:val="en-GB"/>
        </w:rPr>
        <w:t xml:space="preserve">Violence </w:t>
      </w:r>
      <w:r w:rsidR="005A6B56" w:rsidRPr="006436E9">
        <w:rPr>
          <w:lang w:val="en-GB"/>
        </w:rPr>
        <w:t>Characteristics</w:t>
      </w:r>
    </w:p>
    <w:p w14:paraId="214B3027" w14:textId="4DD15EC0" w:rsidR="000420B5" w:rsidRPr="006436E9" w:rsidRDefault="0024060B" w:rsidP="00EF6C1C">
      <w:pPr>
        <w:pStyle w:val="MDPI31text"/>
        <w:rPr>
          <w:lang w:val="en-GB"/>
        </w:rPr>
      </w:pPr>
      <w:r w:rsidRPr="006436E9">
        <w:rPr>
          <w:lang w:val="en-GB"/>
        </w:rPr>
        <w:t xml:space="preserve">The </w:t>
      </w:r>
      <w:r w:rsidR="000420B5" w:rsidRPr="006436E9">
        <w:rPr>
          <w:lang w:val="en-GB"/>
        </w:rPr>
        <w:t xml:space="preserve">ECDS contains more detailed information on the context of violence than </w:t>
      </w:r>
      <w:r w:rsidRPr="006436E9">
        <w:rPr>
          <w:lang w:val="en-GB"/>
        </w:rPr>
        <w:t xml:space="preserve">the </w:t>
      </w:r>
      <w:r w:rsidR="000420B5" w:rsidRPr="006436E9">
        <w:rPr>
          <w:lang w:val="en-GB"/>
        </w:rPr>
        <w:t xml:space="preserve">HES A&amp;E. The ECDS data items include geographic coordinates, </w:t>
      </w:r>
      <w:r w:rsidRPr="006436E9">
        <w:rPr>
          <w:lang w:val="en-GB"/>
        </w:rPr>
        <w:t xml:space="preserve">the </w:t>
      </w:r>
      <w:r w:rsidR="000420B5" w:rsidRPr="006436E9">
        <w:rPr>
          <w:lang w:val="en-GB"/>
        </w:rPr>
        <w:t>type of place in which the patient was present when the injury occurred, the activity being undertaken by them (e.g., leisure, paid work), and the free text description of the assault location. This last item allows a patient to indicate precisely where the injury occurred (</w:t>
      </w:r>
      <w:bookmarkStart w:id="12" w:name="_Hlk160032876"/>
      <w:r w:rsidR="005A6B56" w:rsidRPr="006436E9">
        <w:rPr>
          <w:szCs w:val="18"/>
          <w:lang w:val="en-GB"/>
        </w:rPr>
        <w:t>NHS England 2015</w:t>
      </w:r>
      <w:bookmarkEnd w:id="12"/>
      <w:r w:rsidR="000420B5" w:rsidRPr="006436E9">
        <w:rPr>
          <w:lang w:val="en-GB"/>
        </w:rPr>
        <w:t>). The dataset also includes information on the date and time of injury. This is an important development, as</w:t>
      </w:r>
      <w:r w:rsidRPr="006436E9">
        <w:rPr>
          <w:lang w:val="en-GB"/>
        </w:rPr>
        <w:t xml:space="preserve"> the</w:t>
      </w:r>
      <w:r w:rsidR="000420B5" w:rsidRPr="006436E9">
        <w:rPr>
          <w:lang w:val="en-GB"/>
        </w:rPr>
        <w:t xml:space="preserve"> HES A&amp;E only allowed for recording the date and time of the arrival to the ED, which could be hours or even days after the incident occurred (</w:t>
      </w:r>
      <w:r w:rsidR="005A6B56" w:rsidRPr="006436E9">
        <w:rPr>
          <w:szCs w:val="18"/>
          <w:lang w:val="en-GB"/>
        </w:rPr>
        <w:t>Sutherland et al. 2021</w:t>
      </w:r>
      <w:r w:rsidR="000420B5" w:rsidRPr="006436E9">
        <w:rPr>
          <w:lang w:val="en-GB"/>
        </w:rPr>
        <w:t xml:space="preserve">). Additionally, </w:t>
      </w:r>
      <w:r w:rsidRPr="006436E9">
        <w:rPr>
          <w:lang w:val="en-GB"/>
        </w:rPr>
        <w:t xml:space="preserve">the </w:t>
      </w:r>
      <w:r w:rsidR="000420B5" w:rsidRPr="006436E9">
        <w:rPr>
          <w:lang w:val="en-GB"/>
        </w:rPr>
        <w:t>ECDS collects information on the mechanism of injury, which can be used to better differentiate different forms of violence (e.g., knife crime) and their impacts on health.</w:t>
      </w:r>
      <w:r w:rsidRPr="006436E9">
        <w:rPr>
          <w:lang w:val="en-GB"/>
        </w:rPr>
        <w:t xml:space="preserve"> The</w:t>
      </w:r>
      <w:r w:rsidR="000420B5" w:rsidRPr="006436E9">
        <w:rPr>
          <w:lang w:val="en-GB"/>
        </w:rPr>
        <w:t xml:space="preserve"> ECDS also has data on illicit substances or alcohol used by a patient </w:t>
      </w:r>
      <w:r w:rsidRPr="006436E9">
        <w:rPr>
          <w:lang w:val="en-GB"/>
        </w:rPr>
        <w:t xml:space="preserve">that were </w:t>
      </w:r>
      <w:r w:rsidR="000420B5" w:rsidRPr="006436E9">
        <w:rPr>
          <w:lang w:val="en-GB"/>
        </w:rPr>
        <w:t xml:space="preserve">thought </w:t>
      </w:r>
      <w:r w:rsidRPr="006436E9">
        <w:rPr>
          <w:lang w:val="en-GB"/>
        </w:rPr>
        <w:t xml:space="preserve">to have </w:t>
      </w:r>
      <w:r w:rsidR="000420B5" w:rsidRPr="006436E9">
        <w:rPr>
          <w:lang w:val="en-GB"/>
        </w:rPr>
        <w:t>likely contributed to the need to attend ED.</w:t>
      </w:r>
    </w:p>
    <w:p w14:paraId="5C831CB0" w14:textId="36093E7C" w:rsidR="000420B5" w:rsidRPr="006436E9" w:rsidRDefault="000420B5" w:rsidP="00EF6C1C">
      <w:pPr>
        <w:pStyle w:val="MDPI31text"/>
        <w:rPr>
          <w:lang w:val="en-GB"/>
        </w:rPr>
      </w:pPr>
      <w:r w:rsidRPr="006436E9">
        <w:rPr>
          <w:lang w:val="en-GB"/>
        </w:rPr>
        <w:t xml:space="preserve">To distinguish injuries or poisoning that occurred due to violence from </w:t>
      </w:r>
      <w:r w:rsidR="0024060B" w:rsidRPr="006436E9">
        <w:rPr>
          <w:lang w:val="en-GB"/>
        </w:rPr>
        <w:t xml:space="preserve">health issues </w:t>
      </w:r>
      <w:r w:rsidRPr="006436E9">
        <w:rPr>
          <w:lang w:val="en-GB"/>
        </w:rPr>
        <w:t>no</w:t>
      </w:r>
      <w:r w:rsidR="0024060B" w:rsidRPr="006436E9">
        <w:rPr>
          <w:lang w:val="en-GB"/>
        </w:rPr>
        <w:t xml:space="preserve">t related to </w:t>
      </w:r>
      <w:r w:rsidRPr="006436E9">
        <w:rPr>
          <w:lang w:val="en-GB"/>
        </w:rPr>
        <w:t xml:space="preserve">violence, </w:t>
      </w:r>
      <w:r w:rsidR="0024060B" w:rsidRPr="006436E9">
        <w:rPr>
          <w:lang w:val="en-GB"/>
        </w:rPr>
        <w:t xml:space="preserve">the </w:t>
      </w:r>
      <w:r w:rsidRPr="006436E9">
        <w:rPr>
          <w:lang w:val="en-GB"/>
        </w:rPr>
        <w:t>ECDS has added an item for the most likely human intent. This intentionality distinguishes violence from unintended harms; however</w:t>
      </w:r>
      <w:r w:rsidR="0024060B" w:rsidRPr="006436E9">
        <w:rPr>
          <w:lang w:val="en-GB"/>
        </w:rPr>
        <w:t>,</w:t>
      </w:r>
      <w:r w:rsidRPr="006436E9">
        <w:rPr>
          <w:lang w:val="en-GB"/>
        </w:rPr>
        <w:t xml:space="preserve"> intentionality is often missed or reported ambiguously</w:t>
      </w:r>
      <w:r w:rsidRPr="006436E9" w:rsidDel="00330220">
        <w:rPr>
          <w:lang w:val="en-GB"/>
        </w:rPr>
        <w:t xml:space="preserve"> </w:t>
      </w:r>
      <w:r w:rsidRPr="006436E9">
        <w:rPr>
          <w:lang w:val="en-GB"/>
        </w:rPr>
        <w:t xml:space="preserve">in existing health records </w:t>
      </w:r>
      <w:r w:rsidR="006213AF" w:rsidRPr="006213AF">
        <w:rPr>
          <w:lang w:val="en-GB"/>
        </w:rPr>
        <w:t>(Olive 2018)</w:t>
      </w:r>
      <w:r w:rsidRPr="006436E9">
        <w:rPr>
          <w:lang w:val="en-GB"/>
        </w:rPr>
        <w:fldChar w:fldCharType="begin"/>
      </w:r>
      <w:r w:rsidR="00510B5C" w:rsidRPr="006436E9">
        <w:rPr>
          <w:lang w:val="en-GB"/>
        </w:rPr>
        <w:instrText xml:space="preserve"> ADDIN EN.CITE &lt;EndNote&gt;&lt;Cite&gt;&lt;Author&gt;Olive&lt;/Author&gt;&lt;Year&gt;2018&lt;/Year&gt;&lt;RecNum&gt;1&lt;/RecNum&gt;&lt;record&gt;&lt;rec-number&gt;1&lt;/rec-number&gt;&lt;foreign-keys&gt;&lt;key app="EN" db-id="ea20aprfuxefvgeet96vdtfxv90eesr9t5tt" timestamp="1643984621"&gt;1&lt;/key&gt;&lt;/foreign-keys&gt;&lt;ref-type name="Journal Article"&gt;17&lt;/ref-type&gt;&lt;contributors&gt;&lt;authors&gt;&lt;author&gt;Olive, Philippa&lt;/author&gt;&lt;/authors&gt;&lt;/contributors&gt;&lt;titles&gt;&lt;title&gt;Intimate partner violence and clinical coding: issues with the use of the International classification of disease (ICD-10) in England&lt;/title&gt;&lt;secondary-title&gt;Journal of Health Services Research &amp;amp; Policy&lt;/secondary-title&gt;&lt;/titles&gt;&lt;periodical&gt;&lt;full-title&gt;Journal of Health Services Research &amp;amp; Policy&lt;/full-title&gt;&lt;/periodical&gt;&lt;pages&gt;212-221&lt;/pages&gt;&lt;volume&gt;23&lt;/volume&gt;&lt;number&gt;4&lt;/number&gt;&lt;dates&gt;&lt;year&gt;2018&lt;/year&gt;&lt;/dates&gt;&lt;isbn&gt;1355-8196&lt;/isbn&gt;&lt;urls&gt;&lt;/urls&gt;&lt;/record&gt;&lt;/Cite&gt;&lt;/EndNote&gt;</w:instrText>
      </w:r>
      <w:r w:rsidRPr="006436E9">
        <w:rPr>
          <w:lang w:val="en-GB"/>
        </w:rPr>
        <w:fldChar w:fldCharType="end"/>
      </w:r>
      <w:r w:rsidRPr="006436E9">
        <w:rPr>
          <w:lang w:val="en-GB"/>
        </w:rPr>
        <w:t xml:space="preserve">. The introduction of the intent item might potentially improve the collection of data on violence within healthcare settings, provided </w:t>
      </w:r>
      <w:r w:rsidR="0024060B" w:rsidRPr="006436E9">
        <w:rPr>
          <w:lang w:val="en-GB"/>
        </w:rPr>
        <w:t xml:space="preserve">that </w:t>
      </w:r>
      <w:r w:rsidRPr="006436E9">
        <w:rPr>
          <w:lang w:val="en-GB"/>
        </w:rPr>
        <w:t>the intent information was recorded accurately by clinicians.</w:t>
      </w:r>
    </w:p>
    <w:p w14:paraId="2CF06195" w14:textId="177560BC" w:rsidR="000420B5" w:rsidRPr="006436E9" w:rsidRDefault="000420B5" w:rsidP="00EF6C1C">
      <w:pPr>
        <w:pStyle w:val="MDPI31text"/>
        <w:rPr>
          <w:lang w:val="en-GB"/>
        </w:rPr>
      </w:pPr>
      <w:r w:rsidRPr="006436E9">
        <w:rPr>
          <w:lang w:val="en-GB"/>
        </w:rPr>
        <w:t xml:space="preserve">According to the ECDS Data Dictionary </w:t>
      </w:r>
      <w:r w:rsidR="00436D8F" w:rsidRPr="006436E9">
        <w:rPr>
          <w:lang w:val="en-GB"/>
        </w:rPr>
        <w:t>(NHS England 2015)</w:t>
      </w:r>
      <w:r w:rsidRPr="006436E9">
        <w:rPr>
          <w:lang w:val="en-GB"/>
        </w:rPr>
        <w:fldChar w:fldCharType="begin"/>
      </w:r>
      <w:r w:rsidR="00510B5C" w:rsidRPr="006436E9">
        <w:rPr>
          <w:lang w:val="en-GB"/>
        </w:rPr>
        <w:instrText xml:space="preserve"> ADDIN EN.CITE &lt;EndNote&gt;&lt;Cite&gt;&lt;Author&gt;NHS England&lt;/Author&gt;&lt;Year&gt;2015&lt;/Year&gt;&lt;RecNum&gt;102&lt;/RecNum&gt;&lt;record&gt;&lt;rec-number&gt;102&lt;/rec-number&gt;&lt;foreign-keys&gt;&lt;key app="EN" db-id="ea20aprfuxefvgeet96vdtfxv90eesr9t5tt" timestamp="1653389155"&gt;102&lt;/key&gt;&lt;/foreign-keys&gt;&lt;ref-type name="Report"&gt;27&lt;/ref-type&gt;&lt;contributors&gt;&lt;authors&gt;&lt;author&gt;NHS England, &lt;/author&gt;&lt;/authors&gt;&lt;/contributors&gt;&lt;titles&gt;&lt;title&gt;ECDS Emergency Care Dataset v. 2.1&lt;/title&gt;&lt;/titles&gt;&lt;dates&gt;&lt;year&gt;2015&lt;/year&gt;&lt;/dates&gt;&lt;urls&gt;&lt;/urls&gt;&lt;/record&gt;&lt;/Cite&gt;&lt;/EndNote&gt;</w:instrText>
      </w:r>
      <w:r w:rsidRPr="006436E9">
        <w:rPr>
          <w:lang w:val="en-GB"/>
        </w:rPr>
        <w:fldChar w:fldCharType="end"/>
      </w:r>
      <w:r w:rsidRPr="006436E9">
        <w:rPr>
          <w:lang w:val="en-GB"/>
        </w:rPr>
        <w:t>, the dataset has a safeguarding item. The item can indicate DV</w:t>
      </w:r>
      <w:r w:rsidR="0024060B" w:rsidRPr="006436E9">
        <w:rPr>
          <w:lang w:val="en-GB"/>
        </w:rPr>
        <w:t>;</w:t>
      </w:r>
      <w:r w:rsidRPr="006436E9">
        <w:rPr>
          <w:lang w:val="en-GB"/>
        </w:rPr>
        <w:t xml:space="preserve"> physical, sexual, emotional, psychological, institutional, and financial abuse</w:t>
      </w:r>
      <w:r w:rsidR="0024060B" w:rsidRPr="006436E9">
        <w:rPr>
          <w:lang w:val="en-GB"/>
        </w:rPr>
        <w:t>;</w:t>
      </w:r>
      <w:r w:rsidRPr="006436E9">
        <w:rPr>
          <w:lang w:val="en-GB"/>
        </w:rPr>
        <w:t xml:space="preserve"> honour-based violence</w:t>
      </w:r>
      <w:r w:rsidR="0024060B" w:rsidRPr="006436E9">
        <w:rPr>
          <w:lang w:val="en-GB"/>
        </w:rPr>
        <w:t xml:space="preserve">; </w:t>
      </w:r>
      <w:r w:rsidRPr="006436E9">
        <w:rPr>
          <w:lang w:val="en-GB"/>
        </w:rPr>
        <w:t>sexual exploitation</w:t>
      </w:r>
      <w:r w:rsidR="0024060B" w:rsidRPr="006436E9">
        <w:rPr>
          <w:lang w:val="en-GB"/>
        </w:rPr>
        <w:t>;</w:t>
      </w:r>
      <w:r w:rsidRPr="006436E9">
        <w:rPr>
          <w:lang w:val="en-GB"/>
        </w:rPr>
        <w:t xml:space="preserve"> human trafficking</w:t>
      </w:r>
      <w:r w:rsidR="0024060B" w:rsidRPr="006436E9">
        <w:rPr>
          <w:lang w:val="en-GB"/>
        </w:rPr>
        <w:t>;</w:t>
      </w:r>
      <w:r w:rsidRPr="006436E9">
        <w:rPr>
          <w:lang w:val="en-GB"/>
        </w:rPr>
        <w:t xml:space="preserve"> sexual grooming</w:t>
      </w:r>
      <w:r w:rsidR="0024060B" w:rsidRPr="006436E9">
        <w:rPr>
          <w:lang w:val="en-GB"/>
        </w:rPr>
        <w:t>;</w:t>
      </w:r>
      <w:r w:rsidRPr="006436E9">
        <w:rPr>
          <w:lang w:val="en-GB"/>
        </w:rPr>
        <w:t xml:space="preserve"> child sexual abuse</w:t>
      </w:r>
      <w:r w:rsidR="0024060B" w:rsidRPr="006436E9">
        <w:rPr>
          <w:lang w:val="en-GB"/>
        </w:rPr>
        <w:t>;</w:t>
      </w:r>
      <w:r w:rsidRPr="006436E9">
        <w:rPr>
          <w:lang w:val="en-GB"/>
        </w:rPr>
        <w:t xml:space="preserve"> child neglect</w:t>
      </w:r>
      <w:r w:rsidR="0024060B" w:rsidRPr="006436E9">
        <w:rPr>
          <w:lang w:val="en-GB"/>
        </w:rPr>
        <w:t>;</w:t>
      </w:r>
      <w:r w:rsidRPr="006436E9">
        <w:rPr>
          <w:lang w:val="en-GB"/>
        </w:rPr>
        <w:t xml:space="preserve"> forced marriage</w:t>
      </w:r>
      <w:r w:rsidR="0024060B" w:rsidRPr="006436E9">
        <w:rPr>
          <w:lang w:val="en-GB"/>
        </w:rPr>
        <w:t>;</w:t>
      </w:r>
      <w:r w:rsidRPr="006436E9">
        <w:rPr>
          <w:lang w:val="en-GB"/>
        </w:rPr>
        <w:t xml:space="preserve"> genital mutilation</w:t>
      </w:r>
      <w:r w:rsidR="0024060B" w:rsidRPr="006436E9">
        <w:rPr>
          <w:lang w:val="en-GB"/>
        </w:rPr>
        <w:t>;</w:t>
      </w:r>
      <w:r w:rsidRPr="006436E9">
        <w:rPr>
          <w:lang w:val="en-GB"/>
        </w:rPr>
        <w:t xml:space="preserve"> bullying</w:t>
      </w:r>
      <w:r w:rsidR="0024060B" w:rsidRPr="006436E9">
        <w:rPr>
          <w:lang w:val="en-GB"/>
        </w:rPr>
        <w:t>;</w:t>
      </w:r>
      <w:r w:rsidRPr="006436E9">
        <w:rPr>
          <w:lang w:val="en-GB"/>
        </w:rPr>
        <w:t xml:space="preserve"> and other directed violence. However, given the sensitivity of the data</w:t>
      </w:r>
      <w:r w:rsidR="0024060B" w:rsidRPr="006436E9">
        <w:rPr>
          <w:lang w:val="en-GB"/>
        </w:rPr>
        <w:t>,</w:t>
      </w:r>
      <w:r w:rsidRPr="006436E9">
        <w:rPr>
          <w:lang w:val="en-GB"/>
        </w:rPr>
        <w:t xml:space="preserve"> this safeguarding information is not routinely made available by NHS England to researchers, and there is a lack of quality reassurance on </w:t>
      </w:r>
      <w:r w:rsidR="0024060B" w:rsidRPr="006436E9">
        <w:rPr>
          <w:lang w:val="en-GB"/>
        </w:rPr>
        <w:t xml:space="preserve">the </w:t>
      </w:r>
      <w:r w:rsidRPr="006436E9">
        <w:rPr>
          <w:lang w:val="en-GB"/>
        </w:rPr>
        <w:t>reliability of the safeguard</w:t>
      </w:r>
      <w:r w:rsidR="007D3950" w:rsidRPr="006436E9">
        <w:rPr>
          <w:lang w:val="en-GB"/>
        </w:rPr>
        <w:t>ed</w:t>
      </w:r>
      <w:r w:rsidRPr="006436E9">
        <w:rPr>
          <w:lang w:val="en-GB"/>
        </w:rPr>
        <w:t xml:space="preserve"> </w:t>
      </w:r>
      <w:r w:rsidRPr="006436E9">
        <w:rPr>
          <w:lang w:val="en-GB"/>
        </w:rPr>
        <w:lastRenderedPageBreak/>
        <w:t xml:space="preserve">information captured </w:t>
      </w:r>
      <w:r w:rsidR="00DB6FBE" w:rsidRPr="006436E9">
        <w:rPr>
          <w:lang w:val="en-GB"/>
        </w:rPr>
        <w:t>(Healthcare Safety Investigation Branch 2023)</w:t>
      </w:r>
      <w:r w:rsidRPr="006436E9">
        <w:rPr>
          <w:lang w:val="en-GB"/>
        </w:rPr>
        <w:fldChar w:fldCharType="begin"/>
      </w:r>
      <w:r w:rsidR="00510B5C" w:rsidRPr="006436E9">
        <w:rPr>
          <w:lang w:val="en-GB"/>
        </w:rPr>
        <w:instrText xml:space="preserve"> ADDIN EN.CITE &lt;EndNote&gt;&lt;Cite&gt;&lt;Author&gt;Healthcare Safety Investigation Branch&lt;/Author&gt;&lt;Year&gt;2023&lt;/Year&gt;&lt;RecNum&gt;231&lt;/RecNum&gt;&lt;record&gt;&lt;rec-number&gt;231&lt;/rec-number&gt;&lt;foreign-keys&gt;&lt;key app="EN" db-id="ea20aprfuxefvgeet96vdtfxv90eesr9t5tt" timestamp="1689860904"&gt;231&lt;/key&gt;&lt;/foreign-keys&gt;&lt;ref-type name="Report"&gt;27&lt;/ref-type&gt;&lt;contributors&gt;&lt;authors&gt;&lt;author&gt;Healthcare Safety Investigation Branch, &lt;/author&gt;&lt;/authors&gt;&lt;/contributors&gt;&lt;titles&gt;&lt;title&gt;Non-accidental injuries in infants attending the emergency department &lt;/title&gt;&lt;/titles&gt;&lt;dates&gt;&lt;year&gt;2023&lt;/year&gt;&lt;/dates&gt;&lt;urls&gt;&lt;related-urls&gt;&lt;url&gt;https://hsib-kqcco125-media.s3.amazonaws.com/assets/documents/HSIB_report__Non-accidental_injuries_in_infants_attending_the_emergency_department.pdf&lt;/url&gt;&lt;/related-urls&gt;&lt;/urls&gt;&lt;/record&gt;&lt;/Cite&gt;&lt;/EndNote&gt;</w:instrText>
      </w:r>
      <w:r w:rsidRPr="006436E9">
        <w:rPr>
          <w:lang w:val="en-GB"/>
        </w:rPr>
        <w:fldChar w:fldCharType="end"/>
      </w:r>
      <w:r w:rsidRPr="006436E9">
        <w:rPr>
          <w:lang w:val="en-GB"/>
        </w:rPr>
        <w:t>. This potentially creates a “vicious circle”</w:t>
      </w:r>
      <w:r w:rsidR="005A6B56" w:rsidRPr="006436E9">
        <w:rPr>
          <w:lang w:val="en-GB"/>
        </w:rPr>
        <w:t>—</w:t>
      </w:r>
      <w:r w:rsidRPr="006436E9">
        <w:rPr>
          <w:lang w:val="en-GB"/>
        </w:rPr>
        <w:t>because the safeguarding information is of poor quality, it is not used. However, due to the inability to use this information, there is no feedback mechanism to improve the quality of the data. As a result, for the current analysis identification of violence and abuse on the ECDS dataset relied on the ‘Injury Intention’ variable and its two categories related to physical assault. Also, the variable ‘Injury Intention’ had a significant number of missing values (80.6%), which result</w:t>
      </w:r>
      <w:r w:rsidR="0024060B" w:rsidRPr="006436E9">
        <w:rPr>
          <w:lang w:val="en-GB"/>
        </w:rPr>
        <w:t>ed</w:t>
      </w:r>
      <w:r w:rsidRPr="006436E9">
        <w:rPr>
          <w:lang w:val="en-GB"/>
        </w:rPr>
        <w:t xml:space="preserve"> in a much smaller number of assault cases than in the HES A&amp;E data.</w:t>
      </w:r>
    </w:p>
    <w:p w14:paraId="4CCA373E" w14:textId="4564BDC4" w:rsidR="000420B5" w:rsidRPr="006436E9" w:rsidRDefault="00EF6C1C" w:rsidP="00EF6C1C">
      <w:pPr>
        <w:pStyle w:val="MDPI23heading3"/>
        <w:spacing w:before="240"/>
        <w:rPr>
          <w:lang w:val="en-GB"/>
        </w:rPr>
      </w:pPr>
      <w:r w:rsidRPr="006436E9">
        <w:rPr>
          <w:lang w:val="en-GB"/>
        </w:rPr>
        <w:t xml:space="preserve">3.3.2. </w:t>
      </w:r>
      <w:r w:rsidR="000420B5" w:rsidRPr="006436E9">
        <w:rPr>
          <w:lang w:val="en-GB"/>
        </w:rPr>
        <w:t xml:space="preserve">Violence </w:t>
      </w:r>
      <w:r w:rsidR="005A6B56" w:rsidRPr="006436E9">
        <w:rPr>
          <w:lang w:val="en-GB"/>
        </w:rPr>
        <w:t>Distribution</w:t>
      </w:r>
    </w:p>
    <w:p w14:paraId="5ABB5A7F" w14:textId="5DA22068" w:rsidR="000420B5" w:rsidRPr="006436E9" w:rsidRDefault="000420B5" w:rsidP="00EF6C1C">
      <w:pPr>
        <w:pStyle w:val="MDPI31text"/>
        <w:rPr>
          <w:lang w:val="en-GB"/>
        </w:rPr>
      </w:pPr>
      <w:r w:rsidRPr="006436E9">
        <w:rPr>
          <w:lang w:val="en-GB"/>
        </w:rPr>
        <w:t xml:space="preserve">In </w:t>
      </w:r>
      <w:r w:rsidR="0024060B" w:rsidRPr="006436E9">
        <w:rPr>
          <w:lang w:val="en-GB"/>
        </w:rPr>
        <w:t xml:space="preserve">the </w:t>
      </w:r>
      <w:r w:rsidRPr="006436E9">
        <w:rPr>
          <w:lang w:val="en-GB"/>
        </w:rPr>
        <w:t xml:space="preserve">ECDS </w:t>
      </w:r>
      <w:r w:rsidR="0024060B" w:rsidRPr="006436E9">
        <w:rPr>
          <w:lang w:val="en-GB"/>
        </w:rPr>
        <w:t xml:space="preserve">data </w:t>
      </w:r>
      <w:r w:rsidRPr="006436E9">
        <w:rPr>
          <w:lang w:val="en-GB"/>
        </w:rPr>
        <w:t>collected between April 2021 and March 2022, 41,730 cases were recorded as “assault”. Of these, 31.1% (12,960) were recorded as female and 68.9% (28,750) as male (Table 6). The most likely age group was those aged 25</w:t>
      </w:r>
      <w:r w:rsidR="00807D56" w:rsidRPr="006436E9">
        <w:rPr>
          <w:lang w:val="en-GB"/>
        </w:rPr>
        <w:t>–</w:t>
      </w:r>
      <w:r w:rsidRPr="006436E9">
        <w:rPr>
          <w:lang w:val="en-GB"/>
        </w:rPr>
        <w:t>34 among both males (26.3%, 95% CI 25.8</w:t>
      </w:r>
      <w:r w:rsidR="005A6B56" w:rsidRPr="006436E9">
        <w:rPr>
          <w:lang w:val="en-GB"/>
        </w:rPr>
        <w:t>–</w:t>
      </w:r>
      <w:r w:rsidRPr="006436E9">
        <w:rPr>
          <w:lang w:val="en-GB"/>
        </w:rPr>
        <w:t>26.8) and females (25.7%, 95% CI 24.9</w:t>
      </w:r>
      <w:r w:rsidR="005A6B56" w:rsidRPr="006436E9">
        <w:rPr>
          <w:lang w:val="en-GB"/>
        </w:rPr>
        <w:t>–</w:t>
      </w:r>
      <w:r w:rsidRPr="006436E9">
        <w:rPr>
          <w:lang w:val="en-GB"/>
        </w:rPr>
        <w:t xml:space="preserve">26.4). In </w:t>
      </w:r>
      <w:r w:rsidR="0024060B" w:rsidRPr="006436E9">
        <w:rPr>
          <w:lang w:val="en-GB"/>
        </w:rPr>
        <w:t xml:space="preserve">the </w:t>
      </w:r>
      <w:r w:rsidRPr="006436E9">
        <w:rPr>
          <w:lang w:val="en-GB"/>
        </w:rPr>
        <w:t>ECDS, the gender disaggregation by location of the assault showed that ‘home’ was the most frequent place for women (30.0%, 95% CI 29.2</w:t>
      </w:r>
      <w:r w:rsidR="005A6B56" w:rsidRPr="006436E9">
        <w:rPr>
          <w:lang w:val="en-GB"/>
        </w:rPr>
        <w:t>–</w:t>
      </w:r>
      <w:r w:rsidRPr="006436E9">
        <w:rPr>
          <w:lang w:val="en-GB"/>
        </w:rPr>
        <w:t>30.8)</w:t>
      </w:r>
      <w:r w:rsidR="0024060B" w:rsidRPr="006436E9">
        <w:rPr>
          <w:lang w:val="en-GB"/>
        </w:rPr>
        <w:t>,</w:t>
      </w:r>
      <w:r w:rsidRPr="006436E9">
        <w:rPr>
          <w:lang w:val="en-GB"/>
        </w:rPr>
        <w:t xml:space="preserve"> followed by the ‘outdoor’ settings (22.3%, 95% CI 21.6</w:t>
      </w:r>
      <w:r w:rsidR="005A6B56" w:rsidRPr="006436E9">
        <w:rPr>
          <w:lang w:val="en-GB"/>
        </w:rPr>
        <w:t>–</w:t>
      </w:r>
      <w:r w:rsidRPr="006436E9">
        <w:rPr>
          <w:lang w:val="en-GB"/>
        </w:rPr>
        <w:t>23.0). By contrast, outdoor locations were the most frequent place of assault for men (40.9%, 95% CI 40.3</w:t>
      </w:r>
      <w:r w:rsidR="005A6B56" w:rsidRPr="006436E9">
        <w:rPr>
          <w:lang w:val="en-GB"/>
        </w:rPr>
        <w:t>–</w:t>
      </w:r>
      <w:r w:rsidRPr="006436E9">
        <w:rPr>
          <w:lang w:val="en-GB"/>
        </w:rPr>
        <w:t>41.5%) with ‘home’ being a place of injury in 12.9% (95% CI 12.5</w:t>
      </w:r>
      <w:r w:rsidR="005A6B56" w:rsidRPr="006436E9">
        <w:rPr>
          <w:lang w:val="en-GB"/>
        </w:rPr>
        <w:t>–</w:t>
      </w:r>
      <w:r w:rsidRPr="006436E9">
        <w:rPr>
          <w:lang w:val="en-GB"/>
        </w:rPr>
        <w:t xml:space="preserve">13.3) of cases. </w:t>
      </w:r>
      <w:bookmarkStart w:id="13" w:name="_Hlk141950945"/>
      <w:r w:rsidRPr="006436E9">
        <w:rPr>
          <w:lang w:val="en-GB"/>
        </w:rPr>
        <w:t xml:space="preserve">Similar to </w:t>
      </w:r>
      <w:r w:rsidR="0024060B" w:rsidRPr="006436E9">
        <w:rPr>
          <w:lang w:val="en-GB"/>
        </w:rPr>
        <w:t xml:space="preserve">the </w:t>
      </w:r>
      <w:r w:rsidRPr="006436E9">
        <w:rPr>
          <w:lang w:val="en-GB"/>
        </w:rPr>
        <w:t xml:space="preserve">HES A&amp;E, it was impossible to confirm whether </w:t>
      </w:r>
      <w:r w:rsidR="0024060B" w:rsidRPr="006436E9">
        <w:rPr>
          <w:lang w:val="en-GB"/>
        </w:rPr>
        <w:t xml:space="preserve">the </w:t>
      </w:r>
      <w:r w:rsidRPr="006436E9">
        <w:rPr>
          <w:lang w:val="en-GB"/>
        </w:rPr>
        <w:t xml:space="preserve">‘home’ location indicated domestic violence by any other information available (such as </w:t>
      </w:r>
      <w:r w:rsidR="0024060B" w:rsidRPr="006436E9">
        <w:rPr>
          <w:lang w:val="en-GB"/>
        </w:rPr>
        <w:t xml:space="preserve">the </w:t>
      </w:r>
      <w:r w:rsidRPr="006436E9">
        <w:rPr>
          <w:lang w:val="en-GB"/>
        </w:rPr>
        <w:t>relationship with the assailant) in the provided data extract.</w:t>
      </w:r>
      <w:bookmarkEnd w:id="13"/>
      <w:r w:rsidRPr="006436E9">
        <w:rPr>
          <w:lang w:val="en-GB"/>
        </w:rPr>
        <w:t xml:space="preserve"> Additionally, despite collecting data on ethnicity in </w:t>
      </w:r>
      <w:r w:rsidR="0024060B" w:rsidRPr="006436E9">
        <w:rPr>
          <w:lang w:val="en-GB"/>
        </w:rPr>
        <w:t xml:space="preserve">the </w:t>
      </w:r>
      <w:r w:rsidRPr="006436E9">
        <w:rPr>
          <w:lang w:val="en-GB"/>
        </w:rPr>
        <w:t xml:space="preserve">ECDS </w:t>
      </w:r>
      <w:r w:rsidR="00DB6FBE" w:rsidRPr="006436E9">
        <w:rPr>
          <w:lang w:val="en-GB"/>
        </w:rPr>
        <w:t>(NHS Digital 2023)</w:t>
      </w:r>
      <w:r w:rsidRPr="006436E9">
        <w:rPr>
          <w:lang w:val="en-GB"/>
        </w:rPr>
        <w:fldChar w:fldCharType="begin"/>
      </w:r>
      <w:r w:rsidR="00510B5C" w:rsidRPr="006436E9">
        <w:rPr>
          <w:lang w:val="en-GB"/>
        </w:rPr>
        <w:instrText xml:space="preserve"> ADDIN EN.CITE &lt;EndNote&gt;&lt;Cite&gt;&lt;Author&gt;NHS Digital&lt;/Author&gt;&lt;Year&gt;2023&lt;/Year&gt;&lt;RecNum&gt;233&lt;/RecNum&gt;&lt;record&gt;&lt;rec-number&gt;233&lt;/rec-number&gt;&lt;foreign-keys&gt;&lt;key app="EN" db-id="ea20aprfuxefvgeet96vdtfxv90eesr9t5tt" timestamp="1690215104"&gt;233&lt;/key&gt;&lt;/foreign-keys&gt;&lt;ref-type name="Report"&gt;27&lt;/ref-type&gt;&lt;contributors&gt;&lt;authors&gt;&lt;author&gt;NHS Digital, &lt;/author&gt;&lt;/authors&gt;&lt;/contributors&gt;&lt;titles&gt;&lt;title&gt;ECDS guidance and documents&lt;/title&gt;&lt;/titles&gt;&lt;dates&gt;&lt;year&gt;2023&lt;/year&gt;&lt;/dates&gt;&lt;urls&gt;&lt;related-urls&gt;&lt;url&gt;https://digital.nhs.uk/data-and-information/data-collections-and-data-sets/data-sets/emergency-care-data-set-ecds/ecds-guidance&lt;/url&gt;&lt;/related-urls&gt;&lt;/urls&gt;&lt;/record&gt;&lt;/Cite&gt;&lt;/EndNote&gt;</w:instrText>
      </w:r>
      <w:r w:rsidRPr="006436E9">
        <w:rPr>
          <w:lang w:val="en-GB"/>
        </w:rPr>
        <w:fldChar w:fldCharType="end"/>
      </w:r>
      <w:r w:rsidRPr="006436E9">
        <w:rPr>
          <w:lang w:val="en-GB"/>
        </w:rPr>
        <w:t>, the item was not available in the low</w:t>
      </w:r>
      <w:r w:rsidR="0024060B" w:rsidRPr="006436E9">
        <w:rPr>
          <w:lang w:val="en-GB"/>
        </w:rPr>
        <w:t>-</w:t>
      </w:r>
      <w:r w:rsidRPr="006436E9">
        <w:rPr>
          <w:lang w:val="en-GB"/>
        </w:rPr>
        <w:t xml:space="preserve">latency version of </w:t>
      </w:r>
      <w:r w:rsidR="0024060B" w:rsidRPr="006436E9">
        <w:rPr>
          <w:lang w:val="en-GB"/>
        </w:rPr>
        <w:t xml:space="preserve">the </w:t>
      </w:r>
      <w:r w:rsidRPr="006436E9">
        <w:rPr>
          <w:lang w:val="en-GB"/>
        </w:rPr>
        <w:t xml:space="preserve">ECDS </w:t>
      </w:r>
      <w:r w:rsidR="003F1579" w:rsidRPr="006436E9">
        <w:rPr>
          <w:lang w:val="en-GB"/>
        </w:rPr>
        <w:t>(NHS Digital 2013)</w:t>
      </w:r>
      <w:r w:rsidRPr="006436E9">
        <w:rPr>
          <w:lang w:val="en-GB"/>
        </w:rPr>
        <w:fldChar w:fldCharType="begin"/>
      </w:r>
      <w:r w:rsidR="00510B5C" w:rsidRPr="006436E9">
        <w:rPr>
          <w:lang w:val="en-GB"/>
        </w:rPr>
        <w:instrText xml:space="preserve"> ADDIN EN.CITE &lt;EndNote&gt;&lt;Cite&gt;&lt;Author&gt;NHS Digital&lt;/Author&gt;&lt;Year&gt;2013&lt;/Year&gt;&lt;RecNum&gt;279&lt;/RecNum&gt;&lt;record&gt;&lt;rec-number&gt;279&lt;/rec-number&gt;&lt;foreign-keys&gt;&lt;key app="EN" db-id="ea20aprfuxefvgeet96vdtfxv90eesr9t5tt" timestamp="1698143705"&gt;279&lt;/key&gt;&lt;/foreign-keys&gt;&lt;ref-type name="Web Page"&gt;12&lt;/ref-type&gt;&lt;contributors&gt;&lt;authors&gt;&lt;author&gt;NHS Digital, &lt;/author&gt;&lt;/authors&gt;&lt;/contributors&gt;&lt;titles&gt;&lt;title&gt;Uncurated Low Latency Hospital Data Sets for Admitted Patient Care, Outpatient Care, Critical Care and...&lt;/title&gt;&lt;/titles&gt;&lt;dates&gt;&lt;year&gt;2013&lt;/year&gt;&lt;/dates&gt;&lt;urls&gt;&lt;/urls&gt;&lt;/record&gt;&lt;/Cite&gt;&lt;/EndNote&gt;</w:instrText>
      </w:r>
      <w:r w:rsidRPr="006436E9">
        <w:rPr>
          <w:lang w:val="en-GB"/>
        </w:rPr>
        <w:fldChar w:fldCharType="end"/>
      </w:r>
      <w:r w:rsidRPr="006436E9">
        <w:rPr>
          <w:lang w:val="en-GB"/>
        </w:rPr>
        <w:t xml:space="preserve"> used in the present research. Therefore, </w:t>
      </w:r>
      <w:r w:rsidR="0024060B" w:rsidRPr="006436E9">
        <w:rPr>
          <w:lang w:val="en-GB"/>
        </w:rPr>
        <w:t xml:space="preserve">an </w:t>
      </w:r>
      <w:r w:rsidRPr="006436E9">
        <w:rPr>
          <w:lang w:val="en-GB"/>
        </w:rPr>
        <w:t xml:space="preserve">analysis </w:t>
      </w:r>
      <w:r w:rsidR="007D3950" w:rsidRPr="006436E9">
        <w:rPr>
          <w:lang w:val="en-GB"/>
        </w:rPr>
        <w:t xml:space="preserve">of </w:t>
      </w:r>
      <w:r w:rsidR="0024060B" w:rsidRPr="006436E9">
        <w:rPr>
          <w:lang w:val="en-GB"/>
        </w:rPr>
        <w:t>the</w:t>
      </w:r>
      <w:r w:rsidRPr="006436E9">
        <w:rPr>
          <w:lang w:val="en-GB"/>
        </w:rPr>
        <w:t xml:space="preserve"> violence distribution by ethnic group was not conducted.</w:t>
      </w:r>
    </w:p>
    <w:p w14:paraId="3B026AC6" w14:textId="77777777" w:rsidR="00807D56" w:rsidRPr="006436E9" w:rsidRDefault="00807D56" w:rsidP="00EF6C1C">
      <w:pPr>
        <w:pStyle w:val="MDPI31text"/>
        <w:rPr>
          <w:lang w:val="en-GB"/>
        </w:rPr>
      </w:pPr>
    </w:p>
    <w:p w14:paraId="0C347F99" w14:textId="77777777" w:rsidR="00807D56" w:rsidRPr="006436E9" w:rsidRDefault="00807D56" w:rsidP="00EF6C1C">
      <w:pPr>
        <w:pStyle w:val="MDPI31text"/>
        <w:rPr>
          <w:lang w:val="en-GB"/>
        </w:rPr>
        <w:sectPr w:rsidR="00807D56" w:rsidRPr="006436E9" w:rsidSect="00B22474">
          <w:pgSz w:w="11906" w:h="16838" w:code="9"/>
          <w:pgMar w:top="1417" w:right="720" w:bottom="1077" w:left="720" w:header="1020" w:footer="340" w:gutter="0"/>
          <w:cols w:space="425"/>
          <w:bidi/>
          <w:docGrid w:type="lines" w:linePitch="326"/>
        </w:sectPr>
      </w:pPr>
    </w:p>
    <w:p w14:paraId="6FC0B175" w14:textId="77777777" w:rsidR="004A29D3" w:rsidRPr="006436E9" w:rsidRDefault="004A29D3" w:rsidP="004A29D3">
      <w:pPr>
        <w:pStyle w:val="MDPI41tablecaption"/>
        <w:rPr>
          <w:lang w:val="en-GB"/>
        </w:rPr>
      </w:pPr>
      <w:r w:rsidRPr="006436E9">
        <w:rPr>
          <w:b/>
          <w:bCs/>
          <w:lang w:val="en-GB"/>
        </w:rPr>
        <w:lastRenderedPageBreak/>
        <w:t xml:space="preserve">Table 6. </w:t>
      </w:r>
      <w:r w:rsidRPr="006436E9">
        <w:rPr>
          <w:lang w:val="en-GB"/>
        </w:rPr>
        <w:t>Age, gender, and location of injury among patients with a record of assault in the Emergency Care Data Set, 2021/2022 *.</w:t>
      </w:r>
    </w:p>
    <w:tbl>
      <w:tblPr>
        <w:tblStyle w:val="PlainTable2"/>
        <w:tblW w:w="15309" w:type="dxa"/>
        <w:tblLayout w:type="fixed"/>
        <w:tblLook w:val="04A0" w:firstRow="1" w:lastRow="0" w:firstColumn="1" w:lastColumn="0" w:noHBand="0" w:noVBand="1"/>
      </w:tblPr>
      <w:tblGrid>
        <w:gridCol w:w="1391"/>
        <w:gridCol w:w="1391"/>
        <w:gridCol w:w="1391"/>
        <w:gridCol w:w="1392"/>
        <w:gridCol w:w="1392"/>
        <w:gridCol w:w="1392"/>
        <w:gridCol w:w="1392"/>
        <w:gridCol w:w="1392"/>
        <w:gridCol w:w="1392"/>
        <w:gridCol w:w="1392"/>
        <w:gridCol w:w="1392"/>
      </w:tblGrid>
      <w:tr w:rsidR="00197B6C" w:rsidRPr="006436E9" w14:paraId="33FEBF32" w14:textId="77777777" w:rsidTr="00DA7F2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60" w:type="dxa"/>
          </w:tcPr>
          <w:p w14:paraId="4E64C3A6" w14:textId="77777777" w:rsidR="004A29D3" w:rsidRPr="006436E9" w:rsidRDefault="004A29D3" w:rsidP="001B03A4">
            <w:pPr>
              <w:autoSpaceDE w:val="0"/>
              <w:autoSpaceDN w:val="0"/>
              <w:adjustRightInd w:val="0"/>
              <w:snapToGrid w:val="0"/>
              <w:spacing w:line="240" w:lineRule="auto"/>
              <w:jc w:val="left"/>
              <w:rPr>
                <w:b w:val="0"/>
                <w:bCs w:val="0"/>
                <w:noProof w:val="0"/>
                <w:lang w:val="en-GB"/>
              </w:rPr>
            </w:pPr>
            <w:bookmarkStart w:id="14" w:name="_Hlk160126896"/>
            <w:r w:rsidRPr="006436E9">
              <w:rPr>
                <w:noProof w:val="0"/>
                <w:lang w:val="en-GB"/>
              </w:rPr>
              <w:t>Variable</w:t>
            </w:r>
          </w:p>
        </w:tc>
        <w:tc>
          <w:tcPr>
            <w:tcW w:w="1260" w:type="dxa"/>
          </w:tcPr>
          <w:p w14:paraId="0AB291BF" w14:textId="77777777" w:rsidR="004A29D3" w:rsidRPr="006436E9" w:rsidRDefault="004A29D3" w:rsidP="001B03A4">
            <w:pPr>
              <w:autoSpaceDE w:val="0"/>
              <w:autoSpaceDN w:val="0"/>
              <w:adjustRightInd w:val="0"/>
              <w:snapToGrid w:val="0"/>
              <w:spacing w:line="240" w:lineRule="auto"/>
              <w:jc w:val="left"/>
              <w:cnfStyle w:val="100000000000" w:firstRow="1" w:lastRow="0" w:firstColumn="0" w:lastColumn="0" w:oddVBand="0" w:evenVBand="0" w:oddHBand="0" w:evenHBand="0" w:firstRowFirstColumn="0" w:firstRowLastColumn="0" w:lastRowFirstColumn="0" w:lastRowLastColumn="0"/>
              <w:rPr>
                <w:b w:val="0"/>
                <w:bCs w:val="0"/>
                <w:noProof w:val="0"/>
                <w:lang w:val="en-GB"/>
              </w:rPr>
            </w:pPr>
            <w:r w:rsidRPr="006436E9">
              <w:rPr>
                <w:noProof w:val="0"/>
                <w:lang w:val="en-GB"/>
              </w:rPr>
              <w:t>Categories</w:t>
            </w:r>
          </w:p>
        </w:tc>
        <w:tc>
          <w:tcPr>
            <w:tcW w:w="2520" w:type="dxa"/>
            <w:gridSpan w:val="2"/>
          </w:tcPr>
          <w:p w14:paraId="7F8E0913" w14:textId="77777777" w:rsidR="004A29D3" w:rsidRPr="006436E9" w:rsidRDefault="004A29D3" w:rsidP="001B03A4">
            <w:pPr>
              <w:autoSpaceDE w:val="0"/>
              <w:autoSpaceDN w:val="0"/>
              <w:adjustRightInd w:val="0"/>
              <w:snapToGrid w:val="0"/>
              <w:spacing w:line="240" w:lineRule="auto"/>
              <w:jc w:val="right"/>
              <w:cnfStyle w:val="100000000000" w:firstRow="1" w:lastRow="0" w:firstColumn="0" w:lastColumn="0" w:oddVBand="0" w:evenVBand="0" w:oddHBand="0" w:evenHBand="0" w:firstRowFirstColumn="0" w:firstRowLastColumn="0" w:lastRowFirstColumn="0" w:lastRowLastColumn="0"/>
              <w:rPr>
                <w:b w:val="0"/>
                <w:bCs w:val="0"/>
                <w:noProof w:val="0"/>
                <w:lang w:val="en-GB"/>
              </w:rPr>
            </w:pPr>
            <w:r w:rsidRPr="006436E9">
              <w:rPr>
                <w:noProof w:val="0"/>
                <w:lang w:val="en-GB"/>
              </w:rPr>
              <w:t>Overall</w:t>
            </w:r>
          </w:p>
        </w:tc>
        <w:tc>
          <w:tcPr>
            <w:tcW w:w="1260" w:type="dxa"/>
          </w:tcPr>
          <w:p w14:paraId="06FF230E" w14:textId="77777777" w:rsidR="004A29D3" w:rsidRPr="006436E9" w:rsidRDefault="004A29D3" w:rsidP="001B03A4">
            <w:pPr>
              <w:autoSpaceDE w:val="0"/>
              <w:autoSpaceDN w:val="0"/>
              <w:adjustRightInd w:val="0"/>
              <w:snapToGrid w:val="0"/>
              <w:spacing w:line="240" w:lineRule="auto"/>
              <w:jc w:val="right"/>
              <w:cnfStyle w:val="100000000000" w:firstRow="1" w:lastRow="0" w:firstColumn="0" w:lastColumn="0" w:oddVBand="0" w:evenVBand="0" w:oddHBand="0" w:evenHBand="0" w:firstRowFirstColumn="0" w:firstRowLastColumn="0" w:lastRowFirstColumn="0" w:lastRowLastColumn="0"/>
              <w:rPr>
                <w:b w:val="0"/>
                <w:bCs w:val="0"/>
                <w:noProof w:val="0"/>
                <w:lang w:val="en-GB"/>
              </w:rPr>
            </w:pPr>
          </w:p>
        </w:tc>
        <w:tc>
          <w:tcPr>
            <w:tcW w:w="2520" w:type="dxa"/>
            <w:gridSpan w:val="2"/>
          </w:tcPr>
          <w:p w14:paraId="04F07B06" w14:textId="77777777" w:rsidR="004A29D3" w:rsidRPr="006436E9" w:rsidRDefault="004A29D3" w:rsidP="001B03A4">
            <w:pPr>
              <w:autoSpaceDE w:val="0"/>
              <w:autoSpaceDN w:val="0"/>
              <w:adjustRightInd w:val="0"/>
              <w:snapToGrid w:val="0"/>
              <w:spacing w:line="240" w:lineRule="auto"/>
              <w:jc w:val="right"/>
              <w:cnfStyle w:val="100000000000" w:firstRow="1" w:lastRow="0" w:firstColumn="0" w:lastColumn="0" w:oddVBand="0" w:evenVBand="0" w:oddHBand="0" w:evenHBand="0" w:firstRowFirstColumn="0" w:firstRowLastColumn="0" w:lastRowFirstColumn="0" w:lastRowLastColumn="0"/>
              <w:rPr>
                <w:b w:val="0"/>
                <w:bCs w:val="0"/>
                <w:noProof w:val="0"/>
                <w:lang w:val="en-GB"/>
              </w:rPr>
            </w:pPr>
            <w:r w:rsidRPr="006436E9">
              <w:rPr>
                <w:noProof w:val="0"/>
                <w:lang w:val="en-GB"/>
              </w:rPr>
              <w:t>Male</w:t>
            </w:r>
          </w:p>
        </w:tc>
        <w:tc>
          <w:tcPr>
            <w:tcW w:w="1260" w:type="dxa"/>
          </w:tcPr>
          <w:p w14:paraId="18AC4BBB" w14:textId="77777777" w:rsidR="004A29D3" w:rsidRPr="006436E9" w:rsidRDefault="004A29D3" w:rsidP="001B03A4">
            <w:pPr>
              <w:autoSpaceDE w:val="0"/>
              <w:autoSpaceDN w:val="0"/>
              <w:adjustRightInd w:val="0"/>
              <w:snapToGrid w:val="0"/>
              <w:spacing w:line="240" w:lineRule="auto"/>
              <w:jc w:val="right"/>
              <w:cnfStyle w:val="100000000000" w:firstRow="1" w:lastRow="0" w:firstColumn="0" w:lastColumn="0" w:oddVBand="0" w:evenVBand="0" w:oddHBand="0" w:evenHBand="0" w:firstRowFirstColumn="0" w:firstRowLastColumn="0" w:lastRowFirstColumn="0" w:lastRowLastColumn="0"/>
              <w:rPr>
                <w:b w:val="0"/>
                <w:bCs w:val="0"/>
                <w:noProof w:val="0"/>
                <w:lang w:val="en-GB"/>
              </w:rPr>
            </w:pPr>
          </w:p>
        </w:tc>
        <w:tc>
          <w:tcPr>
            <w:tcW w:w="2520" w:type="dxa"/>
            <w:gridSpan w:val="2"/>
          </w:tcPr>
          <w:p w14:paraId="24E20167" w14:textId="60F91288" w:rsidR="004A29D3" w:rsidRPr="006436E9" w:rsidRDefault="004A29D3" w:rsidP="001B03A4">
            <w:pPr>
              <w:autoSpaceDE w:val="0"/>
              <w:autoSpaceDN w:val="0"/>
              <w:adjustRightInd w:val="0"/>
              <w:snapToGrid w:val="0"/>
              <w:spacing w:line="240" w:lineRule="auto"/>
              <w:jc w:val="right"/>
              <w:cnfStyle w:val="100000000000" w:firstRow="1" w:lastRow="0" w:firstColumn="0" w:lastColumn="0" w:oddVBand="0" w:evenVBand="0" w:oddHBand="0" w:evenHBand="0" w:firstRowFirstColumn="0" w:firstRowLastColumn="0" w:lastRowFirstColumn="0" w:lastRowLastColumn="0"/>
              <w:rPr>
                <w:b w:val="0"/>
                <w:bCs w:val="0"/>
                <w:noProof w:val="0"/>
                <w:lang w:val="en-GB"/>
              </w:rPr>
            </w:pPr>
            <w:r w:rsidRPr="006436E9">
              <w:rPr>
                <w:noProof w:val="0"/>
                <w:lang w:val="en-GB"/>
              </w:rPr>
              <w:t>Female</w:t>
            </w:r>
            <w:r w:rsidR="005027B4">
              <w:rPr>
                <w:noProof w:val="0"/>
                <w:lang w:val="en-GB"/>
              </w:rPr>
              <w:t xml:space="preserve"> </w:t>
            </w:r>
            <w:r w:rsidRPr="006436E9">
              <w:rPr>
                <w:noProof w:val="0"/>
                <w:lang w:val="en-GB"/>
              </w:rPr>
              <w:t>**</w:t>
            </w:r>
          </w:p>
        </w:tc>
        <w:tc>
          <w:tcPr>
            <w:tcW w:w="1260" w:type="dxa"/>
          </w:tcPr>
          <w:p w14:paraId="0D5C964D" w14:textId="77777777" w:rsidR="004A29D3" w:rsidRPr="006436E9" w:rsidRDefault="004A29D3" w:rsidP="001B03A4">
            <w:pPr>
              <w:autoSpaceDE w:val="0"/>
              <w:autoSpaceDN w:val="0"/>
              <w:adjustRightInd w:val="0"/>
              <w:snapToGrid w:val="0"/>
              <w:spacing w:line="240" w:lineRule="auto"/>
              <w:jc w:val="right"/>
              <w:cnfStyle w:val="100000000000" w:firstRow="1" w:lastRow="0" w:firstColumn="0" w:lastColumn="0" w:oddVBand="0" w:evenVBand="0" w:oddHBand="0" w:evenHBand="0" w:firstRowFirstColumn="0" w:firstRowLastColumn="0" w:lastRowFirstColumn="0" w:lastRowLastColumn="0"/>
              <w:rPr>
                <w:b w:val="0"/>
                <w:bCs w:val="0"/>
                <w:noProof w:val="0"/>
                <w:lang w:val="en-GB"/>
              </w:rPr>
            </w:pPr>
          </w:p>
        </w:tc>
      </w:tr>
      <w:tr w:rsidR="004A29D3" w:rsidRPr="006436E9" w14:paraId="7578D53C" w14:textId="77777777" w:rsidTr="00DA7F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60" w:type="dxa"/>
          </w:tcPr>
          <w:p w14:paraId="4EF9B5FB" w14:textId="77777777" w:rsidR="004A29D3" w:rsidRPr="006436E9" w:rsidRDefault="004A29D3" w:rsidP="001B03A4">
            <w:pPr>
              <w:autoSpaceDE w:val="0"/>
              <w:autoSpaceDN w:val="0"/>
              <w:adjustRightInd w:val="0"/>
              <w:snapToGrid w:val="0"/>
              <w:spacing w:line="240" w:lineRule="auto"/>
              <w:jc w:val="left"/>
              <w:rPr>
                <w:b w:val="0"/>
                <w:bCs w:val="0"/>
                <w:noProof w:val="0"/>
                <w:lang w:val="en-GB"/>
              </w:rPr>
            </w:pPr>
          </w:p>
        </w:tc>
        <w:tc>
          <w:tcPr>
            <w:tcW w:w="1260" w:type="dxa"/>
          </w:tcPr>
          <w:p w14:paraId="5CC74FB3" w14:textId="77777777" w:rsidR="004A29D3" w:rsidRPr="006436E9" w:rsidRDefault="004A29D3" w:rsidP="001B03A4">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b/>
                <w:bCs/>
                <w:noProof w:val="0"/>
                <w:lang w:val="en-GB"/>
              </w:rPr>
            </w:pPr>
          </w:p>
        </w:tc>
        <w:tc>
          <w:tcPr>
            <w:tcW w:w="1260" w:type="dxa"/>
          </w:tcPr>
          <w:p w14:paraId="654966FC" w14:textId="2991B499" w:rsidR="004A29D3" w:rsidRPr="006436E9" w:rsidRDefault="004A29D3" w:rsidP="001B03A4">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b/>
                <w:bCs/>
                <w:i/>
                <w:noProof w:val="0"/>
                <w:lang w:val="en-GB"/>
              </w:rPr>
            </w:pPr>
            <w:r w:rsidRPr="006436E9">
              <w:rPr>
                <w:b/>
                <w:bCs/>
                <w:i/>
                <w:noProof w:val="0"/>
                <w:lang w:val="en-GB"/>
              </w:rPr>
              <w:t>N</w:t>
            </w:r>
            <w:r w:rsidR="005027B4">
              <w:rPr>
                <w:b/>
                <w:bCs/>
                <w:i/>
                <w:noProof w:val="0"/>
                <w:lang w:val="en-GB"/>
              </w:rPr>
              <w:t xml:space="preserve"> </w:t>
            </w:r>
            <w:r w:rsidRPr="006436E9">
              <w:rPr>
                <w:b/>
                <w:bCs/>
                <w:i/>
                <w:noProof w:val="0"/>
                <w:lang w:val="en-GB"/>
              </w:rPr>
              <w:t>*</w:t>
            </w:r>
          </w:p>
        </w:tc>
        <w:tc>
          <w:tcPr>
            <w:tcW w:w="1260" w:type="dxa"/>
          </w:tcPr>
          <w:p w14:paraId="4C00AD09" w14:textId="77777777" w:rsidR="004A29D3" w:rsidRPr="006436E9" w:rsidRDefault="004A29D3" w:rsidP="001B03A4">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b/>
                <w:bCs/>
                <w:noProof w:val="0"/>
                <w:lang w:val="en-GB"/>
              </w:rPr>
            </w:pPr>
            <w:r w:rsidRPr="006436E9">
              <w:rPr>
                <w:b/>
                <w:bCs/>
                <w:noProof w:val="0"/>
                <w:lang w:val="en-GB"/>
              </w:rPr>
              <w:t>%</w:t>
            </w:r>
          </w:p>
        </w:tc>
        <w:tc>
          <w:tcPr>
            <w:tcW w:w="1260" w:type="dxa"/>
          </w:tcPr>
          <w:p w14:paraId="50FB03CA" w14:textId="77777777" w:rsidR="004A29D3" w:rsidRPr="006436E9" w:rsidRDefault="004A29D3" w:rsidP="001B03A4">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b/>
                <w:bCs/>
                <w:noProof w:val="0"/>
                <w:lang w:val="en-GB"/>
              </w:rPr>
            </w:pPr>
            <w:r w:rsidRPr="006436E9">
              <w:rPr>
                <w:b/>
                <w:bCs/>
                <w:noProof w:val="0"/>
                <w:lang w:val="en-GB"/>
              </w:rPr>
              <w:t>CI 95%</w:t>
            </w:r>
          </w:p>
        </w:tc>
        <w:tc>
          <w:tcPr>
            <w:tcW w:w="1260" w:type="dxa"/>
          </w:tcPr>
          <w:p w14:paraId="48CD4E33" w14:textId="4C3AED06" w:rsidR="004A29D3" w:rsidRPr="006436E9" w:rsidRDefault="004A29D3" w:rsidP="001B03A4">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b/>
                <w:bCs/>
                <w:i/>
                <w:noProof w:val="0"/>
                <w:lang w:val="en-GB"/>
              </w:rPr>
            </w:pPr>
            <w:r w:rsidRPr="006436E9">
              <w:rPr>
                <w:b/>
                <w:bCs/>
                <w:i/>
                <w:noProof w:val="0"/>
                <w:lang w:val="en-GB"/>
              </w:rPr>
              <w:t>n</w:t>
            </w:r>
            <w:r w:rsidR="005027B4">
              <w:rPr>
                <w:b/>
                <w:bCs/>
                <w:i/>
                <w:noProof w:val="0"/>
                <w:lang w:val="en-GB"/>
              </w:rPr>
              <w:t xml:space="preserve"> </w:t>
            </w:r>
            <w:r w:rsidRPr="006436E9">
              <w:rPr>
                <w:b/>
                <w:bCs/>
                <w:i/>
                <w:noProof w:val="0"/>
                <w:lang w:val="en-GB"/>
              </w:rPr>
              <w:t>*</w:t>
            </w:r>
          </w:p>
        </w:tc>
        <w:tc>
          <w:tcPr>
            <w:tcW w:w="1260" w:type="dxa"/>
          </w:tcPr>
          <w:p w14:paraId="073DD100" w14:textId="77777777" w:rsidR="004A29D3" w:rsidRPr="006436E9" w:rsidRDefault="004A29D3" w:rsidP="001B03A4">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b/>
                <w:bCs/>
                <w:noProof w:val="0"/>
                <w:lang w:val="en-GB"/>
              </w:rPr>
            </w:pPr>
            <w:r w:rsidRPr="006436E9">
              <w:rPr>
                <w:b/>
                <w:bCs/>
                <w:noProof w:val="0"/>
                <w:lang w:val="en-GB"/>
              </w:rPr>
              <w:t>%</w:t>
            </w:r>
          </w:p>
        </w:tc>
        <w:tc>
          <w:tcPr>
            <w:tcW w:w="1260" w:type="dxa"/>
          </w:tcPr>
          <w:p w14:paraId="698791A3" w14:textId="77777777" w:rsidR="004A29D3" w:rsidRPr="006436E9" w:rsidRDefault="004A29D3" w:rsidP="001B03A4">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b/>
                <w:bCs/>
                <w:noProof w:val="0"/>
                <w:lang w:val="en-GB"/>
              </w:rPr>
            </w:pPr>
            <w:r w:rsidRPr="006436E9">
              <w:rPr>
                <w:b/>
                <w:bCs/>
                <w:noProof w:val="0"/>
                <w:lang w:val="en-GB"/>
              </w:rPr>
              <w:t>CI 95%</w:t>
            </w:r>
          </w:p>
        </w:tc>
        <w:tc>
          <w:tcPr>
            <w:tcW w:w="1260" w:type="dxa"/>
          </w:tcPr>
          <w:p w14:paraId="10EB139A" w14:textId="4E48CB50" w:rsidR="004A29D3" w:rsidRPr="006436E9" w:rsidRDefault="004A29D3" w:rsidP="001B03A4">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b/>
                <w:bCs/>
                <w:i/>
                <w:noProof w:val="0"/>
                <w:lang w:val="en-GB"/>
              </w:rPr>
            </w:pPr>
            <w:r w:rsidRPr="006436E9">
              <w:rPr>
                <w:b/>
                <w:bCs/>
                <w:i/>
                <w:noProof w:val="0"/>
                <w:lang w:val="en-GB"/>
              </w:rPr>
              <w:t>n</w:t>
            </w:r>
            <w:r w:rsidR="005027B4">
              <w:rPr>
                <w:b/>
                <w:bCs/>
                <w:i/>
                <w:noProof w:val="0"/>
                <w:lang w:val="en-GB"/>
              </w:rPr>
              <w:t xml:space="preserve"> </w:t>
            </w:r>
            <w:r w:rsidRPr="006436E9">
              <w:rPr>
                <w:b/>
                <w:bCs/>
                <w:i/>
                <w:noProof w:val="0"/>
                <w:lang w:val="en-GB"/>
              </w:rPr>
              <w:t>*</w:t>
            </w:r>
          </w:p>
        </w:tc>
        <w:tc>
          <w:tcPr>
            <w:tcW w:w="1260" w:type="dxa"/>
          </w:tcPr>
          <w:p w14:paraId="255BB850" w14:textId="77777777" w:rsidR="004A29D3" w:rsidRPr="006436E9" w:rsidRDefault="004A29D3" w:rsidP="001B03A4">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b/>
                <w:bCs/>
                <w:noProof w:val="0"/>
                <w:lang w:val="en-GB"/>
              </w:rPr>
            </w:pPr>
            <w:r w:rsidRPr="006436E9">
              <w:rPr>
                <w:b/>
                <w:bCs/>
                <w:noProof w:val="0"/>
                <w:lang w:val="en-GB"/>
              </w:rPr>
              <w:t>%</w:t>
            </w:r>
          </w:p>
        </w:tc>
        <w:tc>
          <w:tcPr>
            <w:tcW w:w="1260" w:type="dxa"/>
          </w:tcPr>
          <w:p w14:paraId="4ABAA5D6" w14:textId="77777777" w:rsidR="004A29D3" w:rsidRPr="006436E9" w:rsidRDefault="004A29D3" w:rsidP="001B03A4">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b/>
                <w:bCs/>
                <w:noProof w:val="0"/>
                <w:lang w:val="en-GB"/>
              </w:rPr>
            </w:pPr>
            <w:r w:rsidRPr="006436E9">
              <w:rPr>
                <w:b/>
                <w:bCs/>
                <w:noProof w:val="0"/>
                <w:lang w:val="en-GB"/>
              </w:rPr>
              <w:t>CI 95%</w:t>
            </w:r>
          </w:p>
        </w:tc>
      </w:tr>
      <w:tr w:rsidR="004A29D3" w:rsidRPr="006436E9" w14:paraId="2119D80A" w14:textId="77777777" w:rsidTr="00DA7F2D">
        <w:trPr>
          <w:cantSplit/>
        </w:trPr>
        <w:tc>
          <w:tcPr>
            <w:cnfStyle w:val="001000000000" w:firstRow="0" w:lastRow="0" w:firstColumn="1" w:lastColumn="0" w:oddVBand="0" w:evenVBand="0" w:oddHBand="0" w:evenHBand="0" w:firstRowFirstColumn="0" w:firstRowLastColumn="0" w:lastRowFirstColumn="0" w:lastRowLastColumn="0"/>
            <w:tcW w:w="1260" w:type="dxa"/>
          </w:tcPr>
          <w:p w14:paraId="37995E7A" w14:textId="77777777" w:rsidR="004A29D3" w:rsidRPr="006436E9" w:rsidRDefault="004A29D3" w:rsidP="001B03A4">
            <w:pPr>
              <w:autoSpaceDE w:val="0"/>
              <w:autoSpaceDN w:val="0"/>
              <w:adjustRightInd w:val="0"/>
              <w:snapToGrid w:val="0"/>
              <w:spacing w:line="240" w:lineRule="auto"/>
              <w:jc w:val="left"/>
              <w:rPr>
                <w:b w:val="0"/>
                <w:bCs w:val="0"/>
                <w:noProof w:val="0"/>
                <w:lang w:val="en-GB"/>
              </w:rPr>
            </w:pPr>
          </w:p>
        </w:tc>
        <w:tc>
          <w:tcPr>
            <w:tcW w:w="1260" w:type="dxa"/>
          </w:tcPr>
          <w:p w14:paraId="11CA3595" w14:textId="77777777" w:rsidR="004A29D3" w:rsidRPr="006436E9" w:rsidRDefault="004A29D3" w:rsidP="001B03A4">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p>
        </w:tc>
        <w:tc>
          <w:tcPr>
            <w:tcW w:w="1260" w:type="dxa"/>
          </w:tcPr>
          <w:p w14:paraId="15763EA4" w14:textId="77777777" w:rsidR="004A29D3" w:rsidRPr="006436E9" w:rsidRDefault="004A29D3" w:rsidP="001B03A4">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41,730</w:t>
            </w:r>
          </w:p>
        </w:tc>
        <w:tc>
          <w:tcPr>
            <w:tcW w:w="1260" w:type="dxa"/>
          </w:tcPr>
          <w:p w14:paraId="744DE52E" w14:textId="77777777" w:rsidR="004A29D3" w:rsidRPr="006436E9" w:rsidRDefault="004A29D3" w:rsidP="001B03A4">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100</w:t>
            </w:r>
          </w:p>
        </w:tc>
        <w:tc>
          <w:tcPr>
            <w:tcW w:w="1260" w:type="dxa"/>
          </w:tcPr>
          <w:p w14:paraId="6B5DFA1D" w14:textId="77777777" w:rsidR="004A29D3" w:rsidRPr="006436E9" w:rsidRDefault="004A29D3" w:rsidP="001B03A4">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p>
        </w:tc>
        <w:tc>
          <w:tcPr>
            <w:tcW w:w="1260" w:type="dxa"/>
          </w:tcPr>
          <w:p w14:paraId="0F5113AA" w14:textId="77777777" w:rsidR="004A29D3" w:rsidRPr="006436E9" w:rsidRDefault="004A29D3" w:rsidP="001B03A4">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28,700</w:t>
            </w:r>
          </w:p>
        </w:tc>
        <w:tc>
          <w:tcPr>
            <w:tcW w:w="1260" w:type="dxa"/>
          </w:tcPr>
          <w:p w14:paraId="346C0E3E" w14:textId="77777777" w:rsidR="004A29D3" w:rsidRPr="006436E9" w:rsidRDefault="004A29D3" w:rsidP="001B03A4">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68.9</w:t>
            </w:r>
          </w:p>
        </w:tc>
        <w:tc>
          <w:tcPr>
            <w:tcW w:w="1260" w:type="dxa"/>
          </w:tcPr>
          <w:p w14:paraId="306B1DD1" w14:textId="77777777" w:rsidR="004A29D3" w:rsidRPr="006436E9" w:rsidRDefault="004A29D3" w:rsidP="001B03A4">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68.4–69.3</w:t>
            </w:r>
          </w:p>
        </w:tc>
        <w:tc>
          <w:tcPr>
            <w:tcW w:w="1260" w:type="dxa"/>
          </w:tcPr>
          <w:p w14:paraId="1863A4BC" w14:textId="77777777" w:rsidR="004A29D3" w:rsidRPr="006436E9" w:rsidRDefault="004A29D3" w:rsidP="001B03A4">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12,955</w:t>
            </w:r>
          </w:p>
        </w:tc>
        <w:tc>
          <w:tcPr>
            <w:tcW w:w="1260" w:type="dxa"/>
          </w:tcPr>
          <w:p w14:paraId="41B3708D" w14:textId="77777777" w:rsidR="004A29D3" w:rsidRPr="006436E9" w:rsidRDefault="004A29D3" w:rsidP="001B03A4">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31.1</w:t>
            </w:r>
          </w:p>
        </w:tc>
        <w:tc>
          <w:tcPr>
            <w:tcW w:w="1260" w:type="dxa"/>
          </w:tcPr>
          <w:p w14:paraId="1BF1AA2A" w14:textId="77777777" w:rsidR="004A29D3" w:rsidRPr="006436E9" w:rsidRDefault="004A29D3" w:rsidP="001B03A4">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30.6–31.5</w:t>
            </w:r>
          </w:p>
        </w:tc>
      </w:tr>
      <w:tr w:rsidR="009B67FD" w:rsidRPr="006436E9" w14:paraId="62923546" w14:textId="77777777" w:rsidTr="007B74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60" w:type="dxa"/>
            <w:vMerge w:val="restart"/>
            <w:vAlign w:val="center"/>
          </w:tcPr>
          <w:p w14:paraId="24CC69DF" w14:textId="655A8F91" w:rsidR="009B67FD" w:rsidRPr="007B740E" w:rsidRDefault="009B67FD" w:rsidP="007B740E">
            <w:pPr>
              <w:autoSpaceDE w:val="0"/>
              <w:autoSpaceDN w:val="0"/>
              <w:adjustRightInd w:val="0"/>
              <w:snapToGrid w:val="0"/>
              <w:spacing w:line="240" w:lineRule="auto"/>
              <w:jc w:val="left"/>
              <w:rPr>
                <w:bCs w:val="0"/>
                <w:noProof w:val="0"/>
                <w:lang w:val="en-GB"/>
              </w:rPr>
            </w:pPr>
            <w:r w:rsidRPr="007B740E">
              <w:rPr>
                <w:noProof w:val="0"/>
                <w:lang w:val="en-GB"/>
              </w:rPr>
              <w:t>Age group</w:t>
            </w:r>
          </w:p>
        </w:tc>
        <w:tc>
          <w:tcPr>
            <w:tcW w:w="1260" w:type="dxa"/>
          </w:tcPr>
          <w:p w14:paraId="5106467C" w14:textId="58FF29DB" w:rsidR="009B67FD" w:rsidRPr="006436E9" w:rsidRDefault="009B67FD" w:rsidP="009B67FD">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Under 18</w:t>
            </w:r>
          </w:p>
        </w:tc>
        <w:tc>
          <w:tcPr>
            <w:tcW w:w="1260" w:type="dxa"/>
          </w:tcPr>
          <w:p w14:paraId="78CADEE8" w14:textId="4FF59319"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5710</w:t>
            </w:r>
          </w:p>
        </w:tc>
        <w:tc>
          <w:tcPr>
            <w:tcW w:w="1260" w:type="dxa"/>
          </w:tcPr>
          <w:p w14:paraId="19D65EA6" w14:textId="1B18FD14"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13.7</w:t>
            </w:r>
          </w:p>
        </w:tc>
        <w:tc>
          <w:tcPr>
            <w:tcW w:w="1260" w:type="dxa"/>
          </w:tcPr>
          <w:p w14:paraId="4FF9BD3A" w14:textId="28B19753"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13.4–14.0</w:t>
            </w:r>
          </w:p>
        </w:tc>
        <w:tc>
          <w:tcPr>
            <w:tcW w:w="1260" w:type="dxa"/>
          </w:tcPr>
          <w:p w14:paraId="3ADD3961" w14:textId="40070153"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4010</w:t>
            </w:r>
          </w:p>
        </w:tc>
        <w:tc>
          <w:tcPr>
            <w:tcW w:w="1260" w:type="dxa"/>
          </w:tcPr>
          <w:p w14:paraId="53EF19E0" w14:textId="67CAB381"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14.0</w:t>
            </w:r>
          </w:p>
        </w:tc>
        <w:tc>
          <w:tcPr>
            <w:tcW w:w="1260" w:type="dxa"/>
          </w:tcPr>
          <w:p w14:paraId="16C085D6" w14:textId="66553A59"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13.6–14.4</w:t>
            </w:r>
          </w:p>
        </w:tc>
        <w:tc>
          <w:tcPr>
            <w:tcW w:w="1260" w:type="dxa"/>
          </w:tcPr>
          <w:p w14:paraId="72DB25F3" w14:textId="6EAC440B"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1700</w:t>
            </w:r>
          </w:p>
        </w:tc>
        <w:tc>
          <w:tcPr>
            <w:tcW w:w="1260" w:type="dxa"/>
          </w:tcPr>
          <w:p w14:paraId="5C4BD8DB" w14:textId="61BB406C"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13.1</w:t>
            </w:r>
          </w:p>
        </w:tc>
        <w:tc>
          <w:tcPr>
            <w:tcW w:w="1260" w:type="dxa"/>
          </w:tcPr>
          <w:p w14:paraId="64CB33E1" w14:textId="67A354C3"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12.5–13.7</w:t>
            </w:r>
          </w:p>
        </w:tc>
      </w:tr>
      <w:tr w:rsidR="009B67FD" w:rsidRPr="006436E9" w14:paraId="617DCF40" w14:textId="77777777" w:rsidTr="007B740E">
        <w:trPr>
          <w:cantSplit/>
        </w:trPr>
        <w:tc>
          <w:tcPr>
            <w:cnfStyle w:val="001000000000" w:firstRow="0" w:lastRow="0" w:firstColumn="1" w:lastColumn="0" w:oddVBand="0" w:evenVBand="0" w:oddHBand="0" w:evenHBand="0" w:firstRowFirstColumn="0" w:firstRowLastColumn="0" w:lastRowFirstColumn="0" w:lastRowLastColumn="0"/>
            <w:tcW w:w="1260" w:type="dxa"/>
            <w:vMerge/>
            <w:vAlign w:val="center"/>
          </w:tcPr>
          <w:p w14:paraId="777AF41D" w14:textId="77777777" w:rsidR="009B67FD" w:rsidRPr="006C61B3" w:rsidRDefault="009B67FD" w:rsidP="007B740E">
            <w:pPr>
              <w:autoSpaceDE w:val="0"/>
              <w:autoSpaceDN w:val="0"/>
              <w:adjustRightInd w:val="0"/>
              <w:snapToGrid w:val="0"/>
              <w:spacing w:line="240" w:lineRule="auto"/>
              <w:jc w:val="left"/>
              <w:rPr>
                <w:b w:val="0"/>
                <w:noProof w:val="0"/>
                <w:lang w:val="en-GB"/>
              </w:rPr>
            </w:pPr>
          </w:p>
        </w:tc>
        <w:tc>
          <w:tcPr>
            <w:tcW w:w="1260" w:type="dxa"/>
          </w:tcPr>
          <w:p w14:paraId="42F3F9D1" w14:textId="3284BB3E" w:rsidR="009B67FD" w:rsidRPr="006436E9" w:rsidRDefault="009B67FD" w:rsidP="009B67FD">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18–24</w:t>
            </w:r>
          </w:p>
        </w:tc>
        <w:tc>
          <w:tcPr>
            <w:tcW w:w="1260" w:type="dxa"/>
          </w:tcPr>
          <w:p w14:paraId="24C39561" w14:textId="29101011"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9495</w:t>
            </w:r>
          </w:p>
        </w:tc>
        <w:tc>
          <w:tcPr>
            <w:tcW w:w="1260" w:type="dxa"/>
          </w:tcPr>
          <w:p w14:paraId="7E466487" w14:textId="68452E25"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22.8</w:t>
            </w:r>
          </w:p>
        </w:tc>
        <w:tc>
          <w:tcPr>
            <w:tcW w:w="1260" w:type="dxa"/>
          </w:tcPr>
          <w:p w14:paraId="6D8B9B62" w14:textId="410836B4"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22.4–23.2</w:t>
            </w:r>
          </w:p>
        </w:tc>
        <w:tc>
          <w:tcPr>
            <w:tcW w:w="1260" w:type="dxa"/>
          </w:tcPr>
          <w:p w14:paraId="1FD4E0AF" w14:textId="73277B7E"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6825</w:t>
            </w:r>
          </w:p>
        </w:tc>
        <w:tc>
          <w:tcPr>
            <w:tcW w:w="1260" w:type="dxa"/>
          </w:tcPr>
          <w:p w14:paraId="44BC6A92" w14:textId="4CB98463"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23.8</w:t>
            </w:r>
          </w:p>
        </w:tc>
        <w:tc>
          <w:tcPr>
            <w:tcW w:w="1260" w:type="dxa"/>
          </w:tcPr>
          <w:p w14:paraId="0B514A72" w14:textId="0418AE4C"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23.3–24.3</w:t>
            </w:r>
          </w:p>
        </w:tc>
        <w:tc>
          <w:tcPr>
            <w:tcW w:w="1260" w:type="dxa"/>
          </w:tcPr>
          <w:p w14:paraId="48A19E00" w14:textId="41E35567"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2665</w:t>
            </w:r>
          </w:p>
        </w:tc>
        <w:tc>
          <w:tcPr>
            <w:tcW w:w="1260" w:type="dxa"/>
          </w:tcPr>
          <w:p w14:paraId="7B3754BE" w14:textId="4950284F"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20.6</w:t>
            </w:r>
          </w:p>
        </w:tc>
        <w:tc>
          <w:tcPr>
            <w:tcW w:w="1260" w:type="dxa"/>
          </w:tcPr>
          <w:p w14:paraId="14BAE8B3" w14:textId="23273B03"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19.9–21.3</w:t>
            </w:r>
          </w:p>
        </w:tc>
      </w:tr>
      <w:tr w:rsidR="009B67FD" w:rsidRPr="006436E9" w14:paraId="6D7E8C0D" w14:textId="77777777" w:rsidTr="007B74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60" w:type="dxa"/>
            <w:vMerge/>
            <w:vAlign w:val="center"/>
          </w:tcPr>
          <w:p w14:paraId="79C05F4B" w14:textId="77777777" w:rsidR="009B67FD" w:rsidRPr="006C61B3" w:rsidRDefault="009B67FD" w:rsidP="007B740E">
            <w:pPr>
              <w:autoSpaceDE w:val="0"/>
              <w:autoSpaceDN w:val="0"/>
              <w:adjustRightInd w:val="0"/>
              <w:snapToGrid w:val="0"/>
              <w:spacing w:line="240" w:lineRule="auto"/>
              <w:jc w:val="left"/>
              <w:rPr>
                <w:b w:val="0"/>
                <w:noProof w:val="0"/>
                <w:lang w:val="en-GB"/>
              </w:rPr>
            </w:pPr>
          </w:p>
        </w:tc>
        <w:tc>
          <w:tcPr>
            <w:tcW w:w="1260" w:type="dxa"/>
          </w:tcPr>
          <w:p w14:paraId="6414B52B" w14:textId="2ACFCE54" w:rsidR="009B67FD" w:rsidRPr="006436E9" w:rsidRDefault="009B67FD" w:rsidP="009B67FD">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25–34</w:t>
            </w:r>
          </w:p>
        </w:tc>
        <w:tc>
          <w:tcPr>
            <w:tcW w:w="1260" w:type="dxa"/>
          </w:tcPr>
          <w:p w14:paraId="09773107" w14:textId="012B2CE2"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10,890</w:t>
            </w:r>
          </w:p>
        </w:tc>
        <w:tc>
          <w:tcPr>
            <w:tcW w:w="1260" w:type="dxa"/>
          </w:tcPr>
          <w:p w14:paraId="3CA09D6E" w14:textId="70658EB3"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26.1</w:t>
            </w:r>
          </w:p>
        </w:tc>
        <w:tc>
          <w:tcPr>
            <w:tcW w:w="1260" w:type="dxa"/>
          </w:tcPr>
          <w:p w14:paraId="78C44E2A" w14:textId="03205681"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25.7–26.6</w:t>
            </w:r>
          </w:p>
        </w:tc>
        <w:tc>
          <w:tcPr>
            <w:tcW w:w="1260" w:type="dxa"/>
          </w:tcPr>
          <w:p w14:paraId="1DF78CDB" w14:textId="0AA33A0E"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7550</w:t>
            </w:r>
          </w:p>
        </w:tc>
        <w:tc>
          <w:tcPr>
            <w:tcW w:w="1260" w:type="dxa"/>
          </w:tcPr>
          <w:p w14:paraId="3CE3811B" w14:textId="32F6DE7D"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26.3</w:t>
            </w:r>
          </w:p>
        </w:tc>
        <w:tc>
          <w:tcPr>
            <w:tcW w:w="1260" w:type="dxa"/>
          </w:tcPr>
          <w:p w14:paraId="7EDCB096" w14:textId="43C2431B"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25.8–26.8</w:t>
            </w:r>
          </w:p>
        </w:tc>
        <w:tc>
          <w:tcPr>
            <w:tcW w:w="1260" w:type="dxa"/>
          </w:tcPr>
          <w:p w14:paraId="736F6B24" w14:textId="0E954E5F"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3325</w:t>
            </w:r>
          </w:p>
        </w:tc>
        <w:tc>
          <w:tcPr>
            <w:tcW w:w="1260" w:type="dxa"/>
          </w:tcPr>
          <w:p w14:paraId="146E3FA3" w14:textId="10EC4F5B"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25.7</w:t>
            </w:r>
          </w:p>
        </w:tc>
        <w:tc>
          <w:tcPr>
            <w:tcW w:w="1260" w:type="dxa"/>
          </w:tcPr>
          <w:p w14:paraId="648C17EB" w14:textId="54AD1C6A"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24.9–26.4</w:t>
            </w:r>
          </w:p>
        </w:tc>
      </w:tr>
      <w:tr w:rsidR="009B67FD" w:rsidRPr="006436E9" w14:paraId="5DB6B261" w14:textId="77777777" w:rsidTr="007B740E">
        <w:trPr>
          <w:cantSplit/>
        </w:trPr>
        <w:tc>
          <w:tcPr>
            <w:cnfStyle w:val="001000000000" w:firstRow="0" w:lastRow="0" w:firstColumn="1" w:lastColumn="0" w:oddVBand="0" w:evenVBand="0" w:oddHBand="0" w:evenHBand="0" w:firstRowFirstColumn="0" w:firstRowLastColumn="0" w:lastRowFirstColumn="0" w:lastRowLastColumn="0"/>
            <w:tcW w:w="1260" w:type="dxa"/>
            <w:vMerge/>
            <w:vAlign w:val="center"/>
          </w:tcPr>
          <w:p w14:paraId="6D405D44" w14:textId="77777777" w:rsidR="009B67FD" w:rsidRPr="006C61B3" w:rsidRDefault="009B67FD" w:rsidP="007B740E">
            <w:pPr>
              <w:autoSpaceDE w:val="0"/>
              <w:autoSpaceDN w:val="0"/>
              <w:adjustRightInd w:val="0"/>
              <w:snapToGrid w:val="0"/>
              <w:spacing w:line="240" w:lineRule="auto"/>
              <w:jc w:val="left"/>
              <w:rPr>
                <w:b w:val="0"/>
                <w:noProof w:val="0"/>
                <w:lang w:val="en-GB"/>
              </w:rPr>
            </w:pPr>
          </w:p>
        </w:tc>
        <w:tc>
          <w:tcPr>
            <w:tcW w:w="1260" w:type="dxa"/>
          </w:tcPr>
          <w:p w14:paraId="5946FE53" w14:textId="44E62CD9" w:rsidR="009B67FD" w:rsidRPr="006436E9" w:rsidRDefault="009B67FD" w:rsidP="009B67FD">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35–44</w:t>
            </w:r>
          </w:p>
        </w:tc>
        <w:tc>
          <w:tcPr>
            <w:tcW w:w="1260" w:type="dxa"/>
          </w:tcPr>
          <w:p w14:paraId="1397A37A" w14:textId="4D53531A"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7365</w:t>
            </w:r>
          </w:p>
        </w:tc>
        <w:tc>
          <w:tcPr>
            <w:tcW w:w="1260" w:type="dxa"/>
          </w:tcPr>
          <w:p w14:paraId="3B673352" w14:textId="10A7F739"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17.7</w:t>
            </w:r>
          </w:p>
        </w:tc>
        <w:tc>
          <w:tcPr>
            <w:tcW w:w="1260" w:type="dxa"/>
          </w:tcPr>
          <w:p w14:paraId="0128ACE1" w14:textId="16C3F2F7"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17.3–18.0</w:t>
            </w:r>
          </w:p>
        </w:tc>
        <w:tc>
          <w:tcPr>
            <w:tcW w:w="1260" w:type="dxa"/>
          </w:tcPr>
          <w:p w14:paraId="107CF049" w14:textId="764CBC7A"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4960</w:t>
            </w:r>
          </w:p>
        </w:tc>
        <w:tc>
          <w:tcPr>
            <w:tcW w:w="1260" w:type="dxa"/>
          </w:tcPr>
          <w:p w14:paraId="241ACB02" w14:textId="78E790D9"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17.3</w:t>
            </w:r>
          </w:p>
        </w:tc>
        <w:tc>
          <w:tcPr>
            <w:tcW w:w="1260" w:type="dxa"/>
          </w:tcPr>
          <w:p w14:paraId="32EACA55" w14:textId="66ACD0D6"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16.9–17.7</w:t>
            </w:r>
          </w:p>
        </w:tc>
        <w:tc>
          <w:tcPr>
            <w:tcW w:w="1260" w:type="dxa"/>
          </w:tcPr>
          <w:p w14:paraId="7460DC5B" w14:textId="0ED49343"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2400</w:t>
            </w:r>
          </w:p>
        </w:tc>
        <w:tc>
          <w:tcPr>
            <w:tcW w:w="1260" w:type="dxa"/>
          </w:tcPr>
          <w:p w14:paraId="42F27D77" w14:textId="0C222BF0"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18.5</w:t>
            </w:r>
          </w:p>
        </w:tc>
        <w:tc>
          <w:tcPr>
            <w:tcW w:w="1260" w:type="dxa"/>
          </w:tcPr>
          <w:p w14:paraId="6BC41DC3" w14:textId="15FC4B51"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17.9–19.2</w:t>
            </w:r>
          </w:p>
        </w:tc>
      </w:tr>
      <w:tr w:rsidR="009B67FD" w:rsidRPr="006436E9" w14:paraId="35ABF580" w14:textId="77777777" w:rsidTr="007B74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60" w:type="dxa"/>
            <w:vMerge/>
            <w:vAlign w:val="center"/>
          </w:tcPr>
          <w:p w14:paraId="015BF382" w14:textId="77777777" w:rsidR="009B67FD" w:rsidRPr="006C61B3" w:rsidRDefault="009B67FD" w:rsidP="007B740E">
            <w:pPr>
              <w:autoSpaceDE w:val="0"/>
              <w:autoSpaceDN w:val="0"/>
              <w:adjustRightInd w:val="0"/>
              <w:snapToGrid w:val="0"/>
              <w:spacing w:line="240" w:lineRule="auto"/>
              <w:jc w:val="left"/>
              <w:rPr>
                <w:b w:val="0"/>
                <w:noProof w:val="0"/>
                <w:lang w:val="en-GB"/>
              </w:rPr>
            </w:pPr>
          </w:p>
        </w:tc>
        <w:tc>
          <w:tcPr>
            <w:tcW w:w="1260" w:type="dxa"/>
          </w:tcPr>
          <w:p w14:paraId="3F9962BF" w14:textId="20F603DF" w:rsidR="009B67FD" w:rsidRPr="006436E9" w:rsidRDefault="009B67FD" w:rsidP="009B67FD">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45–54</w:t>
            </w:r>
          </w:p>
        </w:tc>
        <w:tc>
          <w:tcPr>
            <w:tcW w:w="1260" w:type="dxa"/>
          </w:tcPr>
          <w:p w14:paraId="7A6E0CC8" w14:textId="18FF49B9"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4665</w:t>
            </w:r>
          </w:p>
        </w:tc>
        <w:tc>
          <w:tcPr>
            <w:tcW w:w="1260" w:type="dxa"/>
          </w:tcPr>
          <w:p w14:paraId="6AED4053" w14:textId="14BBEB2B"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11.2</w:t>
            </w:r>
          </w:p>
        </w:tc>
        <w:tc>
          <w:tcPr>
            <w:tcW w:w="1260" w:type="dxa"/>
          </w:tcPr>
          <w:p w14:paraId="2AC9B11B" w14:textId="08398380"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10.9–11.5</w:t>
            </w:r>
          </w:p>
        </w:tc>
        <w:tc>
          <w:tcPr>
            <w:tcW w:w="1260" w:type="dxa"/>
          </w:tcPr>
          <w:p w14:paraId="169C2384" w14:textId="217685CA"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3085</w:t>
            </w:r>
          </w:p>
        </w:tc>
        <w:tc>
          <w:tcPr>
            <w:tcW w:w="1260" w:type="dxa"/>
          </w:tcPr>
          <w:p w14:paraId="7F0B3619" w14:textId="5AF76A60"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10.7</w:t>
            </w:r>
          </w:p>
        </w:tc>
        <w:tc>
          <w:tcPr>
            <w:tcW w:w="1260" w:type="dxa"/>
          </w:tcPr>
          <w:p w14:paraId="6C27514B" w14:textId="60B8D677"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10.4–11.1</w:t>
            </w:r>
          </w:p>
        </w:tc>
        <w:tc>
          <w:tcPr>
            <w:tcW w:w="1260" w:type="dxa"/>
          </w:tcPr>
          <w:p w14:paraId="3B669FF6" w14:textId="2E087B28"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1575</w:t>
            </w:r>
          </w:p>
        </w:tc>
        <w:tc>
          <w:tcPr>
            <w:tcW w:w="1260" w:type="dxa"/>
          </w:tcPr>
          <w:p w14:paraId="6B1361A1" w14:textId="166984E7"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12.2</w:t>
            </w:r>
          </w:p>
        </w:tc>
        <w:tc>
          <w:tcPr>
            <w:tcW w:w="1260" w:type="dxa"/>
          </w:tcPr>
          <w:p w14:paraId="61953F58" w14:textId="691C3D73"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11.6–12.7</w:t>
            </w:r>
          </w:p>
        </w:tc>
      </w:tr>
      <w:tr w:rsidR="009B67FD" w:rsidRPr="006436E9" w14:paraId="688FBB56" w14:textId="77777777" w:rsidTr="007B740E">
        <w:trPr>
          <w:cantSplit/>
        </w:trPr>
        <w:tc>
          <w:tcPr>
            <w:cnfStyle w:val="001000000000" w:firstRow="0" w:lastRow="0" w:firstColumn="1" w:lastColumn="0" w:oddVBand="0" w:evenVBand="0" w:oddHBand="0" w:evenHBand="0" w:firstRowFirstColumn="0" w:firstRowLastColumn="0" w:lastRowFirstColumn="0" w:lastRowLastColumn="0"/>
            <w:tcW w:w="1260" w:type="dxa"/>
            <w:vMerge/>
            <w:vAlign w:val="center"/>
          </w:tcPr>
          <w:p w14:paraId="2E56094C" w14:textId="77777777" w:rsidR="009B67FD" w:rsidRPr="006C61B3" w:rsidRDefault="009B67FD" w:rsidP="007B740E">
            <w:pPr>
              <w:autoSpaceDE w:val="0"/>
              <w:autoSpaceDN w:val="0"/>
              <w:adjustRightInd w:val="0"/>
              <w:snapToGrid w:val="0"/>
              <w:spacing w:line="240" w:lineRule="auto"/>
              <w:jc w:val="left"/>
              <w:rPr>
                <w:b w:val="0"/>
                <w:noProof w:val="0"/>
                <w:lang w:val="en-GB"/>
              </w:rPr>
            </w:pPr>
          </w:p>
        </w:tc>
        <w:tc>
          <w:tcPr>
            <w:tcW w:w="1260" w:type="dxa"/>
          </w:tcPr>
          <w:p w14:paraId="35AF867F" w14:textId="6D12AE1A" w:rsidR="009B67FD" w:rsidRPr="006436E9" w:rsidRDefault="009B67FD" w:rsidP="009B67FD">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55–64</w:t>
            </w:r>
          </w:p>
        </w:tc>
        <w:tc>
          <w:tcPr>
            <w:tcW w:w="1260" w:type="dxa"/>
          </w:tcPr>
          <w:p w14:paraId="29C78078" w14:textId="00AE0FD0"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2335</w:t>
            </w:r>
          </w:p>
        </w:tc>
        <w:tc>
          <w:tcPr>
            <w:tcW w:w="1260" w:type="dxa"/>
          </w:tcPr>
          <w:p w14:paraId="65983643" w14:textId="30A1557C"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5.6</w:t>
            </w:r>
          </w:p>
        </w:tc>
        <w:tc>
          <w:tcPr>
            <w:tcW w:w="1260" w:type="dxa"/>
          </w:tcPr>
          <w:p w14:paraId="1B668ACC" w14:textId="3859555C"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5.4–5.8</w:t>
            </w:r>
          </w:p>
        </w:tc>
        <w:tc>
          <w:tcPr>
            <w:tcW w:w="1260" w:type="dxa"/>
          </w:tcPr>
          <w:p w14:paraId="47E78183" w14:textId="562C6B32"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1590</w:t>
            </w:r>
          </w:p>
        </w:tc>
        <w:tc>
          <w:tcPr>
            <w:tcW w:w="1260" w:type="dxa"/>
          </w:tcPr>
          <w:p w14:paraId="17604A6C" w14:textId="01194B50"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5.5</w:t>
            </w:r>
          </w:p>
        </w:tc>
        <w:tc>
          <w:tcPr>
            <w:tcW w:w="1260" w:type="dxa"/>
          </w:tcPr>
          <w:p w14:paraId="6413BDD1" w14:textId="426AEFFD"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5.3–5.8</w:t>
            </w:r>
          </w:p>
        </w:tc>
        <w:tc>
          <w:tcPr>
            <w:tcW w:w="1260" w:type="dxa"/>
          </w:tcPr>
          <w:p w14:paraId="6465D7AF" w14:textId="1B859208"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745</w:t>
            </w:r>
          </w:p>
        </w:tc>
        <w:tc>
          <w:tcPr>
            <w:tcW w:w="1260" w:type="dxa"/>
          </w:tcPr>
          <w:p w14:paraId="32104FD5" w14:textId="6E400908"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5.7</w:t>
            </w:r>
          </w:p>
        </w:tc>
        <w:tc>
          <w:tcPr>
            <w:tcW w:w="1260" w:type="dxa"/>
          </w:tcPr>
          <w:p w14:paraId="36D37080" w14:textId="29A766BA"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5.3–6.1</w:t>
            </w:r>
          </w:p>
        </w:tc>
      </w:tr>
      <w:tr w:rsidR="009B67FD" w:rsidRPr="006436E9" w14:paraId="18D740A3" w14:textId="77777777" w:rsidTr="007B74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60" w:type="dxa"/>
            <w:vMerge/>
            <w:vAlign w:val="center"/>
          </w:tcPr>
          <w:p w14:paraId="3931B36B" w14:textId="77777777" w:rsidR="009B67FD" w:rsidRPr="006C61B3" w:rsidRDefault="009B67FD" w:rsidP="007B740E">
            <w:pPr>
              <w:autoSpaceDE w:val="0"/>
              <w:autoSpaceDN w:val="0"/>
              <w:adjustRightInd w:val="0"/>
              <w:snapToGrid w:val="0"/>
              <w:spacing w:line="240" w:lineRule="auto"/>
              <w:jc w:val="left"/>
              <w:rPr>
                <w:b w:val="0"/>
                <w:noProof w:val="0"/>
                <w:lang w:val="en-GB"/>
              </w:rPr>
            </w:pPr>
          </w:p>
        </w:tc>
        <w:tc>
          <w:tcPr>
            <w:tcW w:w="1260" w:type="dxa"/>
          </w:tcPr>
          <w:p w14:paraId="42BCEB82" w14:textId="14D75C46" w:rsidR="009B67FD" w:rsidRPr="006436E9" w:rsidRDefault="009B67FD" w:rsidP="009B67FD">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65 and older</w:t>
            </w:r>
          </w:p>
        </w:tc>
        <w:tc>
          <w:tcPr>
            <w:tcW w:w="1260" w:type="dxa"/>
          </w:tcPr>
          <w:p w14:paraId="64A3B9AF" w14:textId="24FB9F9B"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1175</w:t>
            </w:r>
          </w:p>
        </w:tc>
        <w:tc>
          <w:tcPr>
            <w:tcW w:w="1260" w:type="dxa"/>
          </w:tcPr>
          <w:p w14:paraId="78175825" w14:textId="6426BD4C"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2.8</w:t>
            </w:r>
          </w:p>
        </w:tc>
        <w:tc>
          <w:tcPr>
            <w:tcW w:w="1260" w:type="dxa"/>
          </w:tcPr>
          <w:p w14:paraId="329D8106" w14:textId="3D38EB18"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2.7–3.0</w:t>
            </w:r>
          </w:p>
        </w:tc>
        <w:tc>
          <w:tcPr>
            <w:tcW w:w="1260" w:type="dxa"/>
          </w:tcPr>
          <w:p w14:paraId="5F6B8723" w14:textId="4B9FD36E"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655</w:t>
            </w:r>
          </w:p>
        </w:tc>
        <w:tc>
          <w:tcPr>
            <w:tcW w:w="1260" w:type="dxa"/>
          </w:tcPr>
          <w:p w14:paraId="3B2C4041" w14:textId="4D7F0963"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2.3</w:t>
            </w:r>
          </w:p>
        </w:tc>
        <w:tc>
          <w:tcPr>
            <w:tcW w:w="1260" w:type="dxa"/>
          </w:tcPr>
          <w:p w14:paraId="2BA9BEBA" w14:textId="1D98006C"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2.1–2.5</w:t>
            </w:r>
          </w:p>
        </w:tc>
        <w:tc>
          <w:tcPr>
            <w:tcW w:w="1260" w:type="dxa"/>
          </w:tcPr>
          <w:p w14:paraId="2A06B97E" w14:textId="6B54E076"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520</w:t>
            </w:r>
          </w:p>
        </w:tc>
        <w:tc>
          <w:tcPr>
            <w:tcW w:w="1260" w:type="dxa"/>
          </w:tcPr>
          <w:p w14:paraId="5F06DB08" w14:textId="3233F5AC"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4.0</w:t>
            </w:r>
          </w:p>
        </w:tc>
        <w:tc>
          <w:tcPr>
            <w:tcW w:w="1260" w:type="dxa"/>
          </w:tcPr>
          <w:p w14:paraId="250DADF4" w14:textId="0E64830E"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3.7–4.3</w:t>
            </w:r>
          </w:p>
        </w:tc>
      </w:tr>
      <w:tr w:rsidR="009B67FD" w:rsidRPr="006436E9" w14:paraId="2CD6E9C7" w14:textId="77777777" w:rsidTr="007B740E">
        <w:trPr>
          <w:cantSplit/>
        </w:trPr>
        <w:tc>
          <w:tcPr>
            <w:cnfStyle w:val="001000000000" w:firstRow="0" w:lastRow="0" w:firstColumn="1" w:lastColumn="0" w:oddVBand="0" w:evenVBand="0" w:oddHBand="0" w:evenHBand="0" w:firstRowFirstColumn="0" w:firstRowLastColumn="0" w:lastRowFirstColumn="0" w:lastRowLastColumn="0"/>
            <w:tcW w:w="1260" w:type="dxa"/>
            <w:vMerge/>
            <w:vAlign w:val="center"/>
          </w:tcPr>
          <w:p w14:paraId="239067D7" w14:textId="77777777" w:rsidR="009B67FD" w:rsidRPr="006C61B3" w:rsidRDefault="009B67FD" w:rsidP="007B740E">
            <w:pPr>
              <w:autoSpaceDE w:val="0"/>
              <w:autoSpaceDN w:val="0"/>
              <w:adjustRightInd w:val="0"/>
              <w:snapToGrid w:val="0"/>
              <w:spacing w:line="240" w:lineRule="auto"/>
              <w:jc w:val="left"/>
              <w:rPr>
                <w:b w:val="0"/>
                <w:noProof w:val="0"/>
                <w:lang w:val="en-GB"/>
              </w:rPr>
            </w:pPr>
          </w:p>
        </w:tc>
        <w:tc>
          <w:tcPr>
            <w:tcW w:w="1260" w:type="dxa"/>
          </w:tcPr>
          <w:p w14:paraId="75EC6843" w14:textId="4BD3461E" w:rsidR="009B67FD" w:rsidRPr="006436E9" w:rsidRDefault="009B67FD" w:rsidP="009B67FD">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Missing</w:t>
            </w:r>
          </w:p>
        </w:tc>
        <w:tc>
          <w:tcPr>
            <w:tcW w:w="1260" w:type="dxa"/>
          </w:tcPr>
          <w:p w14:paraId="0968C549" w14:textId="0335CA0A"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40</w:t>
            </w:r>
          </w:p>
        </w:tc>
        <w:tc>
          <w:tcPr>
            <w:tcW w:w="1260" w:type="dxa"/>
          </w:tcPr>
          <w:p w14:paraId="13652736" w14:textId="41948CA4"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0.1</w:t>
            </w:r>
          </w:p>
        </w:tc>
        <w:tc>
          <w:tcPr>
            <w:tcW w:w="1260" w:type="dxa"/>
          </w:tcPr>
          <w:p w14:paraId="2A9E041B" w14:textId="7AE45375"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0.1–0.1</w:t>
            </w:r>
          </w:p>
        </w:tc>
        <w:tc>
          <w:tcPr>
            <w:tcW w:w="1260" w:type="dxa"/>
          </w:tcPr>
          <w:p w14:paraId="0B105036" w14:textId="2462A538"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20</w:t>
            </w:r>
          </w:p>
        </w:tc>
        <w:tc>
          <w:tcPr>
            <w:tcW w:w="1260" w:type="dxa"/>
          </w:tcPr>
          <w:p w14:paraId="0BE1D746" w14:textId="7769169A"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0.1</w:t>
            </w:r>
          </w:p>
        </w:tc>
        <w:tc>
          <w:tcPr>
            <w:tcW w:w="1260" w:type="dxa"/>
          </w:tcPr>
          <w:p w14:paraId="720C5FFC" w14:textId="15951A2B"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0.0–1.1</w:t>
            </w:r>
          </w:p>
        </w:tc>
        <w:tc>
          <w:tcPr>
            <w:tcW w:w="1260" w:type="dxa"/>
          </w:tcPr>
          <w:p w14:paraId="5FCB324B" w14:textId="14199FCB"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25</w:t>
            </w:r>
          </w:p>
        </w:tc>
        <w:tc>
          <w:tcPr>
            <w:tcW w:w="1260" w:type="dxa"/>
          </w:tcPr>
          <w:p w14:paraId="115548E1" w14:textId="3613DCC1"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0.2</w:t>
            </w:r>
          </w:p>
        </w:tc>
        <w:tc>
          <w:tcPr>
            <w:tcW w:w="1260" w:type="dxa"/>
          </w:tcPr>
          <w:p w14:paraId="0FD9AD38" w14:textId="33089FD2"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0.1–0.3</w:t>
            </w:r>
          </w:p>
        </w:tc>
      </w:tr>
      <w:tr w:rsidR="009B67FD" w:rsidRPr="006436E9" w14:paraId="4ABD0B62" w14:textId="77777777" w:rsidTr="007B74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60" w:type="dxa"/>
            <w:vMerge w:val="restart"/>
            <w:vAlign w:val="center"/>
          </w:tcPr>
          <w:p w14:paraId="60C6ADFE" w14:textId="516A9900" w:rsidR="009B67FD" w:rsidRPr="007B740E" w:rsidRDefault="009B67FD" w:rsidP="007B740E">
            <w:pPr>
              <w:autoSpaceDE w:val="0"/>
              <w:autoSpaceDN w:val="0"/>
              <w:adjustRightInd w:val="0"/>
              <w:snapToGrid w:val="0"/>
              <w:spacing w:line="240" w:lineRule="auto"/>
              <w:jc w:val="left"/>
              <w:rPr>
                <w:noProof w:val="0"/>
                <w:lang w:val="en-GB"/>
              </w:rPr>
            </w:pPr>
            <w:r w:rsidRPr="007B740E">
              <w:rPr>
                <w:noProof w:val="0"/>
                <w:lang w:val="en-GB"/>
              </w:rPr>
              <w:t>Location of incident</w:t>
            </w:r>
          </w:p>
        </w:tc>
        <w:tc>
          <w:tcPr>
            <w:tcW w:w="1260" w:type="dxa"/>
          </w:tcPr>
          <w:p w14:paraId="410DCDC1" w14:textId="017C6C25" w:rsidR="009B67FD" w:rsidRPr="006436E9" w:rsidRDefault="009B67FD" w:rsidP="009B67FD">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Home</w:t>
            </w:r>
          </w:p>
        </w:tc>
        <w:tc>
          <w:tcPr>
            <w:tcW w:w="1260" w:type="dxa"/>
          </w:tcPr>
          <w:p w14:paraId="499B2ED8" w14:textId="1D4D846F"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7590</w:t>
            </w:r>
          </w:p>
        </w:tc>
        <w:tc>
          <w:tcPr>
            <w:tcW w:w="1260" w:type="dxa"/>
          </w:tcPr>
          <w:p w14:paraId="6160E41E" w14:textId="41DE6A9F"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18.2</w:t>
            </w:r>
          </w:p>
        </w:tc>
        <w:tc>
          <w:tcPr>
            <w:tcW w:w="1260" w:type="dxa"/>
          </w:tcPr>
          <w:p w14:paraId="5D1C2FF5" w14:textId="0CAD2201"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17.8–18.6</w:t>
            </w:r>
          </w:p>
        </w:tc>
        <w:tc>
          <w:tcPr>
            <w:tcW w:w="1260" w:type="dxa"/>
          </w:tcPr>
          <w:p w14:paraId="1D68BAC6" w14:textId="68FE400D"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3700</w:t>
            </w:r>
          </w:p>
        </w:tc>
        <w:tc>
          <w:tcPr>
            <w:tcW w:w="1260" w:type="dxa"/>
          </w:tcPr>
          <w:p w14:paraId="55D1FF91" w14:textId="7CEC1BB2"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12.9</w:t>
            </w:r>
          </w:p>
        </w:tc>
        <w:tc>
          <w:tcPr>
            <w:tcW w:w="1260" w:type="dxa"/>
          </w:tcPr>
          <w:p w14:paraId="74463C02" w14:textId="08EF67DD"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12.5–13.3</w:t>
            </w:r>
          </w:p>
        </w:tc>
        <w:tc>
          <w:tcPr>
            <w:tcW w:w="1260" w:type="dxa"/>
          </w:tcPr>
          <w:p w14:paraId="45790CDE" w14:textId="637047D9"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3885</w:t>
            </w:r>
          </w:p>
        </w:tc>
        <w:tc>
          <w:tcPr>
            <w:tcW w:w="1260" w:type="dxa"/>
          </w:tcPr>
          <w:p w14:paraId="4FEF691A" w14:textId="6581435F"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30.0</w:t>
            </w:r>
          </w:p>
        </w:tc>
        <w:tc>
          <w:tcPr>
            <w:tcW w:w="1260" w:type="dxa"/>
          </w:tcPr>
          <w:p w14:paraId="2E9FFD16" w14:textId="2B0270CD"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29.2–30.8</w:t>
            </w:r>
          </w:p>
        </w:tc>
      </w:tr>
      <w:tr w:rsidR="009B67FD" w:rsidRPr="006436E9" w14:paraId="5038E2DC" w14:textId="77777777" w:rsidTr="00DA7F2D">
        <w:trPr>
          <w:cantSplit/>
        </w:trPr>
        <w:tc>
          <w:tcPr>
            <w:cnfStyle w:val="001000000000" w:firstRow="0" w:lastRow="0" w:firstColumn="1" w:lastColumn="0" w:oddVBand="0" w:evenVBand="0" w:oddHBand="0" w:evenHBand="0" w:firstRowFirstColumn="0" w:firstRowLastColumn="0" w:lastRowFirstColumn="0" w:lastRowLastColumn="0"/>
            <w:tcW w:w="1260" w:type="dxa"/>
            <w:vMerge/>
          </w:tcPr>
          <w:p w14:paraId="3F5ED55F" w14:textId="77777777" w:rsidR="009B67FD" w:rsidRPr="006436E9" w:rsidRDefault="009B67FD" w:rsidP="009B67FD">
            <w:pPr>
              <w:autoSpaceDE w:val="0"/>
              <w:autoSpaceDN w:val="0"/>
              <w:adjustRightInd w:val="0"/>
              <w:snapToGrid w:val="0"/>
              <w:spacing w:line="240" w:lineRule="auto"/>
              <w:jc w:val="left"/>
              <w:rPr>
                <w:noProof w:val="0"/>
                <w:lang w:val="en-GB"/>
              </w:rPr>
            </w:pPr>
          </w:p>
        </w:tc>
        <w:tc>
          <w:tcPr>
            <w:tcW w:w="1260" w:type="dxa"/>
          </w:tcPr>
          <w:p w14:paraId="342C7015" w14:textId="3163E219" w:rsidR="009B67FD" w:rsidRPr="006436E9" w:rsidRDefault="009B67FD" w:rsidP="009B67FD">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Hotel/bed and breakfast (B&amp;B)</w:t>
            </w:r>
          </w:p>
        </w:tc>
        <w:tc>
          <w:tcPr>
            <w:tcW w:w="1260" w:type="dxa"/>
          </w:tcPr>
          <w:p w14:paraId="27D4B5EA" w14:textId="5FE59A31"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50</w:t>
            </w:r>
          </w:p>
        </w:tc>
        <w:tc>
          <w:tcPr>
            <w:tcW w:w="1260" w:type="dxa"/>
          </w:tcPr>
          <w:p w14:paraId="26539525" w14:textId="06594416"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0.1</w:t>
            </w:r>
          </w:p>
        </w:tc>
        <w:tc>
          <w:tcPr>
            <w:tcW w:w="1260" w:type="dxa"/>
          </w:tcPr>
          <w:p w14:paraId="6F8D7CB0" w14:textId="2995C441"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0.1–0.2</w:t>
            </w:r>
          </w:p>
        </w:tc>
        <w:tc>
          <w:tcPr>
            <w:tcW w:w="1260" w:type="dxa"/>
          </w:tcPr>
          <w:p w14:paraId="21F55A62" w14:textId="7196B74B"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25</w:t>
            </w:r>
          </w:p>
        </w:tc>
        <w:tc>
          <w:tcPr>
            <w:tcW w:w="1260" w:type="dxa"/>
          </w:tcPr>
          <w:p w14:paraId="5C99318C" w14:textId="3E02B59A"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0.1</w:t>
            </w:r>
          </w:p>
        </w:tc>
        <w:tc>
          <w:tcPr>
            <w:tcW w:w="1260" w:type="dxa"/>
          </w:tcPr>
          <w:p w14:paraId="7C0EC0CA" w14:textId="08FDAA71"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0.1–1.1</w:t>
            </w:r>
          </w:p>
        </w:tc>
        <w:tc>
          <w:tcPr>
            <w:tcW w:w="1260" w:type="dxa"/>
          </w:tcPr>
          <w:p w14:paraId="5D070C07" w14:textId="06806E32"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25</w:t>
            </w:r>
          </w:p>
        </w:tc>
        <w:tc>
          <w:tcPr>
            <w:tcW w:w="1260" w:type="dxa"/>
          </w:tcPr>
          <w:p w14:paraId="7265521D" w14:textId="08103009"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0.2</w:t>
            </w:r>
          </w:p>
        </w:tc>
        <w:tc>
          <w:tcPr>
            <w:tcW w:w="1260" w:type="dxa"/>
          </w:tcPr>
          <w:p w14:paraId="340C201E" w14:textId="700F81C3"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0.1–0.3</w:t>
            </w:r>
          </w:p>
        </w:tc>
      </w:tr>
      <w:tr w:rsidR="009B67FD" w:rsidRPr="006436E9" w14:paraId="5A076713" w14:textId="77777777" w:rsidTr="00DA7F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60" w:type="dxa"/>
            <w:vMerge/>
          </w:tcPr>
          <w:p w14:paraId="0B88FFF8" w14:textId="77777777" w:rsidR="009B67FD" w:rsidRPr="006436E9" w:rsidRDefault="009B67FD" w:rsidP="009B67FD">
            <w:pPr>
              <w:autoSpaceDE w:val="0"/>
              <w:autoSpaceDN w:val="0"/>
              <w:adjustRightInd w:val="0"/>
              <w:snapToGrid w:val="0"/>
              <w:spacing w:line="240" w:lineRule="auto"/>
              <w:jc w:val="left"/>
              <w:rPr>
                <w:noProof w:val="0"/>
                <w:lang w:val="en-GB"/>
              </w:rPr>
            </w:pPr>
          </w:p>
        </w:tc>
        <w:tc>
          <w:tcPr>
            <w:tcW w:w="1260" w:type="dxa"/>
          </w:tcPr>
          <w:p w14:paraId="21D09361" w14:textId="690A1965" w:rsidR="009B67FD" w:rsidRPr="006436E9" w:rsidRDefault="009B67FD" w:rsidP="009B67FD">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Outdoor</w:t>
            </w:r>
          </w:p>
        </w:tc>
        <w:tc>
          <w:tcPr>
            <w:tcW w:w="1260" w:type="dxa"/>
          </w:tcPr>
          <w:p w14:paraId="59B2B240" w14:textId="437D1B32"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14,640</w:t>
            </w:r>
          </w:p>
        </w:tc>
        <w:tc>
          <w:tcPr>
            <w:tcW w:w="1260" w:type="dxa"/>
          </w:tcPr>
          <w:p w14:paraId="376D1C10" w14:textId="31892F65"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35.1</w:t>
            </w:r>
          </w:p>
        </w:tc>
        <w:tc>
          <w:tcPr>
            <w:tcW w:w="1260" w:type="dxa"/>
          </w:tcPr>
          <w:p w14:paraId="6FDA7158" w14:textId="76EC148C"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34.7–35.6</w:t>
            </w:r>
          </w:p>
        </w:tc>
        <w:tc>
          <w:tcPr>
            <w:tcW w:w="1260" w:type="dxa"/>
          </w:tcPr>
          <w:p w14:paraId="2A3B2D83" w14:textId="59DD3D69"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11,735</w:t>
            </w:r>
          </w:p>
        </w:tc>
        <w:tc>
          <w:tcPr>
            <w:tcW w:w="1260" w:type="dxa"/>
          </w:tcPr>
          <w:p w14:paraId="3B4DCDD6" w14:textId="1789DD68"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40.9</w:t>
            </w:r>
          </w:p>
        </w:tc>
        <w:tc>
          <w:tcPr>
            <w:tcW w:w="1260" w:type="dxa"/>
          </w:tcPr>
          <w:p w14:paraId="32DE5D04" w14:textId="1EFFA6B7"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40.3–41.5</w:t>
            </w:r>
          </w:p>
        </w:tc>
        <w:tc>
          <w:tcPr>
            <w:tcW w:w="1260" w:type="dxa"/>
          </w:tcPr>
          <w:p w14:paraId="17A326DE" w14:textId="50AB7C57"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2890</w:t>
            </w:r>
          </w:p>
        </w:tc>
        <w:tc>
          <w:tcPr>
            <w:tcW w:w="1260" w:type="dxa"/>
          </w:tcPr>
          <w:p w14:paraId="6916BFE7" w14:textId="5DCE08D8"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22.3</w:t>
            </w:r>
          </w:p>
        </w:tc>
        <w:tc>
          <w:tcPr>
            <w:tcW w:w="1260" w:type="dxa"/>
          </w:tcPr>
          <w:p w14:paraId="28CCF608" w14:textId="44362E3F"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21.6–23.0</w:t>
            </w:r>
          </w:p>
        </w:tc>
      </w:tr>
      <w:tr w:rsidR="009B67FD" w:rsidRPr="006436E9" w14:paraId="17340DD9" w14:textId="77777777" w:rsidTr="00DA7F2D">
        <w:trPr>
          <w:cantSplit/>
        </w:trPr>
        <w:tc>
          <w:tcPr>
            <w:cnfStyle w:val="001000000000" w:firstRow="0" w:lastRow="0" w:firstColumn="1" w:lastColumn="0" w:oddVBand="0" w:evenVBand="0" w:oddHBand="0" w:evenHBand="0" w:firstRowFirstColumn="0" w:firstRowLastColumn="0" w:lastRowFirstColumn="0" w:lastRowLastColumn="0"/>
            <w:tcW w:w="1260" w:type="dxa"/>
            <w:vMerge/>
          </w:tcPr>
          <w:p w14:paraId="5122833E" w14:textId="77777777" w:rsidR="009B67FD" w:rsidRPr="006436E9" w:rsidRDefault="009B67FD" w:rsidP="009B67FD">
            <w:pPr>
              <w:autoSpaceDE w:val="0"/>
              <w:autoSpaceDN w:val="0"/>
              <w:adjustRightInd w:val="0"/>
              <w:snapToGrid w:val="0"/>
              <w:spacing w:line="240" w:lineRule="auto"/>
              <w:jc w:val="left"/>
              <w:rPr>
                <w:noProof w:val="0"/>
                <w:lang w:val="en-GB"/>
              </w:rPr>
            </w:pPr>
          </w:p>
        </w:tc>
        <w:tc>
          <w:tcPr>
            <w:tcW w:w="1260" w:type="dxa"/>
          </w:tcPr>
          <w:p w14:paraId="3411BDC3" w14:textId="43040EFB" w:rsidR="009B67FD" w:rsidRPr="006436E9" w:rsidRDefault="009B67FD" w:rsidP="009B67FD">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Entertainment</w:t>
            </w:r>
          </w:p>
        </w:tc>
        <w:tc>
          <w:tcPr>
            <w:tcW w:w="1260" w:type="dxa"/>
          </w:tcPr>
          <w:p w14:paraId="27A9AC52" w14:textId="0DBF8229"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2225</w:t>
            </w:r>
          </w:p>
        </w:tc>
        <w:tc>
          <w:tcPr>
            <w:tcW w:w="1260" w:type="dxa"/>
          </w:tcPr>
          <w:p w14:paraId="33448E65" w14:textId="06F1239C"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5.3</w:t>
            </w:r>
          </w:p>
        </w:tc>
        <w:tc>
          <w:tcPr>
            <w:tcW w:w="1260" w:type="dxa"/>
          </w:tcPr>
          <w:p w14:paraId="681792E7" w14:textId="6BEFBA70"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5.1–5.5</w:t>
            </w:r>
          </w:p>
        </w:tc>
        <w:tc>
          <w:tcPr>
            <w:tcW w:w="1260" w:type="dxa"/>
          </w:tcPr>
          <w:p w14:paraId="6B6B9C6E" w14:textId="66D03F50"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1685</w:t>
            </w:r>
          </w:p>
        </w:tc>
        <w:tc>
          <w:tcPr>
            <w:tcW w:w="1260" w:type="dxa"/>
          </w:tcPr>
          <w:p w14:paraId="1A5D131C" w14:textId="5E19DE2A"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5.9</w:t>
            </w:r>
          </w:p>
        </w:tc>
        <w:tc>
          <w:tcPr>
            <w:tcW w:w="1260" w:type="dxa"/>
          </w:tcPr>
          <w:p w14:paraId="7FB2E96B" w14:textId="216CE600"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5.6–6.1</w:t>
            </w:r>
          </w:p>
        </w:tc>
        <w:tc>
          <w:tcPr>
            <w:tcW w:w="1260" w:type="dxa"/>
          </w:tcPr>
          <w:p w14:paraId="0DB19C52" w14:textId="69C04153"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535</w:t>
            </w:r>
          </w:p>
        </w:tc>
        <w:tc>
          <w:tcPr>
            <w:tcW w:w="1260" w:type="dxa"/>
          </w:tcPr>
          <w:p w14:paraId="71C69F5F" w14:textId="0F96F741"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4.1</w:t>
            </w:r>
          </w:p>
        </w:tc>
        <w:tc>
          <w:tcPr>
            <w:tcW w:w="1260" w:type="dxa"/>
          </w:tcPr>
          <w:p w14:paraId="6BDCF872" w14:textId="2D9833E2"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3.8–4.5</w:t>
            </w:r>
          </w:p>
        </w:tc>
      </w:tr>
      <w:tr w:rsidR="009B67FD" w:rsidRPr="006436E9" w14:paraId="45D2450D" w14:textId="77777777" w:rsidTr="00DA7F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60" w:type="dxa"/>
            <w:vMerge/>
          </w:tcPr>
          <w:p w14:paraId="440924D3" w14:textId="77777777" w:rsidR="009B67FD" w:rsidRPr="006436E9" w:rsidRDefault="009B67FD" w:rsidP="009B67FD">
            <w:pPr>
              <w:autoSpaceDE w:val="0"/>
              <w:autoSpaceDN w:val="0"/>
              <w:adjustRightInd w:val="0"/>
              <w:snapToGrid w:val="0"/>
              <w:spacing w:line="240" w:lineRule="auto"/>
              <w:jc w:val="left"/>
              <w:rPr>
                <w:noProof w:val="0"/>
                <w:lang w:val="en-GB"/>
              </w:rPr>
            </w:pPr>
          </w:p>
        </w:tc>
        <w:tc>
          <w:tcPr>
            <w:tcW w:w="1260" w:type="dxa"/>
          </w:tcPr>
          <w:p w14:paraId="2DD69D5B" w14:textId="2EAFE834" w:rsidR="009B67FD" w:rsidRPr="006436E9" w:rsidRDefault="009B67FD" w:rsidP="009B67FD">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Public area</w:t>
            </w:r>
          </w:p>
        </w:tc>
        <w:tc>
          <w:tcPr>
            <w:tcW w:w="1260" w:type="dxa"/>
          </w:tcPr>
          <w:p w14:paraId="1D5F695A" w14:textId="2D6BDC9F"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5660</w:t>
            </w:r>
          </w:p>
        </w:tc>
        <w:tc>
          <w:tcPr>
            <w:tcW w:w="1260" w:type="dxa"/>
          </w:tcPr>
          <w:p w14:paraId="70596B7F" w14:textId="1DFB8F6A"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13.6</w:t>
            </w:r>
          </w:p>
        </w:tc>
        <w:tc>
          <w:tcPr>
            <w:tcW w:w="1260" w:type="dxa"/>
          </w:tcPr>
          <w:p w14:paraId="317DE41E" w14:textId="56B98C34"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13.3–13.9</w:t>
            </w:r>
          </w:p>
        </w:tc>
        <w:tc>
          <w:tcPr>
            <w:tcW w:w="1260" w:type="dxa"/>
          </w:tcPr>
          <w:p w14:paraId="45A52BD7" w14:textId="274497A9"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3680</w:t>
            </w:r>
          </w:p>
        </w:tc>
        <w:tc>
          <w:tcPr>
            <w:tcW w:w="1260" w:type="dxa"/>
          </w:tcPr>
          <w:p w14:paraId="6C8FA1E2" w14:textId="0D7AF009"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12.8</w:t>
            </w:r>
          </w:p>
        </w:tc>
        <w:tc>
          <w:tcPr>
            <w:tcW w:w="1260" w:type="dxa"/>
          </w:tcPr>
          <w:p w14:paraId="5D423F94" w14:textId="4057413E"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12.4–13.2</w:t>
            </w:r>
          </w:p>
        </w:tc>
        <w:tc>
          <w:tcPr>
            <w:tcW w:w="1260" w:type="dxa"/>
          </w:tcPr>
          <w:p w14:paraId="518E00EF" w14:textId="6E6EB54C"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1980</w:t>
            </w:r>
          </w:p>
        </w:tc>
        <w:tc>
          <w:tcPr>
            <w:tcW w:w="1260" w:type="dxa"/>
          </w:tcPr>
          <w:p w14:paraId="4FC6A771" w14:textId="282E1348"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15.3</w:t>
            </w:r>
          </w:p>
        </w:tc>
        <w:tc>
          <w:tcPr>
            <w:tcW w:w="1260" w:type="dxa"/>
          </w:tcPr>
          <w:p w14:paraId="131272FE" w14:textId="0AA66F93"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14.7–15.9</w:t>
            </w:r>
          </w:p>
        </w:tc>
      </w:tr>
      <w:tr w:rsidR="009B67FD" w:rsidRPr="006436E9" w14:paraId="24D88ABD" w14:textId="77777777" w:rsidTr="00DA7F2D">
        <w:trPr>
          <w:cantSplit/>
        </w:trPr>
        <w:tc>
          <w:tcPr>
            <w:cnfStyle w:val="001000000000" w:firstRow="0" w:lastRow="0" w:firstColumn="1" w:lastColumn="0" w:oddVBand="0" w:evenVBand="0" w:oddHBand="0" w:evenHBand="0" w:firstRowFirstColumn="0" w:firstRowLastColumn="0" w:lastRowFirstColumn="0" w:lastRowLastColumn="0"/>
            <w:tcW w:w="1260" w:type="dxa"/>
            <w:vMerge/>
          </w:tcPr>
          <w:p w14:paraId="736A1AF8" w14:textId="77777777" w:rsidR="009B67FD" w:rsidRPr="006436E9" w:rsidRDefault="009B67FD" w:rsidP="009B67FD">
            <w:pPr>
              <w:autoSpaceDE w:val="0"/>
              <w:autoSpaceDN w:val="0"/>
              <w:adjustRightInd w:val="0"/>
              <w:snapToGrid w:val="0"/>
              <w:spacing w:line="240" w:lineRule="auto"/>
              <w:jc w:val="left"/>
              <w:rPr>
                <w:noProof w:val="0"/>
                <w:lang w:val="en-GB"/>
              </w:rPr>
            </w:pPr>
          </w:p>
        </w:tc>
        <w:tc>
          <w:tcPr>
            <w:tcW w:w="1260" w:type="dxa"/>
          </w:tcPr>
          <w:p w14:paraId="4899A417" w14:textId="224F3C4B" w:rsidR="009B67FD" w:rsidRPr="006436E9" w:rsidRDefault="009B67FD" w:rsidP="009B67FD">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Public transport</w:t>
            </w:r>
          </w:p>
        </w:tc>
        <w:tc>
          <w:tcPr>
            <w:tcW w:w="1260" w:type="dxa"/>
          </w:tcPr>
          <w:p w14:paraId="4938D3E8" w14:textId="54C8D599"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135</w:t>
            </w:r>
          </w:p>
        </w:tc>
        <w:tc>
          <w:tcPr>
            <w:tcW w:w="1260" w:type="dxa"/>
          </w:tcPr>
          <w:p w14:paraId="2426450C" w14:textId="37B72BF2"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0.3</w:t>
            </w:r>
          </w:p>
        </w:tc>
        <w:tc>
          <w:tcPr>
            <w:tcW w:w="1260" w:type="dxa"/>
          </w:tcPr>
          <w:p w14:paraId="6B33A810" w14:textId="091DA2D5"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0.3–0.4</w:t>
            </w:r>
          </w:p>
        </w:tc>
        <w:tc>
          <w:tcPr>
            <w:tcW w:w="1260" w:type="dxa"/>
          </w:tcPr>
          <w:p w14:paraId="37C34B53" w14:textId="50FC7688"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95</w:t>
            </w:r>
          </w:p>
        </w:tc>
        <w:tc>
          <w:tcPr>
            <w:tcW w:w="1260" w:type="dxa"/>
          </w:tcPr>
          <w:p w14:paraId="5A2D7D00" w14:textId="005C1F3E"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0.3</w:t>
            </w:r>
          </w:p>
        </w:tc>
        <w:tc>
          <w:tcPr>
            <w:tcW w:w="1260" w:type="dxa"/>
          </w:tcPr>
          <w:p w14:paraId="1E215EA4" w14:textId="69274D36"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0.3–0.4</w:t>
            </w:r>
          </w:p>
        </w:tc>
        <w:tc>
          <w:tcPr>
            <w:tcW w:w="1260" w:type="dxa"/>
          </w:tcPr>
          <w:p w14:paraId="013873CD" w14:textId="23C9F998"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40</w:t>
            </w:r>
          </w:p>
        </w:tc>
        <w:tc>
          <w:tcPr>
            <w:tcW w:w="1260" w:type="dxa"/>
          </w:tcPr>
          <w:p w14:paraId="6DBF381E" w14:textId="16791071"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0.3</w:t>
            </w:r>
          </w:p>
        </w:tc>
        <w:tc>
          <w:tcPr>
            <w:tcW w:w="1260" w:type="dxa"/>
          </w:tcPr>
          <w:p w14:paraId="5BD8BD07" w14:textId="3D7878D2"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0.2–0.4</w:t>
            </w:r>
          </w:p>
        </w:tc>
      </w:tr>
      <w:tr w:rsidR="009B67FD" w:rsidRPr="006436E9" w14:paraId="48545F7B" w14:textId="77777777" w:rsidTr="00DA7F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60" w:type="dxa"/>
            <w:vMerge/>
          </w:tcPr>
          <w:p w14:paraId="56D417FA" w14:textId="77777777" w:rsidR="009B67FD" w:rsidRPr="006436E9" w:rsidRDefault="009B67FD" w:rsidP="009B67FD">
            <w:pPr>
              <w:autoSpaceDE w:val="0"/>
              <w:autoSpaceDN w:val="0"/>
              <w:adjustRightInd w:val="0"/>
              <w:snapToGrid w:val="0"/>
              <w:spacing w:line="240" w:lineRule="auto"/>
              <w:jc w:val="left"/>
              <w:rPr>
                <w:noProof w:val="0"/>
                <w:lang w:val="en-GB"/>
              </w:rPr>
            </w:pPr>
          </w:p>
        </w:tc>
        <w:tc>
          <w:tcPr>
            <w:tcW w:w="1260" w:type="dxa"/>
          </w:tcPr>
          <w:p w14:paraId="21A8AEBC" w14:textId="67DFC3A7" w:rsidR="009B67FD" w:rsidRPr="006436E9" w:rsidRDefault="009B67FD" w:rsidP="009B67FD">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Private vehicle</w:t>
            </w:r>
          </w:p>
        </w:tc>
        <w:tc>
          <w:tcPr>
            <w:tcW w:w="1260" w:type="dxa"/>
          </w:tcPr>
          <w:p w14:paraId="5F441EC3" w14:textId="0E61D2EF"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80</w:t>
            </w:r>
          </w:p>
        </w:tc>
        <w:tc>
          <w:tcPr>
            <w:tcW w:w="1260" w:type="dxa"/>
          </w:tcPr>
          <w:p w14:paraId="535D0F15" w14:textId="59E5D890"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0.2</w:t>
            </w:r>
          </w:p>
        </w:tc>
        <w:tc>
          <w:tcPr>
            <w:tcW w:w="1260" w:type="dxa"/>
          </w:tcPr>
          <w:p w14:paraId="34187637" w14:textId="61B1FFED"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0.1–0.2</w:t>
            </w:r>
          </w:p>
        </w:tc>
        <w:tc>
          <w:tcPr>
            <w:tcW w:w="1260" w:type="dxa"/>
          </w:tcPr>
          <w:p w14:paraId="297BF0CD" w14:textId="04B40B5B"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50</w:t>
            </w:r>
          </w:p>
        </w:tc>
        <w:tc>
          <w:tcPr>
            <w:tcW w:w="1260" w:type="dxa"/>
          </w:tcPr>
          <w:p w14:paraId="12D1B3A1" w14:textId="0A2456E3"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0.2</w:t>
            </w:r>
          </w:p>
        </w:tc>
        <w:tc>
          <w:tcPr>
            <w:tcW w:w="1260" w:type="dxa"/>
          </w:tcPr>
          <w:p w14:paraId="11E4E216" w14:textId="2F25F81D"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0.1–0.2</w:t>
            </w:r>
          </w:p>
        </w:tc>
        <w:tc>
          <w:tcPr>
            <w:tcW w:w="1260" w:type="dxa"/>
          </w:tcPr>
          <w:p w14:paraId="14C21B1F" w14:textId="5EAC4C78"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30</w:t>
            </w:r>
          </w:p>
        </w:tc>
        <w:tc>
          <w:tcPr>
            <w:tcW w:w="1260" w:type="dxa"/>
          </w:tcPr>
          <w:p w14:paraId="75971F6B" w14:textId="12FE92EE"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0.2</w:t>
            </w:r>
          </w:p>
        </w:tc>
        <w:tc>
          <w:tcPr>
            <w:tcW w:w="1260" w:type="dxa"/>
          </w:tcPr>
          <w:p w14:paraId="419D3DB0" w14:textId="4B576730"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0.1–0.3</w:t>
            </w:r>
          </w:p>
        </w:tc>
      </w:tr>
      <w:tr w:rsidR="009B67FD" w:rsidRPr="006436E9" w14:paraId="2B3D7846" w14:textId="77777777" w:rsidTr="00DA7F2D">
        <w:trPr>
          <w:cantSplit/>
        </w:trPr>
        <w:tc>
          <w:tcPr>
            <w:cnfStyle w:val="001000000000" w:firstRow="0" w:lastRow="0" w:firstColumn="1" w:lastColumn="0" w:oddVBand="0" w:evenVBand="0" w:oddHBand="0" w:evenHBand="0" w:firstRowFirstColumn="0" w:firstRowLastColumn="0" w:lastRowFirstColumn="0" w:lastRowLastColumn="0"/>
            <w:tcW w:w="1260" w:type="dxa"/>
            <w:vMerge/>
          </w:tcPr>
          <w:p w14:paraId="2D6B48FF" w14:textId="77777777" w:rsidR="009B67FD" w:rsidRPr="006436E9" w:rsidRDefault="009B67FD" w:rsidP="009B67FD">
            <w:pPr>
              <w:autoSpaceDE w:val="0"/>
              <w:autoSpaceDN w:val="0"/>
              <w:adjustRightInd w:val="0"/>
              <w:snapToGrid w:val="0"/>
              <w:spacing w:line="240" w:lineRule="auto"/>
              <w:jc w:val="left"/>
              <w:rPr>
                <w:noProof w:val="0"/>
                <w:lang w:val="en-GB"/>
              </w:rPr>
            </w:pPr>
          </w:p>
        </w:tc>
        <w:tc>
          <w:tcPr>
            <w:tcW w:w="1260" w:type="dxa"/>
          </w:tcPr>
          <w:p w14:paraId="07DC2320" w14:textId="703BCEBF" w:rsidR="009B67FD" w:rsidRPr="006436E9" w:rsidRDefault="009B67FD" w:rsidP="009B67FD">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Residential/nursing home</w:t>
            </w:r>
          </w:p>
        </w:tc>
        <w:tc>
          <w:tcPr>
            <w:tcW w:w="1260" w:type="dxa"/>
          </w:tcPr>
          <w:p w14:paraId="233C36DA" w14:textId="417773DE"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290</w:t>
            </w:r>
          </w:p>
        </w:tc>
        <w:tc>
          <w:tcPr>
            <w:tcW w:w="1260" w:type="dxa"/>
          </w:tcPr>
          <w:p w14:paraId="581113D3" w14:textId="1EA4D681"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0.7</w:t>
            </w:r>
          </w:p>
        </w:tc>
        <w:tc>
          <w:tcPr>
            <w:tcW w:w="1260" w:type="dxa"/>
          </w:tcPr>
          <w:p w14:paraId="22325C32" w14:textId="34C5D7F3"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0.6–0.8</w:t>
            </w:r>
          </w:p>
        </w:tc>
        <w:tc>
          <w:tcPr>
            <w:tcW w:w="1260" w:type="dxa"/>
          </w:tcPr>
          <w:p w14:paraId="0107BC24" w14:textId="24FA4AE3"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120</w:t>
            </w:r>
          </w:p>
        </w:tc>
        <w:tc>
          <w:tcPr>
            <w:tcW w:w="1260" w:type="dxa"/>
          </w:tcPr>
          <w:p w14:paraId="20C9599E" w14:textId="3117B67D"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0.4</w:t>
            </w:r>
          </w:p>
        </w:tc>
        <w:tc>
          <w:tcPr>
            <w:tcW w:w="1260" w:type="dxa"/>
          </w:tcPr>
          <w:p w14:paraId="677FC023" w14:textId="75C0B2F2"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0.3–0.5</w:t>
            </w:r>
          </w:p>
        </w:tc>
        <w:tc>
          <w:tcPr>
            <w:tcW w:w="1260" w:type="dxa"/>
          </w:tcPr>
          <w:p w14:paraId="2AFAFDD5" w14:textId="7C9DF070"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175</w:t>
            </w:r>
          </w:p>
        </w:tc>
        <w:tc>
          <w:tcPr>
            <w:tcW w:w="1260" w:type="dxa"/>
          </w:tcPr>
          <w:p w14:paraId="79E8A0F4" w14:textId="521DE2B6"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1.3</w:t>
            </w:r>
          </w:p>
        </w:tc>
        <w:tc>
          <w:tcPr>
            <w:tcW w:w="1260" w:type="dxa"/>
          </w:tcPr>
          <w:p w14:paraId="6C73A2E7" w14:textId="5F8F3ADB"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1.1–1.5</w:t>
            </w:r>
          </w:p>
        </w:tc>
      </w:tr>
      <w:tr w:rsidR="009B67FD" w:rsidRPr="006436E9" w14:paraId="4749ED41" w14:textId="77777777" w:rsidTr="00DA7F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60" w:type="dxa"/>
            <w:vMerge/>
          </w:tcPr>
          <w:p w14:paraId="2DFD7467" w14:textId="77777777" w:rsidR="009B67FD" w:rsidRPr="006436E9" w:rsidRDefault="009B67FD" w:rsidP="009B67FD">
            <w:pPr>
              <w:autoSpaceDE w:val="0"/>
              <w:autoSpaceDN w:val="0"/>
              <w:adjustRightInd w:val="0"/>
              <w:snapToGrid w:val="0"/>
              <w:spacing w:line="240" w:lineRule="auto"/>
              <w:jc w:val="left"/>
              <w:rPr>
                <w:noProof w:val="0"/>
                <w:lang w:val="en-GB"/>
              </w:rPr>
            </w:pPr>
          </w:p>
        </w:tc>
        <w:tc>
          <w:tcPr>
            <w:tcW w:w="1260" w:type="dxa"/>
          </w:tcPr>
          <w:p w14:paraId="6F674F5C" w14:textId="7A1FB2C6" w:rsidR="009B67FD" w:rsidRPr="006436E9" w:rsidRDefault="009B67FD" w:rsidP="009B67FD">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Student accommodation</w:t>
            </w:r>
          </w:p>
        </w:tc>
        <w:tc>
          <w:tcPr>
            <w:tcW w:w="1260" w:type="dxa"/>
          </w:tcPr>
          <w:p w14:paraId="695C623F" w14:textId="2D1A3FCE"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15</w:t>
            </w:r>
          </w:p>
        </w:tc>
        <w:tc>
          <w:tcPr>
            <w:tcW w:w="1260" w:type="dxa"/>
          </w:tcPr>
          <w:p w14:paraId="18320566" w14:textId="630E8EA3"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0.0</w:t>
            </w:r>
          </w:p>
        </w:tc>
        <w:tc>
          <w:tcPr>
            <w:tcW w:w="1260" w:type="dxa"/>
          </w:tcPr>
          <w:p w14:paraId="5205CCDB" w14:textId="4082E406"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0.0–0.1</w:t>
            </w:r>
          </w:p>
        </w:tc>
        <w:tc>
          <w:tcPr>
            <w:tcW w:w="1260" w:type="dxa"/>
          </w:tcPr>
          <w:p w14:paraId="4390CD3E" w14:textId="787287BA"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10</w:t>
            </w:r>
          </w:p>
        </w:tc>
        <w:tc>
          <w:tcPr>
            <w:tcW w:w="1260" w:type="dxa"/>
          </w:tcPr>
          <w:p w14:paraId="251E9BA4" w14:textId="5CCDEAB2"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0.0</w:t>
            </w:r>
          </w:p>
        </w:tc>
        <w:tc>
          <w:tcPr>
            <w:tcW w:w="1260" w:type="dxa"/>
          </w:tcPr>
          <w:p w14:paraId="2245AD6F" w14:textId="62B19FE1"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0.0–0.0</w:t>
            </w:r>
          </w:p>
        </w:tc>
        <w:tc>
          <w:tcPr>
            <w:tcW w:w="1260" w:type="dxa"/>
          </w:tcPr>
          <w:p w14:paraId="661B4068" w14:textId="534F662F"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10</w:t>
            </w:r>
          </w:p>
        </w:tc>
        <w:tc>
          <w:tcPr>
            <w:tcW w:w="1260" w:type="dxa"/>
          </w:tcPr>
          <w:p w14:paraId="3E82C1C1" w14:textId="2810050C"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0.1</w:t>
            </w:r>
          </w:p>
        </w:tc>
        <w:tc>
          <w:tcPr>
            <w:tcW w:w="1260" w:type="dxa"/>
          </w:tcPr>
          <w:p w14:paraId="394FD923" w14:textId="099E6D63"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0.0–0.1</w:t>
            </w:r>
          </w:p>
        </w:tc>
      </w:tr>
      <w:tr w:rsidR="009B67FD" w:rsidRPr="006436E9" w14:paraId="39D0CE05" w14:textId="77777777" w:rsidTr="00DA7F2D">
        <w:trPr>
          <w:cantSplit/>
        </w:trPr>
        <w:tc>
          <w:tcPr>
            <w:cnfStyle w:val="001000000000" w:firstRow="0" w:lastRow="0" w:firstColumn="1" w:lastColumn="0" w:oddVBand="0" w:evenVBand="0" w:oddHBand="0" w:evenHBand="0" w:firstRowFirstColumn="0" w:firstRowLastColumn="0" w:lastRowFirstColumn="0" w:lastRowLastColumn="0"/>
            <w:tcW w:w="1260" w:type="dxa"/>
            <w:vMerge/>
          </w:tcPr>
          <w:p w14:paraId="60B992A7" w14:textId="77777777" w:rsidR="009B67FD" w:rsidRPr="006436E9" w:rsidRDefault="009B67FD" w:rsidP="009B67FD">
            <w:pPr>
              <w:autoSpaceDE w:val="0"/>
              <w:autoSpaceDN w:val="0"/>
              <w:adjustRightInd w:val="0"/>
              <w:snapToGrid w:val="0"/>
              <w:spacing w:line="240" w:lineRule="auto"/>
              <w:jc w:val="left"/>
              <w:rPr>
                <w:noProof w:val="0"/>
                <w:lang w:val="en-GB"/>
              </w:rPr>
            </w:pPr>
          </w:p>
        </w:tc>
        <w:tc>
          <w:tcPr>
            <w:tcW w:w="1260" w:type="dxa"/>
          </w:tcPr>
          <w:p w14:paraId="4A3BF419" w14:textId="1A7C7979" w:rsidR="009B67FD" w:rsidRPr="006436E9" w:rsidRDefault="009B67FD" w:rsidP="009B67FD">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Custodial services</w:t>
            </w:r>
          </w:p>
        </w:tc>
        <w:tc>
          <w:tcPr>
            <w:tcW w:w="1260" w:type="dxa"/>
          </w:tcPr>
          <w:p w14:paraId="79103E57" w14:textId="344CE0C3"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220</w:t>
            </w:r>
          </w:p>
        </w:tc>
        <w:tc>
          <w:tcPr>
            <w:tcW w:w="1260" w:type="dxa"/>
          </w:tcPr>
          <w:p w14:paraId="7F3498F2" w14:textId="04576F76"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0.5</w:t>
            </w:r>
          </w:p>
        </w:tc>
        <w:tc>
          <w:tcPr>
            <w:tcW w:w="1260" w:type="dxa"/>
          </w:tcPr>
          <w:p w14:paraId="1FDC7A2C" w14:textId="295BB472"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0.5–0.6</w:t>
            </w:r>
          </w:p>
        </w:tc>
        <w:tc>
          <w:tcPr>
            <w:tcW w:w="1260" w:type="dxa"/>
          </w:tcPr>
          <w:p w14:paraId="6847A001" w14:textId="3E264431"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195</w:t>
            </w:r>
          </w:p>
        </w:tc>
        <w:tc>
          <w:tcPr>
            <w:tcW w:w="1260" w:type="dxa"/>
          </w:tcPr>
          <w:p w14:paraId="1ED24525" w14:textId="5D12F047"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0.7</w:t>
            </w:r>
          </w:p>
        </w:tc>
        <w:tc>
          <w:tcPr>
            <w:tcW w:w="1260" w:type="dxa"/>
          </w:tcPr>
          <w:p w14:paraId="03B35CCF" w14:textId="3A98C3E3"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0.6–0.8</w:t>
            </w:r>
          </w:p>
        </w:tc>
        <w:tc>
          <w:tcPr>
            <w:tcW w:w="1260" w:type="dxa"/>
          </w:tcPr>
          <w:p w14:paraId="12FC25CD" w14:textId="119FAB1E"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25</w:t>
            </w:r>
          </w:p>
        </w:tc>
        <w:tc>
          <w:tcPr>
            <w:tcW w:w="1260" w:type="dxa"/>
          </w:tcPr>
          <w:p w14:paraId="6E42F094" w14:textId="35745499"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0.2</w:t>
            </w:r>
          </w:p>
        </w:tc>
        <w:tc>
          <w:tcPr>
            <w:tcW w:w="1260" w:type="dxa"/>
          </w:tcPr>
          <w:p w14:paraId="19144612" w14:textId="4ADE3BFC"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0.1–0.3</w:t>
            </w:r>
          </w:p>
        </w:tc>
      </w:tr>
      <w:tr w:rsidR="009B67FD" w:rsidRPr="006436E9" w14:paraId="42BF6592" w14:textId="77777777" w:rsidTr="00DA7F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60" w:type="dxa"/>
            <w:vMerge/>
          </w:tcPr>
          <w:p w14:paraId="797C0F9F" w14:textId="77777777" w:rsidR="009B67FD" w:rsidRPr="006436E9" w:rsidRDefault="009B67FD" w:rsidP="009B67FD">
            <w:pPr>
              <w:autoSpaceDE w:val="0"/>
              <w:autoSpaceDN w:val="0"/>
              <w:adjustRightInd w:val="0"/>
              <w:snapToGrid w:val="0"/>
              <w:spacing w:line="240" w:lineRule="auto"/>
              <w:jc w:val="left"/>
              <w:rPr>
                <w:noProof w:val="0"/>
                <w:lang w:val="en-GB"/>
              </w:rPr>
            </w:pPr>
          </w:p>
        </w:tc>
        <w:tc>
          <w:tcPr>
            <w:tcW w:w="1260" w:type="dxa"/>
          </w:tcPr>
          <w:p w14:paraId="27703342" w14:textId="43A86210" w:rsidR="009B67FD" w:rsidRPr="006436E9" w:rsidRDefault="009B67FD" w:rsidP="009B67FD">
            <w:pPr>
              <w:autoSpaceDE w:val="0"/>
              <w:autoSpaceDN w:val="0"/>
              <w:adjustRightInd w:val="0"/>
              <w:snapToGrid w:val="0"/>
              <w:spacing w:line="240" w:lineRule="auto"/>
              <w:jc w:val="lef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Hostel/homeless</w:t>
            </w:r>
          </w:p>
        </w:tc>
        <w:tc>
          <w:tcPr>
            <w:tcW w:w="1260" w:type="dxa"/>
          </w:tcPr>
          <w:p w14:paraId="166B456B" w14:textId="2DC6D95A"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10</w:t>
            </w:r>
          </w:p>
        </w:tc>
        <w:tc>
          <w:tcPr>
            <w:tcW w:w="1260" w:type="dxa"/>
          </w:tcPr>
          <w:p w14:paraId="2C52D691" w14:textId="408D2DDB"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0.0</w:t>
            </w:r>
          </w:p>
        </w:tc>
        <w:tc>
          <w:tcPr>
            <w:tcW w:w="1260" w:type="dxa"/>
          </w:tcPr>
          <w:p w14:paraId="00FE311A" w14:textId="03251470"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0.0–0.0</w:t>
            </w:r>
          </w:p>
        </w:tc>
        <w:tc>
          <w:tcPr>
            <w:tcW w:w="1260" w:type="dxa"/>
          </w:tcPr>
          <w:p w14:paraId="32AE5D4E" w14:textId="408DB30D"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p>
        </w:tc>
        <w:tc>
          <w:tcPr>
            <w:tcW w:w="1260" w:type="dxa"/>
          </w:tcPr>
          <w:p w14:paraId="663E4F47" w14:textId="171AD391"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0.0</w:t>
            </w:r>
          </w:p>
        </w:tc>
        <w:tc>
          <w:tcPr>
            <w:tcW w:w="1260" w:type="dxa"/>
          </w:tcPr>
          <w:p w14:paraId="7F74493E" w14:textId="7B3323FC"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NA</w:t>
            </w:r>
          </w:p>
        </w:tc>
        <w:tc>
          <w:tcPr>
            <w:tcW w:w="1260" w:type="dxa"/>
          </w:tcPr>
          <w:p w14:paraId="2B2ACE01" w14:textId="73F8713B"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w:t>
            </w:r>
          </w:p>
        </w:tc>
        <w:tc>
          <w:tcPr>
            <w:tcW w:w="1260" w:type="dxa"/>
          </w:tcPr>
          <w:p w14:paraId="242DC738" w14:textId="1D1CD9D9"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0.0</w:t>
            </w:r>
          </w:p>
        </w:tc>
        <w:tc>
          <w:tcPr>
            <w:tcW w:w="1260" w:type="dxa"/>
          </w:tcPr>
          <w:p w14:paraId="0B40746E" w14:textId="76DE2595" w:rsidR="009B67FD" w:rsidRPr="006436E9" w:rsidRDefault="009B67FD" w:rsidP="009B67FD">
            <w:pPr>
              <w:autoSpaceDE w:val="0"/>
              <w:autoSpaceDN w:val="0"/>
              <w:adjustRightInd w:val="0"/>
              <w:snapToGrid w:val="0"/>
              <w:spacing w:line="240" w:lineRule="auto"/>
              <w:jc w:val="right"/>
              <w:cnfStyle w:val="000000100000" w:firstRow="0" w:lastRow="0" w:firstColumn="0" w:lastColumn="0" w:oddVBand="0" w:evenVBand="0" w:oddHBand="1" w:evenHBand="0" w:firstRowFirstColumn="0" w:firstRowLastColumn="0" w:lastRowFirstColumn="0" w:lastRowLastColumn="0"/>
              <w:rPr>
                <w:noProof w:val="0"/>
                <w:lang w:val="en-GB"/>
              </w:rPr>
            </w:pPr>
            <w:r w:rsidRPr="006436E9">
              <w:rPr>
                <w:noProof w:val="0"/>
                <w:lang w:val="en-GB"/>
              </w:rPr>
              <w:t>0.0–0.1</w:t>
            </w:r>
          </w:p>
        </w:tc>
      </w:tr>
      <w:tr w:rsidR="009B67FD" w:rsidRPr="006436E9" w14:paraId="77C1B202" w14:textId="77777777" w:rsidTr="00DA7F2D">
        <w:trPr>
          <w:cantSplit/>
        </w:trPr>
        <w:tc>
          <w:tcPr>
            <w:cnfStyle w:val="001000000000" w:firstRow="0" w:lastRow="0" w:firstColumn="1" w:lastColumn="0" w:oddVBand="0" w:evenVBand="0" w:oddHBand="0" w:evenHBand="0" w:firstRowFirstColumn="0" w:firstRowLastColumn="0" w:lastRowFirstColumn="0" w:lastRowLastColumn="0"/>
            <w:tcW w:w="1260" w:type="dxa"/>
            <w:vMerge/>
          </w:tcPr>
          <w:p w14:paraId="36252D20" w14:textId="77777777" w:rsidR="009B67FD" w:rsidRPr="006436E9" w:rsidRDefault="009B67FD" w:rsidP="009B67FD">
            <w:pPr>
              <w:autoSpaceDE w:val="0"/>
              <w:autoSpaceDN w:val="0"/>
              <w:adjustRightInd w:val="0"/>
              <w:snapToGrid w:val="0"/>
              <w:spacing w:line="240" w:lineRule="auto"/>
              <w:jc w:val="left"/>
              <w:rPr>
                <w:noProof w:val="0"/>
                <w:lang w:val="en-GB"/>
              </w:rPr>
            </w:pPr>
          </w:p>
        </w:tc>
        <w:tc>
          <w:tcPr>
            <w:tcW w:w="1260" w:type="dxa"/>
          </w:tcPr>
          <w:p w14:paraId="4B40F925" w14:textId="5CD6F2E2" w:rsidR="009B67FD" w:rsidRPr="006436E9" w:rsidRDefault="009B67FD" w:rsidP="009B67FD">
            <w:pPr>
              <w:autoSpaceDE w:val="0"/>
              <w:autoSpaceDN w:val="0"/>
              <w:adjustRightInd w:val="0"/>
              <w:snapToGrid w:val="0"/>
              <w:spacing w:line="240" w:lineRule="auto"/>
              <w:jc w:val="lef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Missing</w:t>
            </w:r>
          </w:p>
        </w:tc>
        <w:tc>
          <w:tcPr>
            <w:tcW w:w="1260" w:type="dxa"/>
          </w:tcPr>
          <w:p w14:paraId="16A2D616" w14:textId="3D30A131"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10,760</w:t>
            </w:r>
          </w:p>
        </w:tc>
        <w:tc>
          <w:tcPr>
            <w:tcW w:w="1260" w:type="dxa"/>
          </w:tcPr>
          <w:p w14:paraId="7FFBD511" w14:textId="0DA4AD85"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25.8</w:t>
            </w:r>
          </w:p>
        </w:tc>
        <w:tc>
          <w:tcPr>
            <w:tcW w:w="1260" w:type="dxa"/>
          </w:tcPr>
          <w:p w14:paraId="7B29ED86" w14:textId="01A17D32"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25.4–26.2</w:t>
            </w:r>
          </w:p>
        </w:tc>
        <w:tc>
          <w:tcPr>
            <w:tcW w:w="1260" w:type="dxa"/>
          </w:tcPr>
          <w:p w14:paraId="128A33BB" w14:textId="2B4C8B48"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7405</w:t>
            </w:r>
          </w:p>
        </w:tc>
        <w:tc>
          <w:tcPr>
            <w:tcW w:w="1260" w:type="dxa"/>
          </w:tcPr>
          <w:p w14:paraId="5AEF3EC2" w14:textId="328811C4"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25.8</w:t>
            </w:r>
          </w:p>
        </w:tc>
        <w:tc>
          <w:tcPr>
            <w:tcW w:w="1260" w:type="dxa"/>
          </w:tcPr>
          <w:p w14:paraId="274790AA" w14:textId="291E4B8F"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25.3–26.3</w:t>
            </w:r>
          </w:p>
        </w:tc>
        <w:tc>
          <w:tcPr>
            <w:tcW w:w="1260" w:type="dxa"/>
          </w:tcPr>
          <w:p w14:paraId="7F858AB8" w14:textId="0A456363"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3360</w:t>
            </w:r>
          </w:p>
        </w:tc>
        <w:tc>
          <w:tcPr>
            <w:tcW w:w="1260" w:type="dxa"/>
          </w:tcPr>
          <w:p w14:paraId="4127A131" w14:textId="2302922A"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25.9</w:t>
            </w:r>
          </w:p>
        </w:tc>
        <w:tc>
          <w:tcPr>
            <w:tcW w:w="1260" w:type="dxa"/>
          </w:tcPr>
          <w:p w14:paraId="285FA174" w14:textId="34AE1223" w:rsidR="009B67FD" w:rsidRPr="006436E9" w:rsidRDefault="009B67FD" w:rsidP="009B67FD">
            <w:pPr>
              <w:autoSpaceDE w:val="0"/>
              <w:autoSpaceDN w:val="0"/>
              <w:adjustRightInd w:val="0"/>
              <w:snapToGrid w:val="0"/>
              <w:spacing w:line="240" w:lineRule="auto"/>
              <w:jc w:val="right"/>
              <w:cnfStyle w:val="000000000000" w:firstRow="0" w:lastRow="0" w:firstColumn="0" w:lastColumn="0" w:oddVBand="0" w:evenVBand="0" w:oddHBand="0" w:evenHBand="0" w:firstRowFirstColumn="0" w:firstRowLastColumn="0" w:lastRowFirstColumn="0" w:lastRowLastColumn="0"/>
              <w:rPr>
                <w:noProof w:val="0"/>
                <w:lang w:val="en-GB"/>
              </w:rPr>
            </w:pPr>
            <w:r w:rsidRPr="006436E9">
              <w:rPr>
                <w:noProof w:val="0"/>
                <w:lang w:val="en-GB"/>
              </w:rPr>
              <w:t>25.2–26.7</w:t>
            </w:r>
          </w:p>
        </w:tc>
      </w:tr>
    </w:tbl>
    <w:bookmarkEnd w:id="14"/>
    <w:p w14:paraId="6E4250F4" w14:textId="77777777" w:rsidR="004A29D3" w:rsidRPr="006436E9" w:rsidRDefault="004A29D3" w:rsidP="004A29D3">
      <w:pPr>
        <w:pStyle w:val="MDPI43tablefooter"/>
        <w:spacing w:after="240"/>
        <w:rPr>
          <w:lang w:val="en-GB"/>
        </w:rPr>
      </w:pPr>
      <w:r w:rsidRPr="006436E9">
        <w:rPr>
          <w:lang w:val="en-GB"/>
        </w:rPr>
        <w:t>* All counts are rounded to the nearest 5 or 10 as per requirements of the Department of Health and Social Care and NHS England. ** The other categories for gender, ‘Not known (not recorded)’ (less than 10) and ‘Indeterminate’ (15 cases), were excluded from the analysis due to insufficient numbers.</w:t>
      </w:r>
    </w:p>
    <w:p w14:paraId="550FBE36" w14:textId="77777777" w:rsidR="00807D56" w:rsidRPr="006436E9" w:rsidRDefault="00807D56" w:rsidP="00EF6C1C">
      <w:pPr>
        <w:pStyle w:val="MDPI31text"/>
        <w:rPr>
          <w:lang w:val="en-GB"/>
        </w:rPr>
        <w:sectPr w:rsidR="00807D56" w:rsidRPr="006436E9" w:rsidSect="00B22474">
          <w:pgSz w:w="16838" w:h="11906" w:orient="landscape" w:code="9"/>
          <w:pgMar w:top="1417" w:right="720" w:bottom="1077" w:left="720" w:header="1020" w:footer="340" w:gutter="0"/>
          <w:cols w:space="425"/>
          <w:bidi/>
          <w:docGrid w:type="linesAndChars" w:linePitch="326"/>
        </w:sectPr>
      </w:pPr>
    </w:p>
    <w:p w14:paraId="608BAF79" w14:textId="539C4E7C" w:rsidR="000420B5" w:rsidRPr="006436E9" w:rsidRDefault="000420B5" w:rsidP="00EF6C1C">
      <w:pPr>
        <w:pStyle w:val="MDPI31text"/>
        <w:rPr>
          <w:lang w:val="en-GB"/>
        </w:rPr>
      </w:pPr>
      <w:r w:rsidRPr="006436E9">
        <w:rPr>
          <w:lang w:val="en-GB"/>
        </w:rPr>
        <w:lastRenderedPageBreak/>
        <w:t xml:space="preserve">Overall, the ECDS is more suitable for measuring violence than </w:t>
      </w:r>
      <w:r w:rsidR="0024060B" w:rsidRPr="006436E9">
        <w:rPr>
          <w:lang w:val="en-GB"/>
        </w:rPr>
        <w:t xml:space="preserve">the </w:t>
      </w:r>
      <w:r w:rsidRPr="006436E9">
        <w:rPr>
          <w:lang w:val="en-GB"/>
        </w:rPr>
        <w:t xml:space="preserve">HES A&amp;E. The ECDS contains </w:t>
      </w:r>
      <w:bookmarkStart w:id="15" w:name="_Hlk107496413"/>
      <w:r w:rsidRPr="006436E9">
        <w:rPr>
          <w:lang w:val="en-GB"/>
        </w:rPr>
        <w:t>more detailed information on the contexts associated with violent events</w:t>
      </w:r>
      <w:bookmarkEnd w:id="15"/>
      <w:r w:rsidR="0024060B" w:rsidRPr="006436E9">
        <w:rPr>
          <w:lang w:val="en-GB"/>
        </w:rPr>
        <w:t>,</w:t>
      </w:r>
      <w:r w:rsidRPr="006436E9">
        <w:rPr>
          <w:lang w:val="en-GB"/>
        </w:rPr>
        <w:t xml:space="preserve"> including</w:t>
      </w:r>
      <w:r w:rsidR="0024060B" w:rsidRPr="006436E9">
        <w:rPr>
          <w:lang w:val="en-GB"/>
        </w:rPr>
        <w:t xml:space="preserve"> the</w:t>
      </w:r>
      <w:r w:rsidRPr="006436E9">
        <w:rPr>
          <w:lang w:val="en-GB"/>
        </w:rPr>
        <w:t xml:space="preserve"> location and mechanisms. </w:t>
      </w:r>
      <w:r w:rsidR="0024060B" w:rsidRPr="006436E9">
        <w:rPr>
          <w:lang w:val="en-GB"/>
        </w:rPr>
        <w:t xml:space="preserve">The </w:t>
      </w:r>
      <w:r w:rsidRPr="006436E9">
        <w:rPr>
          <w:lang w:val="en-GB"/>
        </w:rPr>
        <w:t>ECDS also collects information on individual factors</w:t>
      </w:r>
      <w:r w:rsidR="0024060B" w:rsidRPr="006436E9">
        <w:rPr>
          <w:lang w:val="en-GB"/>
        </w:rPr>
        <w:t>,</w:t>
      </w:r>
      <w:r w:rsidRPr="006436E9">
        <w:rPr>
          <w:lang w:val="en-GB"/>
        </w:rPr>
        <w:t xml:space="preserve"> such as accommodation type and immigration status, which can help identify violence in vulnerable groups </w:t>
      </w:r>
      <w:r w:rsidR="00DB6FBE" w:rsidRPr="006436E9">
        <w:rPr>
          <w:lang w:val="en-GB"/>
        </w:rPr>
        <w:t>(Garland et al</w:t>
      </w:r>
      <w:r w:rsidR="001D350C">
        <w:rPr>
          <w:lang w:val="en-GB"/>
        </w:rPr>
        <w:t>.</w:t>
      </w:r>
      <w:r w:rsidR="00DB6FBE" w:rsidRPr="006436E9">
        <w:rPr>
          <w:lang w:val="en-GB"/>
        </w:rPr>
        <w:t xml:space="preserve"> 2010, Gutierrez and Kirk 2017)</w:t>
      </w:r>
      <w:r w:rsidRPr="006436E9">
        <w:rPr>
          <w:lang w:val="en-GB"/>
        </w:rPr>
        <w:fldChar w:fldCharType="begin"/>
      </w:r>
      <w:r w:rsidR="00510B5C" w:rsidRPr="006436E9">
        <w:rPr>
          <w:lang w:val="en-GB"/>
        </w:rPr>
        <w:instrText xml:space="preserve"> ADDIN EN.CITE &lt;EndNote&gt;&lt;Cite&gt;&lt;Author&gt;Gutierrez&lt;/Author&gt;&lt;Year&gt;2017&lt;/Year&gt;&lt;RecNum&gt;147&lt;/RecNum&gt;&lt;record&gt;&lt;rec-number&gt;147&lt;/rec-number&gt;&lt;foreign-keys&gt;&lt;key app="EN" db-id="ea20aprfuxefvgeet96vdtfxv90eesr9t5tt" timestamp="1661441645"&gt;147&lt;/key&gt;&lt;/foreign-keys&gt;&lt;ref-type name="Journal Article"&gt;17&lt;/ref-type&gt;&lt;contributors&gt;&lt;authors&gt;&lt;author&gt;Gutierrez, Carmen M&lt;/author&gt;&lt;author&gt;Kirk, David S&lt;/author&gt;&lt;/authors&gt;&lt;/contributors&gt;&lt;titles&gt;&lt;title&gt;Silence speaks: The relationship between immigration and the underreporting of crime&lt;/title&gt;&lt;secondary-title&gt;Crime &amp;amp; Delinquency&lt;/secondary-title&gt;&lt;/titles&gt;&lt;periodical&gt;&lt;full-title&gt;Crime &amp;amp; Delinquency&lt;/full-title&gt;&lt;/periodical&gt;&lt;pages&gt;926-950&lt;/pages&gt;&lt;volume&gt;63&lt;/volume&gt;&lt;number&gt;8&lt;/number&gt;&lt;dates&gt;&lt;year&gt;2017&lt;/year&gt;&lt;/dates&gt;&lt;isbn&gt;0011-1287&lt;/isbn&gt;&lt;urls&gt;&lt;/urls&gt;&lt;/record&gt;&lt;/Cite&gt;&lt;Cite&gt;&lt;Author&gt;Garland&lt;/Author&gt;&lt;Year&gt;2010&lt;/Year&gt;&lt;RecNum&gt;148&lt;/RecNum&gt;&lt;record&gt;&lt;rec-number&gt;148&lt;/rec-number&gt;&lt;foreign-keys&gt;&lt;key app="EN" db-id="ea20aprfuxefvgeet96vdtfxv90eesr9t5tt" timestamp="1661441887"&gt;148&lt;/key&gt;&lt;/foreign-keys&gt;&lt;ref-type name="Journal Article"&gt;17&lt;/ref-type&gt;&lt;contributors&gt;&lt;authors&gt;&lt;author&gt;Garland, Tammy S&lt;/author&gt;&lt;author&gt;Richards, Tara&lt;/author&gt;&lt;author&gt;Cooney, Mikaela&lt;/author&gt;&lt;/authors&gt;&lt;/contributors&gt;&lt;titles&gt;&lt;title&gt;Victims hidden in plain sight: The reality of victimization among the homeless&lt;/title&gt;&lt;secondary-title&gt;Criminal Justice Studies&lt;/secondary-title&gt;&lt;/titles&gt;&lt;periodical&gt;&lt;full-title&gt;Criminal Justice Studies&lt;/full-title&gt;&lt;/periodical&gt;&lt;pages&gt;285-301&lt;/pages&gt;&lt;volume&gt;23&lt;/volume&gt;&lt;number&gt;4&lt;/number&gt;&lt;dates&gt;&lt;year&gt;2010&lt;/year&gt;&lt;/dates&gt;&lt;isbn&gt;1478-601X&lt;/isbn&gt;&lt;urls&gt;&lt;/urls&gt;&lt;/record&gt;&lt;/Cite&gt;&lt;/EndNote&gt;</w:instrText>
      </w:r>
      <w:r w:rsidRPr="006436E9">
        <w:rPr>
          <w:lang w:val="en-GB"/>
        </w:rPr>
        <w:fldChar w:fldCharType="end"/>
      </w:r>
      <w:r w:rsidRPr="006436E9">
        <w:rPr>
          <w:lang w:val="en-GB"/>
        </w:rPr>
        <w:t xml:space="preserve">. However, due to a high level of incomplete data, conclusions about the number of emergency episodes due to physical assaults in England cannot be made </w:t>
      </w:r>
      <w:r w:rsidR="0024060B" w:rsidRPr="006436E9">
        <w:rPr>
          <w:lang w:val="en-GB"/>
        </w:rPr>
        <w:t xml:space="preserve">on the </w:t>
      </w:r>
      <w:r w:rsidRPr="006436E9">
        <w:rPr>
          <w:lang w:val="en-GB"/>
        </w:rPr>
        <w:t>bas</w:t>
      </w:r>
      <w:r w:rsidR="0024060B" w:rsidRPr="006436E9">
        <w:rPr>
          <w:lang w:val="en-GB"/>
        </w:rPr>
        <w:t>is</w:t>
      </w:r>
      <w:r w:rsidRPr="006436E9">
        <w:rPr>
          <w:lang w:val="en-GB"/>
        </w:rPr>
        <w:t xml:space="preserve"> o</w:t>
      </w:r>
      <w:r w:rsidR="0024060B" w:rsidRPr="006436E9">
        <w:rPr>
          <w:lang w:val="en-GB"/>
        </w:rPr>
        <w:t>f</w:t>
      </w:r>
      <w:r w:rsidRPr="006436E9">
        <w:rPr>
          <w:lang w:val="en-GB"/>
        </w:rPr>
        <w:t xml:space="preserve"> the ECDS. Theoretically, the ECDS could provide more opportunities to indicate the presence of violence in general and flag specific types</w:t>
      </w:r>
      <w:r w:rsidR="0024060B" w:rsidRPr="006436E9">
        <w:rPr>
          <w:lang w:val="en-GB"/>
        </w:rPr>
        <w:t>,</w:t>
      </w:r>
      <w:r w:rsidRPr="006436E9">
        <w:rPr>
          <w:lang w:val="en-GB"/>
        </w:rPr>
        <w:t xml:space="preserve"> such as DV, specifically if the quality of collected safeguarding information improves and the item is made accessible in research datasets. Until that happens, the data have limited scope for understanding violence in society. Another limitation is that </w:t>
      </w:r>
      <w:r w:rsidR="0024060B" w:rsidRPr="006436E9">
        <w:rPr>
          <w:lang w:val="en-GB"/>
        </w:rPr>
        <w:t xml:space="preserve">the </w:t>
      </w:r>
      <w:r w:rsidRPr="006436E9">
        <w:rPr>
          <w:lang w:val="en-GB"/>
        </w:rPr>
        <w:t xml:space="preserve">ECDS has been recently introduced and might not yet be suitable for examining long-term trends. </w:t>
      </w:r>
      <w:r w:rsidR="0024060B" w:rsidRPr="006436E9">
        <w:rPr>
          <w:lang w:val="en-GB"/>
        </w:rPr>
        <w:t xml:space="preserve">The </w:t>
      </w:r>
      <w:r w:rsidRPr="006436E9">
        <w:rPr>
          <w:lang w:val="en-GB"/>
        </w:rPr>
        <w:t>HES A&amp;E has been linked with different datasets</w:t>
      </w:r>
      <w:r w:rsidR="0024060B" w:rsidRPr="006436E9">
        <w:rPr>
          <w:lang w:val="en-GB"/>
        </w:rPr>
        <w:t>,</w:t>
      </w:r>
      <w:r w:rsidRPr="006436E9">
        <w:rPr>
          <w:lang w:val="en-GB"/>
        </w:rPr>
        <w:t xml:space="preserve"> including </w:t>
      </w:r>
      <w:r w:rsidR="0024060B" w:rsidRPr="006436E9">
        <w:rPr>
          <w:lang w:val="en-GB"/>
        </w:rPr>
        <w:t xml:space="preserve">the </w:t>
      </w:r>
      <w:r w:rsidRPr="006436E9">
        <w:rPr>
          <w:lang w:val="en-GB"/>
        </w:rPr>
        <w:t xml:space="preserve">CPRD, and more variables can be obtained from the linked databases. </w:t>
      </w:r>
      <w:r w:rsidR="0024060B" w:rsidRPr="006436E9">
        <w:rPr>
          <w:lang w:val="en-GB"/>
        </w:rPr>
        <w:t>The l</w:t>
      </w:r>
      <w:r w:rsidRPr="006436E9">
        <w:rPr>
          <w:lang w:val="en-GB"/>
        </w:rPr>
        <w:t xml:space="preserve">inkage of </w:t>
      </w:r>
      <w:r w:rsidR="0024060B" w:rsidRPr="006436E9">
        <w:rPr>
          <w:lang w:val="en-GB"/>
        </w:rPr>
        <w:t xml:space="preserve">the </w:t>
      </w:r>
      <w:r w:rsidRPr="006436E9">
        <w:rPr>
          <w:lang w:val="en-GB"/>
        </w:rPr>
        <w:t xml:space="preserve">ECDS to </w:t>
      </w:r>
      <w:r w:rsidR="0024060B" w:rsidRPr="006436E9">
        <w:rPr>
          <w:lang w:val="en-GB"/>
        </w:rPr>
        <w:t xml:space="preserve">the </w:t>
      </w:r>
      <w:r w:rsidRPr="006436E9">
        <w:rPr>
          <w:lang w:val="en-GB"/>
        </w:rPr>
        <w:t xml:space="preserve">CPRD is in progress </w:t>
      </w:r>
      <w:r w:rsidR="00DB6FBE" w:rsidRPr="006436E9">
        <w:rPr>
          <w:lang w:val="en-GB"/>
        </w:rPr>
        <w:t>(National Institute for Health Research 2022)</w:t>
      </w:r>
      <w:r w:rsidRPr="006436E9">
        <w:rPr>
          <w:lang w:val="en-GB"/>
        </w:rPr>
        <w:fldChar w:fldCharType="begin"/>
      </w:r>
      <w:r w:rsidR="00510B5C" w:rsidRPr="006436E9">
        <w:rPr>
          <w:lang w:val="en-GB"/>
        </w:rPr>
        <w:instrText xml:space="preserve"> ADDIN EN.CITE &lt;EndNote&gt;&lt;Cite&gt;&lt;Author&gt;National Institute for Health Research&lt;/Author&gt;&lt;Year&gt;2022&lt;/Year&gt;&lt;RecNum&gt;120&lt;/RecNum&gt;&lt;record&gt;&lt;rec-number&gt;120&lt;/rec-number&gt;&lt;foreign-keys&gt;&lt;key app="EN" db-id="ea20aprfuxefvgeet96vdtfxv90eesr9t5tt" timestamp="1653409408"&gt;120&lt;/key&gt;&lt;/foreign-keys&gt;&lt;ref-type name="Web Page"&gt;12&lt;/ref-type&gt;&lt;contributors&gt;&lt;authors&gt;&lt;author&gt;National Institute for Health Research,&lt;/author&gt;&lt;/authors&gt;&lt;/contributors&gt;&lt;titles&gt;&lt;title&gt;CPRD linked data&lt;/title&gt;&lt;/titles&gt;&lt;dates&gt;&lt;year&gt;2022&lt;/year&gt;&lt;/dates&gt;&lt;urls&gt;&lt;related-urls&gt;&lt;url&gt;https://cprd.com/cprd-linked-data&lt;/url&gt;&lt;/related-urls&gt;&lt;/urls&gt;&lt;/record&gt;&lt;/Cite&gt;&lt;/EndNote&gt;</w:instrText>
      </w:r>
      <w:r w:rsidRPr="006436E9">
        <w:rPr>
          <w:lang w:val="en-GB"/>
        </w:rPr>
        <w:fldChar w:fldCharType="end"/>
      </w:r>
      <w:r w:rsidRPr="006436E9">
        <w:rPr>
          <w:lang w:val="en-GB"/>
        </w:rPr>
        <w:t>.</w:t>
      </w:r>
    </w:p>
    <w:p w14:paraId="10231C0A" w14:textId="13251730" w:rsidR="000420B5" w:rsidRPr="006436E9" w:rsidRDefault="00EF6C1C" w:rsidP="00EF6C1C">
      <w:pPr>
        <w:pStyle w:val="MDPI22heading2"/>
        <w:spacing w:before="240"/>
        <w:rPr>
          <w:noProof w:val="0"/>
          <w:lang w:val="en-GB"/>
        </w:rPr>
      </w:pPr>
      <w:r w:rsidRPr="006436E9">
        <w:rPr>
          <w:noProof w:val="0"/>
          <w:lang w:val="en-GB"/>
        </w:rPr>
        <w:t xml:space="preserve">3.4. </w:t>
      </w:r>
      <w:r w:rsidR="000420B5" w:rsidRPr="006436E9">
        <w:rPr>
          <w:noProof w:val="0"/>
          <w:lang w:val="en-GB"/>
        </w:rPr>
        <w:t xml:space="preserve">South Wales Violence Surveillance </w:t>
      </w:r>
      <w:r w:rsidR="00C70EEB" w:rsidRPr="006436E9">
        <w:rPr>
          <w:noProof w:val="0"/>
          <w:lang w:val="en-GB"/>
        </w:rPr>
        <w:t>Dataset</w:t>
      </w:r>
    </w:p>
    <w:p w14:paraId="2DF769E6" w14:textId="324FD0E8" w:rsidR="000420B5" w:rsidRPr="006436E9" w:rsidRDefault="000420B5" w:rsidP="00EF6C1C">
      <w:pPr>
        <w:pStyle w:val="MDPI31text"/>
        <w:rPr>
          <w:lang w:val="en-GB"/>
        </w:rPr>
      </w:pPr>
      <w:r w:rsidRPr="006436E9">
        <w:rPr>
          <w:lang w:val="en-GB"/>
        </w:rPr>
        <w:t xml:space="preserve">In the South Wales Violence Surveillance dataset, Public Health Wales (PHW) has built on multiple data linkage initiatives to produce a dataset that links ED attendances and police calls that occur within 72 </w:t>
      </w:r>
      <w:r w:rsidR="005506C6" w:rsidRPr="006436E9">
        <w:rPr>
          <w:lang w:val="en-GB"/>
        </w:rPr>
        <w:t>h</w:t>
      </w:r>
      <w:r w:rsidRPr="006436E9">
        <w:rPr>
          <w:lang w:val="en-GB"/>
        </w:rPr>
        <w:t xml:space="preserve"> of each other. Linkage is </w:t>
      </w:r>
      <w:r w:rsidR="0024060B" w:rsidRPr="006436E9">
        <w:rPr>
          <w:lang w:val="en-GB"/>
        </w:rPr>
        <w:t xml:space="preserve">carried out </w:t>
      </w:r>
      <w:r w:rsidRPr="006436E9">
        <w:rPr>
          <w:lang w:val="en-GB"/>
        </w:rPr>
        <w:t>deterministically at the individual level</w:t>
      </w:r>
      <w:r w:rsidR="0024060B" w:rsidRPr="006436E9">
        <w:rPr>
          <w:lang w:val="en-GB"/>
        </w:rPr>
        <w:t xml:space="preserve"> on the</w:t>
      </w:r>
      <w:r w:rsidRPr="006436E9">
        <w:rPr>
          <w:lang w:val="en-GB"/>
        </w:rPr>
        <w:t xml:space="preserve"> bas</w:t>
      </w:r>
      <w:r w:rsidR="0024060B" w:rsidRPr="006436E9">
        <w:rPr>
          <w:lang w:val="en-GB"/>
        </w:rPr>
        <w:t>is</w:t>
      </w:r>
      <w:r w:rsidRPr="006436E9">
        <w:rPr>
          <w:lang w:val="en-GB"/>
        </w:rPr>
        <w:t xml:space="preserve"> o</w:t>
      </w:r>
      <w:r w:rsidR="0024060B" w:rsidRPr="006436E9">
        <w:rPr>
          <w:lang w:val="en-GB"/>
        </w:rPr>
        <w:t xml:space="preserve">f </w:t>
      </w:r>
      <w:r w:rsidRPr="006436E9">
        <w:rPr>
          <w:lang w:val="en-GB"/>
        </w:rPr>
        <w:t xml:space="preserve">name, sex, age, and residential LSOA. The records are from three of the seven health boards in South Wales and </w:t>
      </w:r>
      <w:r w:rsidR="0024060B" w:rsidRPr="006436E9">
        <w:rPr>
          <w:lang w:val="en-GB"/>
        </w:rPr>
        <w:t xml:space="preserve">the </w:t>
      </w:r>
      <w:r w:rsidRPr="006436E9">
        <w:rPr>
          <w:lang w:val="en-GB"/>
        </w:rPr>
        <w:t xml:space="preserve">South Wales Police. The data have been linked since 2017 and cover all of the South Wales Police force area </w:t>
      </w:r>
      <w:r w:rsidR="00DB6FBE" w:rsidRPr="006436E9">
        <w:rPr>
          <w:lang w:val="en-GB"/>
        </w:rPr>
        <w:t>(Gray et al. 2017)</w:t>
      </w:r>
      <w:r w:rsidRPr="006436E9">
        <w:rPr>
          <w:lang w:val="en-GB"/>
        </w:rPr>
        <w:fldChar w:fldCharType="begin"/>
      </w:r>
      <w:r w:rsidR="00510B5C" w:rsidRPr="006436E9">
        <w:rPr>
          <w:lang w:val="en-GB"/>
        </w:rPr>
        <w:instrText xml:space="preserve"> ADDIN EN.CITE &lt;EndNote&gt;&lt;Cite&gt;&lt;Author&gt;Gray&lt;/Author&gt;&lt;Year&gt;2017&lt;/Year&gt;&lt;RecNum&gt;201&lt;/RecNum&gt;&lt;record&gt;&lt;rec-number&gt;201&lt;/rec-number&gt;&lt;foreign-keys&gt;&lt;key app="EN" db-id="ea20aprfuxefvgeet96vdtfxv90eesr9t5tt" timestamp="1675768051"&gt;201&lt;/key&gt;&lt;/foreign-keys&gt;&lt;ref-type name="Journal Article"&gt;17&lt;/ref-type&gt;&lt;contributors&gt;&lt;authors&gt;&lt;author&gt;Gray, Benjamin J&lt;/author&gt;&lt;author&gt;Barton, Emma R&lt;/author&gt;&lt;author&gt;Davies, Alisha R&lt;/author&gt;&lt;author&gt;Long, Sara J&lt;/author&gt;&lt;author&gt;Roderick, Janine&lt;/author&gt;&lt;author&gt;Bellis, Mark A&lt;/author&gt;&lt;/authors&gt;&lt;/contributors&gt;&lt;titles&gt;&lt;title&gt;A shared data approach more accurately represents the rates and patterns of violence with injury assaults&lt;/title&gt;&lt;secondary-title&gt;J Epidemiol Community Health&lt;/secondary-title&gt;&lt;/titles&gt;&lt;periodical&gt;&lt;full-title&gt;J Epidemiol Community Health&lt;/full-title&gt;&lt;/periodical&gt;&lt;pages&gt;1218-1224&lt;/pages&gt;&lt;volume&gt;71&lt;/volume&gt;&lt;number&gt;12&lt;/number&gt;&lt;dates&gt;&lt;year&gt;2017&lt;/year&gt;&lt;/dates&gt;&lt;isbn&gt;0143-005X&lt;/isbn&gt;&lt;urls&gt;&lt;/urls&gt;&lt;/record&gt;&lt;/Cite&gt;&lt;/EndNote&gt;</w:instrText>
      </w:r>
      <w:r w:rsidRPr="006436E9">
        <w:rPr>
          <w:lang w:val="en-GB"/>
        </w:rPr>
        <w:fldChar w:fldCharType="end"/>
      </w:r>
      <w:r w:rsidRPr="006436E9">
        <w:rPr>
          <w:lang w:val="en-GB"/>
        </w:rPr>
        <w:t>.</w:t>
      </w:r>
    </w:p>
    <w:p w14:paraId="17C5761E" w14:textId="045082F1" w:rsidR="000420B5" w:rsidRPr="006436E9" w:rsidRDefault="000420B5" w:rsidP="00EF6C1C">
      <w:pPr>
        <w:pStyle w:val="MDPI23heading3"/>
        <w:spacing w:before="240"/>
        <w:rPr>
          <w:lang w:val="en-GB"/>
        </w:rPr>
      </w:pPr>
      <w:r w:rsidRPr="006436E9">
        <w:rPr>
          <w:lang w:val="en-GB"/>
        </w:rPr>
        <w:t xml:space="preserve">Violence </w:t>
      </w:r>
      <w:r w:rsidR="00B6240D" w:rsidRPr="006436E9">
        <w:rPr>
          <w:lang w:val="en-GB"/>
        </w:rPr>
        <w:t>Characteristics</w:t>
      </w:r>
    </w:p>
    <w:p w14:paraId="7A865DB0" w14:textId="4C38ACA3" w:rsidR="000420B5" w:rsidRPr="006436E9" w:rsidRDefault="000420B5" w:rsidP="00EF6C1C">
      <w:pPr>
        <w:pStyle w:val="MDPI31text"/>
        <w:rPr>
          <w:lang w:val="en-GB"/>
        </w:rPr>
      </w:pPr>
      <w:r w:rsidRPr="006436E9">
        <w:rPr>
          <w:lang w:val="en-GB"/>
        </w:rPr>
        <w:t xml:space="preserve">The health part of the dataset contains detailed information on harms associated with violence and some relevant contextual details. The variables include </w:t>
      </w:r>
      <w:r w:rsidR="0024060B" w:rsidRPr="006436E9">
        <w:rPr>
          <w:lang w:val="en-GB"/>
        </w:rPr>
        <w:t xml:space="preserve">the </w:t>
      </w:r>
      <w:r w:rsidRPr="006436E9">
        <w:rPr>
          <w:lang w:val="en-GB"/>
        </w:rPr>
        <w:t>location, type, and mechanism of injury</w:t>
      </w:r>
      <w:r w:rsidR="0024060B" w:rsidRPr="006436E9">
        <w:rPr>
          <w:lang w:val="en-GB"/>
        </w:rPr>
        <w:t>; a</w:t>
      </w:r>
      <w:r w:rsidRPr="006436E9">
        <w:rPr>
          <w:lang w:val="en-GB"/>
        </w:rPr>
        <w:t xml:space="preserve"> description of the weapon used in the assault (if appropriate)</w:t>
      </w:r>
      <w:r w:rsidR="0024060B" w:rsidRPr="006436E9">
        <w:rPr>
          <w:lang w:val="en-GB"/>
        </w:rPr>
        <w:t>;</w:t>
      </w:r>
      <w:r w:rsidRPr="006436E9">
        <w:rPr>
          <w:lang w:val="en-GB"/>
        </w:rPr>
        <w:t xml:space="preserve"> </w:t>
      </w:r>
      <w:r w:rsidR="0024060B" w:rsidRPr="006436E9">
        <w:rPr>
          <w:lang w:val="en-GB"/>
        </w:rPr>
        <w:t xml:space="preserve">the </w:t>
      </w:r>
      <w:r w:rsidRPr="006436E9">
        <w:rPr>
          <w:lang w:val="en-GB"/>
        </w:rPr>
        <w:t>incident type</w:t>
      </w:r>
      <w:r w:rsidR="0024060B" w:rsidRPr="006436E9">
        <w:rPr>
          <w:lang w:val="en-GB"/>
        </w:rPr>
        <w:t>; a</w:t>
      </w:r>
      <w:r w:rsidRPr="006436E9">
        <w:rPr>
          <w:lang w:val="en-GB"/>
        </w:rPr>
        <w:t xml:space="preserve"> description of </w:t>
      </w:r>
      <w:r w:rsidR="0024060B" w:rsidRPr="006436E9">
        <w:rPr>
          <w:lang w:val="en-GB"/>
        </w:rPr>
        <w:t xml:space="preserve">the </w:t>
      </w:r>
      <w:r w:rsidRPr="006436E9">
        <w:rPr>
          <w:lang w:val="en-GB"/>
        </w:rPr>
        <w:t xml:space="preserve">assault, and </w:t>
      </w:r>
      <w:r w:rsidR="0024060B" w:rsidRPr="006436E9">
        <w:rPr>
          <w:lang w:val="en-GB"/>
        </w:rPr>
        <w:t xml:space="preserve">the </w:t>
      </w:r>
      <w:r w:rsidRPr="006436E9">
        <w:rPr>
          <w:lang w:val="en-GB"/>
        </w:rPr>
        <w:t xml:space="preserve">initial complaint. The dataset also has information on </w:t>
      </w:r>
      <w:r w:rsidR="0024060B" w:rsidRPr="006436E9">
        <w:rPr>
          <w:lang w:val="en-GB"/>
        </w:rPr>
        <w:t xml:space="preserve">the </w:t>
      </w:r>
      <w:r w:rsidRPr="006436E9">
        <w:rPr>
          <w:lang w:val="en-GB"/>
        </w:rPr>
        <w:t xml:space="preserve">date and time </w:t>
      </w:r>
      <w:r w:rsidR="0024060B" w:rsidRPr="006436E9">
        <w:rPr>
          <w:lang w:val="en-GB"/>
        </w:rPr>
        <w:t>of the</w:t>
      </w:r>
      <w:r w:rsidRPr="006436E9">
        <w:rPr>
          <w:lang w:val="en-GB"/>
        </w:rPr>
        <w:t xml:space="preserve"> assault, </w:t>
      </w:r>
      <w:r w:rsidR="0024060B" w:rsidRPr="006436E9">
        <w:rPr>
          <w:lang w:val="en-GB"/>
        </w:rPr>
        <w:t xml:space="preserve">the </w:t>
      </w:r>
      <w:r w:rsidRPr="006436E9">
        <w:rPr>
          <w:lang w:val="en-GB"/>
        </w:rPr>
        <w:t xml:space="preserve">assault site description, and the exact location of the assault. There are data items to indicate </w:t>
      </w:r>
      <w:r w:rsidR="0024060B" w:rsidRPr="006436E9">
        <w:rPr>
          <w:lang w:val="en-GB"/>
        </w:rPr>
        <w:t xml:space="preserve">the </w:t>
      </w:r>
      <w:r w:rsidRPr="006436E9">
        <w:rPr>
          <w:lang w:val="en-GB"/>
        </w:rPr>
        <w:t xml:space="preserve">intent and the relationship between the patient and </w:t>
      </w:r>
      <w:r w:rsidR="0024060B" w:rsidRPr="006436E9">
        <w:rPr>
          <w:lang w:val="en-GB"/>
        </w:rPr>
        <w:t xml:space="preserve">the </w:t>
      </w:r>
      <w:r w:rsidRPr="006436E9">
        <w:rPr>
          <w:lang w:val="en-GB"/>
        </w:rPr>
        <w:t>assailant. Additionally, the dataset collects information on social context</w:t>
      </w:r>
      <w:r w:rsidR="0024060B" w:rsidRPr="006436E9">
        <w:rPr>
          <w:lang w:val="en-GB"/>
        </w:rPr>
        <w:t>,</w:t>
      </w:r>
      <w:r w:rsidRPr="006436E9">
        <w:rPr>
          <w:lang w:val="en-GB"/>
        </w:rPr>
        <w:t xml:space="preserve"> including alcohol and drug abuse and </w:t>
      </w:r>
      <w:r w:rsidR="0024060B" w:rsidRPr="006436E9">
        <w:rPr>
          <w:lang w:val="en-GB"/>
        </w:rPr>
        <w:t xml:space="preserve">the </w:t>
      </w:r>
      <w:r w:rsidRPr="006436E9">
        <w:rPr>
          <w:lang w:val="en-GB"/>
        </w:rPr>
        <w:t>deprivation quintile of the patient’s residential address.</w:t>
      </w:r>
    </w:p>
    <w:p w14:paraId="0FC53475" w14:textId="44D10BDA" w:rsidR="000420B5" w:rsidRPr="006436E9" w:rsidRDefault="000420B5" w:rsidP="00EF6C1C">
      <w:pPr>
        <w:pStyle w:val="MDPI31text"/>
        <w:rPr>
          <w:lang w:val="en-GB"/>
        </w:rPr>
      </w:pPr>
      <w:r w:rsidRPr="006436E9">
        <w:rPr>
          <w:lang w:val="en-GB"/>
        </w:rPr>
        <w:t xml:space="preserve">The unique feature of the dataset is the linkage to data from the police. Although the police record some sociodemographic information on the victim (Table 3), the major focus is on the act of violence and the perpetrator. The data on the victim include </w:t>
      </w:r>
      <w:r w:rsidR="0024060B" w:rsidRPr="006436E9">
        <w:rPr>
          <w:lang w:val="en-GB"/>
        </w:rPr>
        <w:t xml:space="preserve">the </w:t>
      </w:r>
      <w:r w:rsidRPr="006436E9">
        <w:rPr>
          <w:lang w:val="en-GB"/>
        </w:rPr>
        <w:t xml:space="preserve">name, residential LSOA, age, sex, ethnicity, and relationship with the perpetrator. For the act of violence, there is information on </w:t>
      </w:r>
      <w:r w:rsidR="0024060B" w:rsidRPr="006436E9">
        <w:rPr>
          <w:lang w:val="en-GB"/>
        </w:rPr>
        <w:t xml:space="preserve">the </w:t>
      </w:r>
      <w:r w:rsidRPr="006436E9">
        <w:rPr>
          <w:lang w:val="en-GB"/>
        </w:rPr>
        <w:t>type of violence, motivation (e.g., hate, honour</w:t>
      </w:r>
      <w:r w:rsidR="007D3950" w:rsidRPr="006436E9">
        <w:rPr>
          <w:lang w:val="en-GB"/>
        </w:rPr>
        <w:t>-</w:t>
      </w:r>
      <w:r w:rsidRPr="006436E9">
        <w:rPr>
          <w:lang w:val="en-GB"/>
        </w:rPr>
        <w:t xml:space="preserve">based), location, weapon, reported date, substance use by </w:t>
      </w:r>
      <w:r w:rsidR="007D3950" w:rsidRPr="006436E9">
        <w:rPr>
          <w:lang w:val="en-GB"/>
        </w:rPr>
        <w:t xml:space="preserve">the </w:t>
      </w:r>
      <w:r w:rsidRPr="006436E9">
        <w:rPr>
          <w:lang w:val="en-GB"/>
        </w:rPr>
        <w:t>offender, and whether the violen</w:t>
      </w:r>
      <w:r w:rsidR="007D3950" w:rsidRPr="006436E9">
        <w:rPr>
          <w:lang w:val="en-GB"/>
        </w:rPr>
        <w:t>t</w:t>
      </w:r>
      <w:r w:rsidRPr="006436E9">
        <w:rPr>
          <w:lang w:val="en-GB"/>
        </w:rPr>
        <w:t xml:space="preserve"> act reache</w:t>
      </w:r>
      <w:r w:rsidR="0024060B" w:rsidRPr="006436E9">
        <w:rPr>
          <w:lang w:val="en-GB"/>
        </w:rPr>
        <w:t>d the</w:t>
      </w:r>
      <w:r w:rsidRPr="006436E9">
        <w:rPr>
          <w:lang w:val="en-GB"/>
        </w:rPr>
        <w:t xml:space="preserve"> crime threshold. Offender characteristics include date of birth, age, gender, ethnicity, local authority, and postcode.</w:t>
      </w:r>
    </w:p>
    <w:p w14:paraId="1B7A2860" w14:textId="1A63EA21" w:rsidR="000420B5" w:rsidRPr="006436E9" w:rsidRDefault="000420B5" w:rsidP="00EF6C1C">
      <w:pPr>
        <w:pStyle w:val="MDPI31text"/>
        <w:rPr>
          <w:lang w:val="en-GB"/>
        </w:rPr>
      </w:pPr>
      <w:r w:rsidRPr="006436E9">
        <w:rPr>
          <w:lang w:val="en-GB"/>
        </w:rPr>
        <w:t xml:space="preserve">In the data collected between April 2014 and March 2016, the majority of assault attendees were not known to the police </w:t>
      </w:r>
      <w:r w:rsidR="00DB6FBE" w:rsidRPr="006436E9">
        <w:rPr>
          <w:szCs w:val="18"/>
          <w:lang w:val="en-GB"/>
        </w:rPr>
        <w:t>(Gray et al. 2017)</w:t>
      </w:r>
      <w:r w:rsidRPr="006436E9">
        <w:rPr>
          <w:lang w:val="en-GB"/>
        </w:rPr>
        <w:fldChar w:fldCharType="begin"/>
      </w:r>
      <w:r w:rsidR="00510B5C" w:rsidRPr="006436E9">
        <w:rPr>
          <w:lang w:val="en-GB"/>
        </w:rPr>
        <w:instrText xml:space="preserve"> ADDIN EN.CITE &lt;EndNote&gt;&lt;Cite&gt;&lt;Author&gt;Gray&lt;/Author&gt;&lt;Year&gt;2017&lt;/Year&gt;&lt;RecNum&gt;201&lt;/RecNum&gt;&lt;record&gt;&lt;rec-number&gt;201&lt;/rec-number&gt;&lt;foreign-keys&gt;&lt;key app="EN" db-id="ea20aprfuxefvgeet96vdtfxv90eesr9t5tt" timestamp="1675768051"&gt;201&lt;/key&gt;&lt;/foreign-keys&gt;&lt;ref-type name="Journal Article"&gt;17&lt;/ref-type&gt;&lt;contributors&gt;&lt;authors&gt;&lt;author&gt;Gray, Benjamin J&lt;/author&gt;&lt;author&gt;Barton, Emma R&lt;/author&gt;&lt;author&gt;Davies, Alisha R&lt;/author&gt;&lt;author&gt;Long, Sara J&lt;/author&gt;&lt;author&gt;Roderick, Janine&lt;/author&gt;&lt;author&gt;Bellis, Mark A&lt;/author&gt;&lt;/authors&gt;&lt;/contributors&gt;&lt;titles&gt;&lt;title&gt;A shared data approach more accurately represents the rates and patterns of violence with injury assaults&lt;/title&gt;&lt;secondary-title&gt;J Epidemiol Community Health&lt;/secondary-title&gt;&lt;/titles&gt;&lt;periodical&gt;&lt;full-title&gt;J Epidemiol Community Health&lt;/full-title&gt;&lt;/periodical&gt;&lt;pages&gt;1218-1224&lt;/pages&gt;&lt;volume&gt;71&lt;/volume&gt;&lt;number&gt;12&lt;/number&gt;&lt;dates&gt;&lt;year&gt;2017&lt;/year&gt;&lt;/dates&gt;&lt;isbn&gt;0143-005X&lt;/isbn&gt;&lt;urls&gt;&lt;/urls&gt;&lt;/record&gt;&lt;/Cite&gt;&lt;/EndNote&gt;</w:instrText>
      </w:r>
      <w:r w:rsidRPr="006436E9">
        <w:rPr>
          <w:lang w:val="en-GB"/>
        </w:rPr>
        <w:fldChar w:fldCharType="end"/>
      </w:r>
      <w:r w:rsidRPr="006436E9">
        <w:rPr>
          <w:lang w:val="en-GB"/>
        </w:rPr>
        <w:t>. The comparison between health and police records showed the difference between age groups by gender, with police records missing the highest proportions of data on young males aged 18</w:t>
      </w:r>
      <w:r w:rsidR="00B6240D" w:rsidRPr="006436E9">
        <w:rPr>
          <w:lang w:val="en-GB"/>
        </w:rPr>
        <w:t>–</w:t>
      </w:r>
      <w:r w:rsidRPr="006436E9">
        <w:rPr>
          <w:lang w:val="en-GB"/>
        </w:rPr>
        <w:t>34 and females aged 18</w:t>
      </w:r>
      <w:r w:rsidR="00B6240D" w:rsidRPr="006436E9">
        <w:rPr>
          <w:lang w:val="en-GB"/>
        </w:rPr>
        <w:t>–</w:t>
      </w:r>
      <w:r w:rsidRPr="006436E9">
        <w:rPr>
          <w:lang w:val="en-GB"/>
        </w:rPr>
        <w:t>44 among the ED assault attendees. Importantly, the South Wales dataset indicated that males were most often victim</w:t>
      </w:r>
      <w:r w:rsidR="000D5F17" w:rsidRPr="006436E9">
        <w:rPr>
          <w:lang w:val="en-GB"/>
        </w:rPr>
        <w:t>s</w:t>
      </w:r>
      <w:r w:rsidRPr="006436E9">
        <w:rPr>
          <w:lang w:val="en-GB"/>
        </w:rPr>
        <w:t xml:space="preserve"> of assault</w:t>
      </w:r>
      <w:r w:rsidR="000D5F17" w:rsidRPr="006436E9">
        <w:rPr>
          <w:lang w:val="en-GB"/>
        </w:rPr>
        <w:t>s</w:t>
      </w:r>
      <w:r w:rsidRPr="006436E9">
        <w:rPr>
          <w:lang w:val="en-GB"/>
        </w:rPr>
        <w:t xml:space="preserve"> requiring medical treatment that occurred in outdoor settings with the assailant recorded as a stranger, while women were most often victim</w:t>
      </w:r>
      <w:r w:rsidR="000D5F17" w:rsidRPr="006436E9">
        <w:rPr>
          <w:lang w:val="en-GB"/>
        </w:rPr>
        <w:t>s</w:t>
      </w:r>
      <w:r w:rsidRPr="006436E9">
        <w:rPr>
          <w:lang w:val="en-GB"/>
        </w:rPr>
        <w:t xml:space="preserve"> of assault</w:t>
      </w:r>
      <w:r w:rsidR="000D5F17" w:rsidRPr="006436E9">
        <w:rPr>
          <w:lang w:val="en-GB"/>
        </w:rPr>
        <w:t>s</w:t>
      </w:r>
      <w:r w:rsidRPr="006436E9">
        <w:rPr>
          <w:lang w:val="en-GB"/>
        </w:rPr>
        <w:t xml:space="preserve"> in their home</w:t>
      </w:r>
      <w:r w:rsidR="000D5F17" w:rsidRPr="006436E9">
        <w:rPr>
          <w:lang w:val="en-GB"/>
        </w:rPr>
        <w:t>s</w:t>
      </w:r>
      <w:r w:rsidRPr="006436E9">
        <w:rPr>
          <w:lang w:val="en-GB"/>
        </w:rPr>
        <w:t xml:space="preserve"> with the assailant reported as a current or former intimate partner.</w:t>
      </w:r>
    </w:p>
    <w:p w14:paraId="386BA35F" w14:textId="2DBF2055" w:rsidR="000420B5" w:rsidRPr="006436E9" w:rsidRDefault="000420B5" w:rsidP="00EF6C1C">
      <w:pPr>
        <w:pStyle w:val="MDPI31text"/>
        <w:rPr>
          <w:lang w:val="en-GB"/>
        </w:rPr>
      </w:pPr>
      <w:r w:rsidRPr="006436E9">
        <w:rPr>
          <w:lang w:val="en-GB"/>
        </w:rPr>
        <w:lastRenderedPageBreak/>
        <w:t>As such, among the discussed emergency care data sources, the South Wales Violence Surveillance dataset contains the most comprehensive and detailed information on violence. Given the inclusion of police data, this dataset can have an important and unique contribution to a better understanding of violence and different health outcomes by the types of violence. The coverage of two different populations (i.e., those approaching healthcare services and those in contact with police) can help in assessing the completeness of reported crime data and of data from healthcare settings (</w:t>
      </w:r>
      <w:bookmarkStart w:id="16" w:name="_Hlk160034198"/>
      <w:r w:rsidR="00B6240D" w:rsidRPr="006436E9">
        <w:rPr>
          <w:szCs w:val="18"/>
          <w:lang w:val="en-GB"/>
        </w:rPr>
        <w:t>Sutherland et al. 2021</w:t>
      </w:r>
      <w:bookmarkEnd w:id="16"/>
      <w:r w:rsidRPr="006436E9">
        <w:rPr>
          <w:lang w:val="en-GB"/>
        </w:rPr>
        <w:t>).</w:t>
      </w:r>
    </w:p>
    <w:p w14:paraId="14674BB5" w14:textId="1AC8CE13" w:rsidR="000420B5" w:rsidRPr="006436E9" w:rsidRDefault="00EF6C1C" w:rsidP="00EF6C1C">
      <w:pPr>
        <w:pStyle w:val="MDPI21heading1"/>
        <w:rPr>
          <w:lang w:val="en-GB"/>
        </w:rPr>
      </w:pPr>
      <w:r w:rsidRPr="006436E9">
        <w:rPr>
          <w:lang w:val="en-GB"/>
        </w:rPr>
        <w:t xml:space="preserve">4. </w:t>
      </w:r>
      <w:r w:rsidR="000420B5" w:rsidRPr="006436E9">
        <w:rPr>
          <w:lang w:val="en-GB"/>
        </w:rPr>
        <w:t xml:space="preserve">Primary </w:t>
      </w:r>
      <w:r w:rsidR="00B6240D" w:rsidRPr="006436E9">
        <w:rPr>
          <w:lang w:val="en-GB"/>
        </w:rPr>
        <w:t>Care Data</w:t>
      </w:r>
    </w:p>
    <w:p w14:paraId="59D00A36" w14:textId="60446222" w:rsidR="000420B5" w:rsidRPr="006436E9" w:rsidRDefault="00EF6C1C" w:rsidP="00EF6C1C">
      <w:pPr>
        <w:pStyle w:val="MDPI22heading2"/>
        <w:rPr>
          <w:noProof w:val="0"/>
          <w:lang w:val="en-GB"/>
        </w:rPr>
      </w:pPr>
      <w:r w:rsidRPr="006436E9">
        <w:rPr>
          <w:noProof w:val="0"/>
          <w:lang w:val="en-GB"/>
        </w:rPr>
        <w:t xml:space="preserve">4.1. </w:t>
      </w:r>
      <w:r w:rsidR="000420B5" w:rsidRPr="006436E9">
        <w:rPr>
          <w:noProof w:val="0"/>
          <w:lang w:val="en-GB"/>
        </w:rPr>
        <w:t>Clinical Practice Research Datalink (CPRD)</w:t>
      </w:r>
    </w:p>
    <w:p w14:paraId="1D24A0F2" w14:textId="22F4FDFD" w:rsidR="000420B5" w:rsidRPr="006436E9" w:rsidRDefault="0024060B" w:rsidP="00EF6C1C">
      <w:pPr>
        <w:pStyle w:val="MDPI31text"/>
        <w:rPr>
          <w:lang w:val="en-GB"/>
        </w:rPr>
      </w:pPr>
      <w:r w:rsidRPr="006436E9">
        <w:rPr>
          <w:lang w:val="en-GB"/>
        </w:rPr>
        <w:t xml:space="preserve">The </w:t>
      </w:r>
      <w:r w:rsidR="000420B5" w:rsidRPr="006436E9">
        <w:rPr>
          <w:lang w:val="en-GB"/>
        </w:rPr>
        <w:t>CPRD is a large anonymised primary care database comprising data on 60 million patients, including 18 million currently registered patients. It is broadly representative of the UK population with regard</w:t>
      </w:r>
      <w:r w:rsidR="007D3950" w:rsidRPr="006436E9">
        <w:rPr>
          <w:lang w:val="en-GB"/>
        </w:rPr>
        <w:t xml:space="preserve"> </w:t>
      </w:r>
      <w:r w:rsidR="000420B5" w:rsidRPr="006436E9">
        <w:rPr>
          <w:lang w:val="en-GB"/>
        </w:rPr>
        <w:t>to age, sex</w:t>
      </w:r>
      <w:r w:rsidR="000D5F17" w:rsidRPr="006436E9">
        <w:rPr>
          <w:lang w:val="en-GB"/>
        </w:rPr>
        <w:t>,</w:t>
      </w:r>
      <w:r w:rsidR="000420B5" w:rsidRPr="006436E9">
        <w:rPr>
          <w:lang w:val="en-GB"/>
        </w:rPr>
        <w:t xml:space="preserve"> and ethnicity (</w:t>
      </w:r>
      <w:r w:rsidR="00B6240D" w:rsidRPr="006436E9">
        <w:rPr>
          <w:szCs w:val="18"/>
          <w:lang w:val="en-GB"/>
        </w:rPr>
        <w:t>Herrett et al. 2015</w:t>
      </w:r>
      <w:r w:rsidR="000420B5" w:rsidRPr="006436E9">
        <w:rPr>
          <w:lang w:val="en-GB"/>
        </w:rPr>
        <w:t xml:space="preserve">). </w:t>
      </w:r>
      <w:r w:rsidRPr="006436E9">
        <w:rPr>
          <w:lang w:val="en-GB"/>
        </w:rPr>
        <w:t xml:space="preserve">The </w:t>
      </w:r>
      <w:r w:rsidR="000420B5" w:rsidRPr="006436E9">
        <w:rPr>
          <w:lang w:val="en-GB"/>
        </w:rPr>
        <w:t>CPRD contains patient-level longitudinal records, and there is a median prospective follow-up of 9.4 years for active patients. The CPRD data are recorded by NHS general practice clinicians using version 2 Read codes. From 2018 onwards, the Read codes were prospectively mapped to CT SNOMED codes (</w:t>
      </w:r>
      <w:bookmarkStart w:id="17" w:name="_Hlk160034347"/>
      <w:r w:rsidR="00B6240D" w:rsidRPr="006436E9">
        <w:rPr>
          <w:szCs w:val="18"/>
          <w:lang w:val="en-GB"/>
        </w:rPr>
        <w:t>National Institute for Health Research 2022</w:t>
      </w:r>
      <w:bookmarkEnd w:id="17"/>
      <w:r w:rsidR="000420B5" w:rsidRPr="006436E9">
        <w:rPr>
          <w:lang w:val="en-GB"/>
        </w:rPr>
        <w:t xml:space="preserve">). </w:t>
      </w:r>
      <w:r w:rsidRPr="006436E9">
        <w:rPr>
          <w:lang w:val="en-GB"/>
        </w:rPr>
        <w:t xml:space="preserve">The </w:t>
      </w:r>
      <w:r w:rsidR="000420B5" w:rsidRPr="006436E9">
        <w:rPr>
          <w:lang w:val="en-GB"/>
        </w:rPr>
        <w:t>CPRD is linked to several other datasets</w:t>
      </w:r>
      <w:r w:rsidR="000D5F17" w:rsidRPr="006436E9">
        <w:rPr>
          <w:lang w:val="en-GB"/>
        </w:rPr>
        <w:t>,</w:t>
      </w:r>
      <w:r w:rsidR="000420B5" w:rsidRPr="006436E9">
        <w:rPr>
          <w:lang w:val="en-GB"/>
        </w:rPr>
        <w:t xml:space="preserve"> including data from secondary care, disease-specific cohorts</w:t>
      </w:r>
      <w:r w:rsidR="000D5F17" w:rsidRPr="006436E9">
        <w:rPr>
          <w:lang w:val="en-GB"/>
        </w:rPr>
        <w:t>,</w:t>
      </w:r>
      <w:r w:rsidR="000420B5" w:rsidRPr="006436E9">
        <w:rPr>
          <w:lang w:val="en-GB"/>
        </w:rPr>
        <w:t xml:space="preserve"> and mortality records, which enhance the information available for research purpose</w:t>
      </w:r>
      <w:r w:rsidR="000D5F17" w:rsidRPr="006436E9">
        <w:rPr>
          <w:lang w:val="en-GB"/>
        </w:rPr>
        <w:t>s</w:t>
      </w:r>
      <w:r w:rsidR="000420B5" w:rsidRPr="006436E9">
        <w:rPr>
          <w:lang w:val="en-GB"/>
        </w:rPr>
        <w:t xml:space="preserve"> (</w:t>
      </w:r>
      <w:bookmarkStart w:id="18" w:name="_Hlk160034428"/>
      <w:r w:rsidR="00B6240D" w:rsidRPr="006436E9">
        <w:rPr>
          <w:szCs w:val="18"/>
          <w:lang w:val="en-GB"/>
        </w:rPr>
        <w:t>Herrett et al. 2015</w:t>
      </w:r>
      <w:bookmarkEnd w:id="18"/>
      <w:r w:rsidR="000420B5" w:rsidRPr="006436E9">
        <w:rPr>
          <w:lang w:val="en-GB"/>
        </w:rPr>
        <w:t>).</w:t>
      </w:r>
    </w:p>
    <w:p w14:paraId="0F37290F" w14:textId="28BCAF98" w:rsidR="000420B5" w:rsidRPr="006436E9" w:rsidRDefault="00EF6C1C" w:rsidP="00EF6C1C">
      <w:pPr>
        <w:pStyle w:val="MDPI23heading3"/>
        <w:spacing w:before="240"/>
        <w:rPr>
          <w:lang w:val="en-GB"/>
        </w:rPr>
      </w:pPr>
      <w:r w:rsidRPr="006436E9">
        <w:rPr>
          <w:lang w:val="en-GB"/>
        </w:rPr>
        <w:t xml:space="preserve">4.1.1. </w:t>
      </w:r>
      <w:r w:rsidR="000420B5" w:rsidRPr="006436E9">
        <w:rPr>
          <w:lang w:val="en-GB"/>
        </w:rPr>
        <w:t xml:space="preserve">Violence </w:t>
      </w:r>
      <w:r w:rsidR="00B6240D" w:rsidRPr="006436E9">
        <w:rPr>
          <w:lang w:val="en-GB"/>
        </w:rPr>
        <w:t>Characteristics</w:t>
      </w:r>
    </w:p>
    <w:p w14:paraId="6CBC32A2" w14:textId="3C3AC032" w:rsidR="000420B5" w:rsidRPr="006436E9" w:rsidRDefault="000420B5" w:rsidP="00EF6C1C">
      <w:pPr>
        <w:pStyle w:val="MDPI31text"/>
        <w:rPr>
          <w:lang w:val="en-GB"/>
        </w:rPr>
      </w:pPr>
      <w:r w:rsidRPr="006436E9">
        <w:rPr>
          <w:lang w:val="en-GB"/>
        </w:rPr>
        <w:t xml:space="preserve">When violence is recorded, </w:t>
      </w:r>
      <w:r w:rsidR="0024060B" w:rsidRPr="006436E9">
        <w:rPr>
          <w:lang w:val="en-GB"/>
        </w:rPr>
        <w:t xml:space="preserve">the </w:t>
      </w:r>
      <w:r w:rsidRPr="006436E9">
        <w:rPr>
          <w:lang w:val="en-GB"/>
        </w:rPr>
        <w:t xml:space="preserve">CPRD holds information on </w:t>
      </w:r>
      <w:r w:rsidR="000D5F17" w:rsidRPr="006436E9">
        <w:rPr>
          <w:lang w:val="en-GB"/>
        </w:rPr>
        <w:t xml:space="preserve">the </w:t>
      </w:r>
      <w:r w:rsidRPr="006436E9">
        <w:rPr>
          <w:lang w:val="en-GB"/>
        </w:rPr>
        <w:t xml:space="preserve">type of violence, </w:t>
      </w:r>
      <w:r w:rsidR="000D5F17" w:rsidRPr="006436E9">
        <w:rPr>
          <w:lang w:val="en-GB"/>
        </w:rPr>
        <w:t xml:space="preserve">the </w:t>
      </w:r>
      <w:r w:rsidRPr="006436E9">
        <w:rPr>
          <w:lang w:val="en-GB"/>
        </w:rPr>
        <w:t xml:space="preserve">relationship between the patient and </w:t>
      </w:r>
      <w:r w:rsidR="000D5F17" w:rsidRPr="006436E9">
        <w:rPr>
          <w:lang w:val="en-GB"/>
        </w:rPr>
        <w:t xml:space="preserve">the </w:t>
      </w:r>
      <w:r w:rsidRPr="006436E9">
        <w:rPr>
          <w:lang w:val="en-GB"/>
        </w:rPr>
        <w:t xml:space="preserve">assailant, </w:t>
      </w:r>
      <w:r w:rsidR="000D5F17" w:rsidRPr="006436E9">
        <w:rPr>
          <w:lang w:val="en-GB"/>
        </w:rPr>
        <w:t xml:space="preserve">the </w:t>
      </w:r>
      <w:r w:rsidRPr="006436E9">
        <w:rPr>
          <w:lang w:val="en-GB"/>
        </w:rPr>
        <w:t xml:space="preserve">motive for violence, history, risk of, and concerns about abuse, and referred interventions (e.g., abuse counselling). The information on DV is the most detailed compared with the described emergency datasets. DV is recorded in </w:t>
      </w:r>
      <w:r w:rsidR="0024060B" w:rsidRPr="006436E9">
        <w:rPr>
          <w:lang w:val="en-GB"/>
        </w:rPr>
        <w:t xml:space="preserve">the </w:t>
      </w:r>
      <w:r w:rsidRPr="006436E9">
        <w:rPr>
          <w:lang w:val="en-GB"/>
        </w:rPr>
        <w:t>CPRD using recommended Read codes for safeguarding children and adults at risk</w:t>
      </w:r>
      <w:r w:rsidR="000D5F17" w:rsidRPr="006436E9">
        <w:rPr>
          <w:lang w:val="en-GB"/>
        </w:rPr>
        <w:t>,</w:t>
      </w:r>
      <w:r w:rsidRPr="006436E9">
        <w:rPr>
          <w:lang w:val="en-GB"/>
        </w:rPr>
        <w:t xml:space="preserve"> including codes for the history, cases, risk factors (e.g., alcohol misuse in the household and by the patient, learning disability), and consultations on DV. There are also codes for history and incidents of female genital mutilation </w:t>
      </w:r>
      <w:r w:rsidR="006F17F2" w:rsidRPr="006436E9">
        <w:rPr>
          <w:lang w:val="en-GB"/>
        </w:rPr>
        <w:t>(</w:t>
      </w:r>
      <w:r w:rsidR="0029773E" w:rsidRPr="006436E9">
        <w:rPr>
          <w:lang w:val="en-GB"/>
        </w:rPr>
        <w:t>Far et al. 2020)</w:t>
      </w:r>
      <w:r w:rsidR="006A66B7" w:rsidRPr="006436E9">
        <w:rPr>
          <w:lang w:val="en-GB"/>
        </w:rPr>
        <w:t>.</w:t>
      </w:r>
      <w:r w:rsidRPr="006436E9">
        <w:rPr>
          <w:lang w:val="en-GB"/>
        </w:rPr>
        <w:t xml:space="preserve">The greater attention to DV may be explained by the nature of the health conditions for which patients may attend GP practices. DV may be more likely to manifest in chronic conditions needing primary care </w:t>
      </w:r>
      <w:r w:rsidR="00D82712" w:rsidRPr="00D82712">
        <w:rPr>
          <w:lang w:val="en-GB"/>
        </w:rPr>
        <w:t>(Rakovec-Felser 2014)</w:t>
      </w:r>
      <w:r w:rsidRPr="006436E9">
        <w:rPr>
          <w:lang w:val="en-GB"/>
        </w:rPr>
        <w:fldChar w:fldCharType="begin"/>
      </w:r>
      <w:r w:rsidR="00510B5C" w:rsidRPr="006436E9">
        <w:rPr>
          <w:lang w:val="en-GB"/>
        </w:rPr>
        <w:instrText xml:space="preserve"> ADDIN EN.CITE &lt;EndNote&gt;&lt;Cite&gt;&lt;Author&gt;Rakovec-Felser&lt;/Author&gt;&lt;Year&gt;2014&lt;/Year&gt;&lt;RecNum&gt;116&lt;/RecNum&gt;&lt;record&gt;&lt;rec-number&gt;116&lt;/rec-number&gt;&lt;foreign-keys&gt;&lt;key app="EN" db-id="ea20aprfuxefvgeet96vdtfxv90eesr9t5tt" timestamp="1653406703"&gt;116&lt;/key&gt;&lt;/foreign-keys&gt;&lt;ref-type name="Journal Article"&gt;17&lt;/ref-type&gt;&lt;contributors&gt;&lt;authors&gt;&lt;author&gt;Rakovec-Felser, Zlatka&lt;/author&gt;&lt;/authors&gt;&lt;/contributors&gt;&lt;titles&gt;&lt;title&gt;Domestic violence and abuse in intimate relationship from public health perspective&lt;/title&gt;&lt;secondary-title&gt;Health psychology research&lt;/secondary-title&gt;&lt;/titles&gt;&lt;periodical&gt;&lt;full-title&gt;Health psychology research&lt;/full-title&gt;&lt;/periodical&gt;&lt;volume&gt;2&lt;/volume&gt;&lt;number&gt;3&lt;/number&gt;&lt;dates&gt;&lt;year&gt;2014&lt;/year&gt;&lt;/dates&gt;&lt;urls&gt;&lt;/urls&gt;&lt;/record&gt;&lt;/Cite&gt;&lt;/EndNote&gt;</w:instrText>
      </w:r>
      <w:r w:rsidRPr="006436E9">
        <w:rPr>
          <w:lang w:val="en-GB"/>
        </w:rPr>
        <w:fldChar w:fldCharType="end"/>
      </w:r>
      <w:r w:rsidRPr="006436E9">
        <w:rPr>
          <w:lang w:val="en-GB"/>
        </w:rPr>
        <w:t xml:space="preserve"> rather than acute injuries needing treatment in A&amp;E. For this reason, and because the relationship between </w:t>
      </w:r>
      <w:r w:rsidR="000D5F17" w:rsidRPr="006436E9">
        <w:rPr>
          <w:lang w:val="en-GB"/>
        </w:rPr>
        <w:t xml:space="preserve">the </w:t>
      </w:r>
      <w:r w:rsidRPr="006436E9">
        <w:rPr>
          <w:lang w:val="en-GB"/>
        </w:rPr>
        <w:t xml:space="preserve">patient and </w:t>
      </w:r>
      <w:r w:rsidR="000D5F17" w:rsidRPr="006436E9">
        <w:rPr>
          <w:lang w:val="en-GB"/>
        </w:rPr>
        <w:t xml:space="preserve">the </w:t>
      </w:r>
      <w:r w:rsidRPr="006436E9">
        <w:rPr>
          <w:lang w:val="en-GB"/>
        </w:rPr>
        <w:t xml:space="preserve">clinician in primary care tends to be more established and trusting </w:t>
      </w:r>
      <w:r w:rsidR="00D86256" w:rsidRPr="00D86256">
        <w:rPr>
          <w:lang w:val="en-GB"/>
        </w:rPr>
        <w:t>(Damra et al. 2015)</w:t>
      </w:r>
      <w:r w:rsidRPr="006436E9">
        <w:rPr>
          <w:lang w:val="en-GB"/>
        </w:rPr>
        <w:fldChar w:fldCharType="begin"/>
      </w:r>
      <w:r w:rsidR="00510B5C" w:rsidRPr="006436E9">
        <w:rPr>
          <w:lang w:val="en-GB"/>
        </w:rPr>
        <w:instrText xml:space="preserve"> ADDIN EN.CITE &lt;EndNote&gt;&lt;Cite&gt;&lt;Author&gt;Damra&lt;/Author&gt;&lt;Year&gt;2015&lt;/Year&gt;&lt;RecNum&gt;117&lt;/RecNum&gt;&lt;record&gt;&lt;rec-number&gt;117&lt;/rec-number&gt;&lt;foreign-keys&gt;&lt;key app="EN" db-id="ea20aprfuxefvgeet96vdtfxv90eesr9t5tt" timestamp="1653406945"&gt;117&lt;/key&gt;&lt;/foreign-keys&gt;&lt;ref-type name="Journal Article"&gt;17&lt;/ref-type&gt;&lt;contributors&gt;&lt;authors&gt;&lt;author&gt;Damra, Jalal K&lt;/author&gt;&lt;author&gt;Abujilban, Sanaa K&lt;/author&gt;&lt;author&gt;Rock, Michael P&lt;/author&gt;&lt;author&gt;Tawalbeh, Issra’a A&lt;/author&gt;&lt;author&gt;Ghbari, Thaer A&lt;/author&gt;&lt;author&gt;Ghaith, Souad M&lt;/author&gt;&lt;/authors&gt;&lt;/contributors&gt;&lt;titles&gt;&lt;title&gt;Pregnant women’s experiences of intimate partner violence and seeking help from health care professionals: a jordanian qualitative study&lt;/title&gt;&lt;secondary-title&gt;Journal of family violence&lt;/secondary-title&gt;&lt;/titles&gt;&lt;periodical&gt;&lt;full-title&gt;Journal of family violence&lt;/full-title&gt;&lt;/periodical&gt;&lt;pages&gt;807-816&lt;/pages&gt;&lt;volume&gt;30&lt;/volume&gt;&lt;number&gt;6&lt;/number&gt;&lt;dates&gt;&lt;year&gt;2015&lt;/year&gt;&lt;/dates&gt;&lt;isbn&gt;1573-2851&lt;/isbn&gt;&lt;urls&gt;&lt;/urls&gt;&lt;/record&gt;&lt;/Cite&gt;&lt;/EndNote&gt;</w:instrText>
      </w:r>
      <w:r w:rsidRPr="006436E9">
        <w:rPr>
          <w:lang w:val="en-GB"/>
        </w:rPr>
        <w:fldChar w:fldCharType="end"/>
      </w:r>
      <w:r w:rsidRPr="006436E9">
        <w:rPr>
          <w:lang w:val="en-GB"/>
        </w:rPr>
        <w:t xml:space="preserve">, the number of people disclosing experiences of DV in primary care settings is likely to be higher than the number presenting for this to </w:t>
      </w:r>
      <w:r w:rsidR="000D5F17" w:rsidRPr="006436E9">
        <w:rPr>
          <w:lang w:val="en-GB"/>
        </w:rPr>
        <w:t xml:space="preserve">the </w:t>
      </w:r>
      <w:r w:rsidRPr="006436E9">
        <w:rPr>
          <w:lang w:val="en-GB"/>
        </w:rPr>
        <w:t>ED.</w:t>
      </w:r>
    </w:p>
    <w:p w14:paraId="1E949AA0" w14:textId="69B1FB55" w:rsidR="000420B5" w:rsidRPr="006436E9" w:rsidRDefault="00EF6C1C" w:rsidP="00EF6C1C">
      <w:pPr>
        <w:pStyle w:val="MDPI23heading3"/>
        <w:spacing w:before="240"/>
        <w:rPr>
          <w:lang w:val="en-GB"/>
        </w:rPr>
      </w:pPr>
      <w:r w:rsidRPr="006436E9">
        <w:rPr>
          <w:lang w:val="en-GB"/>
        </w:rPr>
        <w:t xml:space="preserve">4.1.2. </w:t>
      </w:r>
      <w:r w:rsidR="000420B5" w:rsidRPr="006436E9">
        <w:rPr>
          <w:lang w:val="en-GB"/>
        </w:rPr>
        <w:t xml:space="preserve">Sociodemographic </w:t>
      </w:r>
      <w:r w:rsidR="00B16AB2" w:rsidRPr="006436E9">
        <w:rPr>
          <w:lang w:val="en-GB"/>
        </w:rPr>
        <w:t>Characteristics</w:t>
      </w:r>
    </w:p>
    <w:p w14:paraId="0B01A066" w14:textId="664826A9" w:rsidR="000420B5" w:rsidRPr="006436E9" w:rsidRDefault="0024060B" w:rsidP="00EF6C1C">
      <w:pPr>
        <w:pStyle w:val="MDPI31text"/>
        <w:rPr>
          <w:lang w:val="en-GB"/>
        </w:rPr>
      </w:pPr>
      <w:r w:rsidRPr="006436E9">
        <w:rPr>
          <w:lang w:val="en-GB"/>
        </w:rPr>
        <w:t xml:space="preserve">The </w:t>
      </w:r>
      <w:r w:rsidR="000420B5" w:rsidRPr="006436E9">
        <w:rPr>
          <w:lang w:val="en-GB"/>
        </w:rPr>
        <w:t xml:space="preserve">CPRD includes information on a range of patient characteristics (Table 4). In addition to age, gender, and ethnicity, there are items on immigration status, first language, religion, marital status, and living arrangements (e.g., living alone or not). However, the level of completeness in recording differs </w:t>
      </w:r>
      <w:r w:rsidR="000D5F17" w:rsidRPr="006436E9">
        <w:rPr>
          <w:lang w:val="en-GB"/>
        </w:rPr>
        <w:t xml:space="preserve">between </w:t>
      </w:r>
      <w:r w:rsidR="000420B5" w:rsidRPr="006436E9">
        <w:rPr>
          <w:lang w:val="en-GB"/>
        </w:rPr>
        <w:t xml:space="preserve">demographic groups, variables, and time periods due to changes in policies and practices </w:t>
      </w:r>
      <w:r w:rsidR="006F17F2" w:rsidRPr="006436E9">
        <w:rPr>
          <w:lang w:val="en-GB"/>
        </w:rPr>
        <w:t>(Jain et al. 2017)</w:t>
      </w:r>
      <w:r w:rsidR="000420B5" w:rsidRPr="006436E9">
        <w:rPr>
          <w:lang w:val="en-GB"/>
        </w:rPr>
        <w:fldChar w:fldCharType="begin"/>
      </w:r>
      <w:r w:rsidR="00510B5C" w:rsidRPr="006436E9">
        <w:rPr>
          <w:lang w:val="en-GB"/>
        </w:rPr>
        <w:instrText xml:space="preserve"> ADDIN EN.CITE &lt;EndNote&gt;&lt;Cite&gt;&lt;Author&gt;Jain&lt;/Author&gt;&lt;Year&gt;2017&lt;/Year&gt;&lt;RecNum&gt;107&lt;/RecNum&gt;&lt;record&gt;&lt;rec-number&gt;107&lt;/rec-number&gt;&lt;foreign-keys&gt;&lt;key app="EN" db-id="ea20aprfuxefvgeet96vdtfxv90eesr9t5tt" timestamp="1653402494"&gt;107&lt;/key&gt;&lt;/foreign-keys&gt;&lt;ref-type name="Journal Article"&gt;17&lt;/ref-type&gt;&lt;contributors&gt;&lt;authors&gt;&lt;author&gt;Jain, Anu&lt;/author&gt;&lt;author&gt;van Hoek, Albert J&lt;/author&gt;&lt;author&gt;Walker, Jemma L&lt;/author&gt;&lt;author&gt;Mathur, Rohini&lt;/author&gt;&lt;author&gt;Smeeth, Liam&lt;/author&gt;&lt;author&gt;Thomas, Sara L&lt;/author&gt;&lt;/authors&gt;&lt;/contributors&gt;&lt;titles&gt;&lt;title&gt;Identifying social factors amongst older individuals in linked electronic health records: an assessment in a population based study&lt;/title&gt;&lt;secondary-title&gt;PloS one&lt;/secondary-title&gt;&lt;/titles&gt;&lt;periodical&gt;&lt;full-title&gt;PloS one&lt;/full-title&gt;&lt;/periodical&gt;&lt;pages&gt;e0189038&lt;/pages&gt;&lt;volume&gt;12&lt;/volume&gt;&lt;number&gt;11&lt;/number&gt;&lt;dates&gt;&lt;year&gt;2017&lt;/year&gt;&lt;/dates&gt;&lt;isbn&gt;1932-6203&lt;/isbn&gt;&lt;urls&gt;&lt;/urls&gt;&lt;/record&gt;&lt;/Cite&gt;&lt;/EndNote&gt;</w:instrText>
      </w:r>
      <w:r w:rsidR="000420B5" w:rsidRPr="006436E9">
        <w:rPr>
          <w:lang w:val="en-GB"/>
        </w:rPr>
        <w:fldChar w:fldCharType="end"/>
      </w:r>
      <w:r w:rsidR="000420B5" w:rsidRPr="006436E9">
        <w:rPr>
          <w:lang w:val="en-GB"/>
        </w:rPr>
        <w:t>. For example, overall completeness of data is better among females and older age groups, as they access GP services more regularly. Also, immigration status, religion, and living arrangements</w:t>
      </w:r>
      <w:r w:rsidR="000D5F17" w:rsidRPr="006436E9">
        <w:rPr>
          <w:lang w:val="en-GB"/>
        </w:rPr>
        <w:t>,</w:t>
      </w:r>
      <w:r w:rsidR="000420B5" w:rsidRPr="006436E9">
        <w:rPr>
          <w:lang w:val="en-GB"/>
        </w:rPr>
        <w:t xml:space="preserve"> including homelessness</w:t>
      </w:r>
      <w:r w:rsidR="000D5F17" w:rsidRPr="006436E9">
        <w:rPr>
          <w:lang w:val="en-GB"/>
        </w:rPr>
        <w:t>,</w:t>
      </w:r>
      <w:r w:rsidR="000420B5" w:rsidRPr="006436E9">
        <w:rPr>
          <w:lang w:val="en-GB"/>
        </w:rPr>
        <w:t xml:space="preserve"> can be poorly recorded </w:t>
      </w:r>
      <w:r w:rsidR="006F17F2" w:rsidRPr="006436E9">
        <w:rPr>
          <w:lang w:val="en-GB"/>
        </w:rPr>
        <w:t>(</w:t>
      </w:r>
      <w:proofErr w:type="spellStart"/>
      <w:r w:rsidR="006F17F2" w:rsidRPr="006436E9">
        <w:rPr>
          <w:lang w:val="en-GB"/>
        </w:rPr>
        <w:t>Hippisley</w:t>
      </w:r>
      <w:proofErr w:type="spellEnd"/>
      <w:r w:rsidR="006F17F2" w:rsidRPr="006436E9">
        <w:rPr>
          <w:lang w:val="en-GB"/>
        </w:rPr>
        <w:t>-Cox and Vinogradova 2016)</w:t>
      </w:r>
      <w:r w:rsidR="000420B5" w:rsidRPr="006436E9">
        <w:rPr>
          <w:lang w:val="en-GB"/>
        </w:rPr>
        <w:fldChar w:fldCharType="begin"/>
      </w:r>
      <w:r w:rsidR="00510B5C" w:rsidRPr="006436E9">
        <w:rPr>
          <w:lang w:val="en-GB"/>
        </w:rPr>
        <w:instrText xml:space="preserve"> ADDIN EN.CITE &lt;EndNote&gt;&lt;Cite&gt;&lt;Author&gt;Health and Social Care Information Centre&lt;/Author&gt;&lt;Year&gt;2016&lt;/Year&gt;&lt;RecNum&gt;108&lt;/RecNum&gt;&lt;record&gt;&lt;rec-number&gt;108&lt;/rec-number&gt;&lt;foreign-keys&gt;&lt;key app="EN" db-id="ea20aprfuxefvgeet96vdtfxv90eesr9t5tt" timestamp="1653402810"&gt;108&lt;/key&gt;&lt;/foreign-keys&gt;&lt;ref-type name="Report"&gt;27&lt;/ref-type&gt;&lt;contributors&gt;&lt;authors&gt;&lt;author&gt;Health and Social Care Information Centre, &lt;/author&gt;&lt;/authors&gt;&lt;/contributors&gt;&lt;titles&gt;&lt;title&gt;Trends in Consultation Rates in General Practice 1995/ 1996 to 2008/2009: Analysis of the QResearch® database&lt;/title&gt;&lt;/titles&gt;&lt;dates&gt;&lt;year&gt;2016&lt;/year&gt;&lt;/dates&gt;&lt;urls&gt;&lt;related-urls&gt;&lt;url&gt;http://content.digital.nhs.uk/catalogue/PUB01077/tren-cons-rate-gene-prac-95-09-95-09-rep.pdf   &lt;/url&gt;&lt;/related-urls&gt;&lt;/urls&gt;&lt;/record&gt;&lt;/Cite&gt;&lt;/EndNote&gt;</w:instrText>
      </w:r>
      <w:r w:rsidR="000420B5" w:rsidRPr="006436E9">
        <w:rPr>
          <w:lang w:val="en-GB"/>
        </w:rPr>
        <w:fldChar w:fldCharType="end"/>
      </w:r>
      <w:r w:rsidR="000420B5" w:rsidRPr="006436E9">
        <w:rPr>
          <w:lang w:val="en-GB"/>
        </w:rPr>
        <w:t xml:space="preserve">. Furthermore, </w:t>
      </w:r>
      <w:r w:rsidRPr="006436E9">
        <w:rPr>
          <w:lang w:val="en-GB"/>
        </w:rPr>
        <w:t xml:space="preserve">the </w:t>
      </w:r>
      <w:r w:rsidR="000420B5" w:rsidRPr="006436E9">
        <w:rPr>
          <w:lang w:val="en-GB"/>
        </w:rPr>
        <w:t>CPRD still does not have any records on several social factors associated with health inequalities and exposure to violence, including education, social class, and income. Certain patient groups</w:t>
      </w:r>
      <w:r w:rsidR="000D5F17" w:rsidRPr="006436E9">
        <w:rPr>
          <w:lang w:val="en-GB"/>
        </w:rPr>
        <w:t>,</w:t>
      </w:r>
      <w:r w:rsidR="000420B5" w:rsidRPr="006436E9">
        <w:rPr>
          <w:lang w:val="en-GB"/>
        </w:rPr>
        <w:t xml:space="preserve"> such as private patients, some residential homes, prisoners, and homeless people</w:t>
      </w:r>
      <w:r w:rsidR="000D5F17" w:rsidRPr="006436E9">
        <w:rPr>
          <w:lang w:val="en-GB"/>
        </w:rPr>
        <w:t>,</w:t>
      </w:r>
      <w:r w:rsidR="000420B5" w:rsidRPr="006436E9">
        <w:rPr>
          <w:lang w:val="en-GB"/>
        </w:rPr>
        <w:t xml:space="preserve"> are also missing from the records.</w:t>
      </w:r>
    </w:p>
    <w:p w14:paraId="587332C8" w14:textId="7D7CCED3" w:rsidR="000420B5" w:rsidRPr="006436E9" w:rsidRDefault="000420B5" w:rsidP="00EF6C1C">
      <w:pPr>
        <w:pStyle w:val="MDPI31text"/>
        <w:rPr>
          <w:lang w:val="en-GB"/>
        </w:rPr>
      </w:pPr>
      <w:r w:rsidRPr="006436E9">
        <w:rPr>
          <w:lang w:val="en-GB"/>
        </w:rPr>
        <w:t xml:space="preserve">There have been examples of research using </w:t>
      </w:r>
      <w:r w:rsidR="0024060B" w:rsidRPr="006436E9">
        <w:rPr>
          <w:lang w:val="en-GB"/>
        </w:rPr>
        <w:t xml:space="preserve">the </w:t>
      </w:r>
      <w:r w:rsidRPr="006436E9">
        <w:rPr>
          <w:lang w:val="en-GB"/>
        </w:rPr>
        <w:t xml:space="preserve">CPRD </w:t>
      </w:r>
      <w:r w:rsidR="007D3950" w:rsidRPr="006436E9">
        <w:rPr>
          <w:lang w:val="en-GB"/>
        </w:rPr>
        <w:t xml:space="preserve">to </w:t>
      </w:r>
      <w:r w:rsidRPr="006436E9">
        <w:rPr>
          <w:lang w:val="en-GB"/>
        </w:rPr>
        <w:t>examin</w:t>
      </w:r>
      <w:r w:rsidR="007D3950" w:rsidRPr="006436E9">
        <w:rPr>
          <w:lang w:val="en-GB"/>
        </w:rPr>
        <w:t>e</w:t>
      </w:r>
      <w:r w:rsidRPr="006436E9">
        <w:rPr>
          <w:lang w:val="en-GB"/>
        </w:rPr>
        <w:t xml:space="preserve"> </w:t>
      </w:r>
      <w:r w:rsidR="000D5F17" w:rsidRPr="006436E9">
        <w:rPr>
          <w:lang w:val="en-GB"/>
        </w:rPr>
        <w:t xml:space="preserve">the </w:t>
      </w:r>
      <w:r w:rsidRPr="006436E9">
        <w:rPr>
          <w:lang w:val="en-GB"/>
        </w:rPr>
        <w:t>prevalence of DV among included patients and how it predicted health outcomes and behaviours</w:t>
      </w:r>
      <w:r w:rsidR="000D5F17" w:rsidRPr="006436E9">
        <w:rPr>
          <w:lang w:val="en-GB"/>
        </w:rPr>
        <w:t>,</w:t>
      </w:r>
      <w:r w:rsidRPr="006436E9">
        <w:rPr>
          <w:lang w:val="en-GB"/>
        </w:rPr>
        <w:t xml:space="preserve"> such </w:t>
      </w:r>
      <w:r w:rsidRPr="006436E9">
        <w:rPr>
          <w:lang w:val="en-GB"/>
        </w:rPr>
        <w:lastRenderedPageBreak/>
        <w:t xml:space="preserve">as the use of emergency contraception among women who experienced domestic abuse </w:t>
      </w:r>
      <w:r w:rsidR="00B16E2D" w:rsidRPr="00B16E2D">
        <w:rPr>
          <w:lang w:val="en-GB"/>
        </w:rPr>
        <w:t>(Jackson et al. 2019)</w:t>
      </w:r>
      <w:r w:rsidRPr="006436E9">
        <w:rPr>
          <w:lang w:val="en-GB"/>
        </w:rPr>
        <w:fldChar w:fldCharType="begin"/>
      </w:r>
      <w:r w:rsidR="00510B5C" w:rsidRPr="006436E9">
        <w:rPr>
          <w:lang w:val="en-GB"/>
        </w:rPr>
        <w:instrText xml:space="preserve"> ADDIN EN.CITE &lt;EndNote&gt;&lt;Cite&gt;&lt;Author&gt;Jackson&lt;/Author&gt;&lt;Year&gt;2019&lt;/Year&gt;&lt;RecNum&gt;109&lt;/RecNum&gt;&lt;record&gt;&lt;rec-number&gt;109&lt;/rec-number&gt;&lt;foreign-keys&gt;&lt;key app="EN" db-id="ea20aprfuxefvgeet96vdtfxv90eesr9t5tt" timestamp="1653403785"&gt;109&lt;/key&gt;&lt;/foreign-keys&gt;&lt;ref-type name="Journal Article"&gt;17&lt;/ref-type&gt;&lt;contributors&gt;&lt;authors&gt;&lt;author&gt;Jackson, Joni&lt;/author&gt;&lt;author&gt;Lewis, Natalia V&lt;/author&gt;&lt;author&gt;Feder, Gene S&lt;/author&gt;&lt;author&gt;Whiting, Penny&lt;/author&gt;&lt;author&gt;Jones, Timothy&lt;/author&gt;&lt;author&gt;Macleod, John&lt;/author&gt;&lt;author&gt;Redaniel, Maria Theresa&lt;/author&gt;&lt;/authors&gt;&lt;/contributors&gt;&lt;titles&gt;&lt;title&gt;Exposure to domestic violence and abuse and consultations for emergency contraception: nested case-control study in a UK primary care dataset&lt;/title&gt;&lt;secondary-title&gt;British journal of general practice&lt;/secondary-title&gt;&lt;/titles&gt;&lt;periodical&gt;&lt;full-title&gt;British journal of general practice&lt;/full-title&gt;&lt;/periodical&gt;&lt;pages&gt;e199-e207&lt;/pages&gt;&lt;volume&gt;69&lt;/volume&gt;&lt;number&gt;680&lt;/number&gt;&lt;dates&gt;&lt;year&gt;2019&lt;/year&gt;&lt;/dates&gt;&lt;isbn&gt;0960-1643&lt;/isbn&gt;&lt;urls&gt;&lt;/urls&gt;&lt;/record&gt;&lt;/Cite&gt;&lt;/EndNote&gt;</w:instrText>
      </w:r>
      <w:r w:rsidRPr="006436E9">
        <w:rPr>
          <w:lang w:val="en-GB"/>
        </w:rPr>
        <w:fldChar w:fldCharType="end"/>
      </w:r>
      <w:r w:rsidRPr="006436E9">
        <w:rPr>
          <w:lang w:val="en-GB"/>
        </w:rPr>
        <w:t xml:space="preserve">. Another study estimated a prevalence of 2.1% of intimate partner violence (IPV) in families using CPRD data linked to </w:t>
      </w:r>
      <w:r w:rsidR="000D5F17" w:rsidRPr="006436E9">
        <w:rPr>
          <w:lang w:val="en-GB"/>
        </w:rPr>
        <w:t xml:space="preserve">the </w:t>
      </w:r>
      <w:r w:rsidRPr="006436E9">
        <w:rPr>
          <w:lang w:val="en-GB"/>
        </w:rPr>
        <w:t xml:space="preserve">HES, the Index of Multiple Deprivation 2019, and the Office for National Statistics mortality register and found significant associations between IPV, family adversities, and </w:t>
      </w:r>
      <w:r w:rsidR="000D5F17" w:rsidRPr="006436E9">
        <w:rPr>
          <w:lang w:val="en-GB"/>
        </w:rPr>
        <w:t xml:space="preserve">the </w:t>
      </w:r>
      <w:r w:rsidRPr="006436E9">
        <w:rPr>
          <w:lang w:val="en-GB"/>
        </w:rPr>
        <w:t xml:space="preserve">development of health problems among survivors of IPV </w:t>
      </w:r>
      <w:r w:rsidR="00B227FD" w:rsidRPr="00B227FD">
        <w:rPr>
          <w:lang w:val="en-GB"/>
        </w:rPr>
        <w:t>(Syed et al. 2023)</w:t>
      </w:r>
      <w:r w:rsidRPr="006436E9">
        <w:rPr>
          <w:lang w:val="en-GB"/>
        </w:rPr>
        <w:fldChar w:fldCharType="begin"/>
      </w:r>
      <w:r w:rsidR="00510B5C" w:rsidRPr="006436E9">
        <w:rPr>
          <w:lang w:val="en-GB"/>
        </w:rPr>
        <w:instrText xml:space="preserve"> ADDIN EN.CITE &lt;EndNote&gt;&lt;Cite&gt;&lt;Author&gt;Syed&lt;/Author&gt;&lt;Year&gt;2023&lt;/Year&gt;&lt;RecNum&gt;257&lt;/RecNum&gt;&lt;record&gt;&lt;rec-number&gt;257&lt;/rec-number&gt;&lt;foreign-keys&gt;&lt;key app="EN" db-id="ea20aprfuxefvgeet96vdtfxv90eesr9t5tt" timestamp="1689934081"&gt;257&lt;/key&gt;&lt;/foreign-keys&gt;&lt;ref-type name="Journal Article"&gt;17&lt;/ref-type&gt;&lt;contributors&gt;&lt;authors&gt;&lt;author&gt;Syed, Shabeer&lt;/author&gt;&lt;author&gt;Gilbert, Ruth&lt;/author&gt;&lt;author&gt;Feder, Gene&lt;/author&gt;&lt;author&gt;Howe, Laura D&lt;/author&gt;&lt;author&gt;Powell, Claire&lt;/author&gt;&lt;author&gt;Howarth, Emma&lt;/author&gt;&lt;author&gt;Deighton, Jessica&lt;/author&gt;&lt;author&gt;Lacey, Rebecca E&lt;/author&gt;&lt;/authors&gt;&lt;/contributors&gt;&lt;titles&gt;&lt;title&gt;Family adversity and health characteristics associated with intimate partner violence in children and parents presenting to health care: a population-based birth cohort study in England&lt;/title&gt;&lt;secondary-title&gt;The Lancet Public Health&lt;/secondary-title&gt;&lt;/titles&gt;&lt;periodical&gt;&lt;full-title&gt;The Lancet Public Health&lt;/full-title&gt;&lt;/periodical&gt;&lt;pages&gt;e520-e534&lt;/pages&gt;&lt;volume&gt;8&lt;/volume&gt;&lt;number&gt;7&lt;/number&gt;&lt;dates&gt;&lt;year&gt;2023&lt;/year&gt;&lt;/dates&gt;&lt;isbn&gt;2468-2667&lt;/isbn&gt;&lt;urls&gt;&lt;/urls&gt;&lt;/record&gt;&lt;/Cite&gt;&lt;/EndNote&gt;</w:instrText>
      </w:r>
      <w:r w:rsidRPr="006436E9">
        <w:rPr>
          <w:lang w:val="en-GB"/>
        </w:rPr>
        <w:fldChar w:fldCharType="end"/>
      </w:r>
      <w:r w:rsidRPr="006436E9">
        <w:rPr>
          <w:lang w:val="en-GB"/>
        </w:rPr>
        <w:t>.</w:t>
      </w:r>
    </w:p>
    <w:p w14:paraId="567018AB" w14:textId="21CDAA62" w:rsidR="000420B5" w:rsidRPr="006436E9" w:rsidRDefault="000420B5" w:rsidP="00EF6C1C">
      <w:pPr>
        <w:pStyle w:val="MDPI31text"/>
        <w:rPr>
          <w:lang w:val="en-GB"/>
        </w:rPr>
      </w:pPr>
      <w:r w:rsidRPr="006436E9">
        <w:rPr>
          <w:lang w:val="en-GB"/>
        </w:rPr>
        <w:t>Overall, among the reviewed datasets,</w:t>
      </w:r>
      <w:r w:rsidR="0024060B" w:rsidRPr="006436E9">
        <w:rPr>
          <w:lang w:val="en-GB"/>
        </w:rPr>
        <w:t xml:space="preserve"> the</w:t>
      </w:r>
      <w:r w:rsidRPr="006436E9">
        <w:rPr>
          <w:lang w:val="en-GB"/>
        </w:rPr>
        <w:t xml:space="preserve"> CPRD provides the most information on patients’ sociodemographic characteristics. Also, the advantage of </w:t>
      </w:r>
      <w:r w:rsidR="0024060B" w:rsidRPr="006436E9">
        <w:rPr>
          <w:lang w:val="en-GB"/>
        </w:rPr>
        <w:t xml:space="preserve">the </w:t>
      </w:r>
      <w:r w:rsidRPr="006436E9">
        <w:rPr>
          <w:lang w:val="en-GB"/>
        </w:rPr>
        <w:t xml:space="preserve">CPRD is that it is already linked to a number of other datasets </w:t>
      </w:r>
      <w:r w:rsidR="00400346" w:rsidRPr="00400346">
        <w:rPr>
          <w:lang w:val="en-GB"/>
        </w:rPr>
        <w:t>(Herrett et al. 2015)</w:t>
      </w:r>
      <w:r w:rsidRPr="006436E9">
        <w:rPr>
          <w:lang w:val="en-GB"/>
        </w:rPr>
        <w:fldChar w:fldCharType="begin"/>
      </w:r>
      <w:r w:rsidR="00510B5C" w:rsidRPr="006436E9">
        <w:rPr>
          <w:lang w:val="en-GB"/>
        </w:rPr>
        <w:instrText xml:space="preserve"> ADDIN EN.CITE &lt;EndNote&gt;&lt;Cite&gt;&lt;Author&gt;Herrett&lt;/Author&gt;&lt;Year&gt;2015&lt;/Year&gt;&lt;RecNum&gt;105&lt;/RecNum&gt;&lt;record&gt;&lt;rec-number&gt;105&lt;/rec-number&gt;&lt;foreign-keys&gt;&lt;key app="EN" db-id="ea20aprfuxefvgeet96vdtfxv90eesr9t5tt" timestamp="1653400823"&gt;105&lt;/key&gt;&lt;/foreign-keys&gt;&lt;ref-type name="Journal Article"&gt;17&lt;/ref-type&gt;&lt;contributors&gt;&lt;authors&gt;&lt;author&gt;Herrett, Emily&lt;/author&gt;&lt;author&gt;Gallagher, Arlene M&lt;/author&gt;&lt;author&gt;Bhaskaran, Krishnan&lt;/author&gt;&lt;author&gt;Forbes, Harriet&lt;/author&gt;&lt;author&gt;Mathur, Rohini&lt;/author&gt;&lt;author&gt;Van Staa, Tjeerd&lt;/author&gt;&lt;author&gt;Smeeth, Liam&lt;/author&gt;&lt;/authors&gt;&lt;/contributors&gt;&lt;titles&gt;&lt;title&gt;Data resource profile: clinical practice research datalink (CPRD)&lt;/title&gt;&lt;secondary-title&gt;International journal of epidemiology&lt;/secondary-title&gt;&lt;/titles&gt;&lt;periodical&gt;&lt;full-title&gt;International journal of epidemiology&lt;/full-title&gt;&lt;/periodical&gt;&lt;pages&gt;827-836&lt;/pages&gt;&lt;volume&gt;44&lt;/volume&gt;&lt;number&gt;3&lt;/number&gt;&lt;dates&gt;&lt;year&gt;2015&lt;/year&gt;&lt;/dates&gt;&lt;isbn&gt;1464-3685&lt;/isbn&gt;&lt;urls&gt;&lt;/urls&gt;&lt;/record&gt;&lt;/Cite&gt;&lt;/EndNote&gt;</w:instrText>
      </w:r>
      <w:r w:rsidRPr="006436E9">
        <w:rPr>
          <w:lang w:val="en-GB"/>
        </w:rPr>
        <w:fldChar w:fldCharType="end"/>
      </w:r>
      <w:r w:rsidRPr="006436E9">
        <w:rPr>
          <w:lang w:val="en-GB"/>
        </w:rPr>
        <w:t xml:space="preserve">. </w:t>
      </w:r>
      <w:r w:rsidR="0024060B" w:rsidRPr="006436E9">
        <w:rPr>
          <w:lang w:val="en-GB"/>
        </w:rPr>
        <w:t xml:space="preserve">The </w:t>
      </w:r>
      <w:r w:rsidRPr="006436E9">
        <w:rPr>
          <w:lang w:val="en-GB"/>
        </w:rPr>
        <w:t>CPRD seems to be a suitable dataset for researching violence, and among the discussed datasets</w:t>
      </w:r>
      <w:r w:rsidR="000D5F17" w:rsidRPr="006436E9">
        <w:rPr>
          <w:lang w:val="en-GB"/>
        </w:rPr>
        <w:t>, it</w:t>
      </w:r>
      <w:r w:rsidRPr="006436E9">
        <w:rPr>
          <w:lang w:val="en-GB"/>
        </w:rPr>
        <w:t xml:space="preserve"> is most suitable for examining DV </w:t>
      </w:r>
      <w:r w:rsidR="00936B8A" w:rsidRPr="00936B8A">
        <w:rPr>
          <w:lang w:val="en-GB"/>
        </w:rPr>
        <w:t>(Jackson et al. 2019)</w:t>
      </w:r>
      <w:r w:rsidRPr="006436E9">
        <w:rPr>
          <w:lang w:val="en-GB"/>
        </w:rPr>
        <w:fldChar w:fldCharType="begin"/>
      </w:r>
      <w:r w:rsidR="00510B5C" w:rsidRPr="006436E9">
        <w:rPr>
          <w:lang w:val="en-GB"/>
        </w:rPr>
        <w:instrText xml:space="preserve"> ADDIN EN.CITE &lt;EndNote&gt;&lt;Cite&gt;&lt;Author&gt;Jackson&lt;/Author&gt;&lt;Year&gt;2019&lt;/Year&gt;&lt;RecNum&gt;109&lt;/RecNum&gt;&lt;record&gt;&lt;rec-number&gt;109&lt;/rec-number&gt;&lt;foreign-keys&gt;&lt;key app="EN" db-id="ea20aprfuxefvgeet96vdtfxv90eesr9t5tt" timestamp="1653403785"&gt;109&lt;/key&gt;&lt;/foreign-keys&gt;&lt;ref-type name="Journal Article"&gt;17&lt;/ref-type&gt;&lt;contributors&gt;&lt;authors&gt;&lt;author&gt;Jackson, Joni&lt;/author&gt;&lt;author&gt;Lewis, Natalia V&lt;/author&gt;&lt;author&gt;Feder, Gene S&lt;/author&gt;&lt;author&gt;Whiting, Penny&lt;/author&gt;&lt;author&gt;Jones, Timothy&lt;/author&gt;&lt;author&gt;Macleod, John&lt;/author&gt;&lt;author&gt;Redaniel, Maria Theresa&lt;/author&gt;&lt;/authors&gt;&lt;/contributors&gt;&lt;titles&gt;&lt;title&gt;Exposure to domestic violence and abuse and consultations for emergency contraception: nested case-control study in a UK primary care dataset&lt;/title&gt;&lt;secondary-title&gt;British journal of general practice&lt;/secondary-title&gt;&lt;/titles&gt;&lt;periodical&gt;&lt;full-title&gt;British journal of general practice&lt;/full-title&gt;&lt;/periodical&gt;&lt;pages&gt;e199-e207&lt;/pages&gt;&lt;volume&gt;69&lt;/volume&gt;&lt;number&gt;680&lt;/number&gt;&lt;dates&gt;&lt;year&gt;2019&lt;/year&gt;&lt;/dates&gt;&lt;isbn&gt;0960-1643&lt;/isbn&gt;&lt;urls&gt;&lt;/urls&gt;&lt;/record&gt;&lt;/Cite&gt;&lt;/EndNote&gt;</w:instrText>
      </w:r>
      <w:r w:rsidRPr="006436E9">
        <w:rPr>
          <w:lang w:val="en-GB"/>
        </w:rPr>
        <w:fldChar w:fldCharType="end"/>
      </w:r>
      <w:r w:rsidRPr="006436E9">
        <w:rPr>
          <w:lang w:val="en-GB"/>
        </w:rPr>
        <w:t xml:space="preserve">. However, </w:t>
      </w:r>
      <w:r w:rsidR="0024060B" w:rsidRPr="006436E9">
        <w:rPr>
          <w:lang w:val="en-GB"/>
        </w:rPr>
        <w:t xml:space="preserve">the </w:t>
      </w:r>
      <w:r w:rsidRPr="006436E9">
        <w:rPr>
          <w:lang w:val="en-GB"/>
        </w:rPr>
        <w:t xml:space="preserve">CPRD does not record many social factors relevant </w:t>
      </w:r>
      <w:r w:rsidR="007D3950" w:rsidRPr="006436E9">
        <w:rPr>
          <w:lang w:val="en-GB"/>
        </w:rPr>
        <w:t xml:space="preserve">to </w:t>
      </w:r>
      <w:r w:rsidRPr="006436E9">
        <w:rPr>
          <w:lang w:val="en-GB"/>
        </w:rPr>
        <w:t>profiling those who have experienced violence. Furthermore, the included social factors and information on DV are under-recorded.</w:t>
      </w:r>
    </w:p>
    <w:p w14:paraId="256F352F" w14:textId="5170E57F" w:rsidR="000420B5" w:rsidRPr="006436E9" w:rsidRDefault="00EF6C1C" w:rsidP="00EF6C1C">
      <w:pPr>
        <w:pStyle w:val="MDPI21heading1"/>
        <w:rPr>
          <w:lang w:val="en-GB"/>
        </w:rPr>
      </w:pPr>
      <w:r w:rsidRPr="006436E9">
        <w:rPr>
          <w:lang w:val="en-GB"/>
        </w:rPr>
        <w:t xml:space="preserve">5. </w:t>
      </w:r>
      <w:r w:rsidR="000420B5" w:rsidRPr="006436E9">
        <w:rPr>
          <w:lang w:val="en-GB"/>
        </w:rPr>
        <w:t>Discussion</w:t>
      </w:r>
    </w:p>
    <w:p w14:paraId="3658167B" w14:textId="79AE4BA5" w:rsidR="000420B5" w:rsidRPr="006436E9" w:rsidRDefault="000420B5" w:rsidP="00EF6C1C">
      <w:pPr>
        <w:pStyle w:val="MDPI31text"/>
        <w:rPr>
          <w:lang w:val="en-GB"/>
        </w:rPr>
      </w:pPr>
      <w:r w:rsidRPr="006436E9">
        <w:rPr>
          <w:lang w:val="en-GB"/>
        </w:rPr>
        <w:t xml:space="preserve">The UK health administrative data sources discussed in this paper have the potential to be used to address gaps in knowledge related to violence, its health and social impacts, and gaps </w:t>
      </w:r>
      <w:r w:rsidR="000D5F17" w:rsidRPr="006436E9">
        <w:rPr>
          <w:lang w:val="en-GB"/>
        </w:rPr>
        <w:t xml:space="preserve">that </w:t>
      </w:r>
      <w:r w:rsidRPr="006436E9">
        <w:rPr>
          <w:lang w:val="en-GB"/>
        </w:rPr>
        <w:t xml:space="preserve">are not fully addressed by other data sources in isolation, such as surveys or crime and justice records. Although the nature and extent of coverage differ between databases, all the examples examined here have data items that flag violence, which can be analysed to generate insight </w:t>
      </w:r>
      <w:r w:rsidR="007D3950" w:rsidRPr="006436E9">
        <w:rPr>
          <w:lang w:val="en-GB"/>
        </w:rPr>
        <w:t xml:space="preserve">into </w:t>
      </w:r>
      <w:r w:rsidRPr="006436E9">
        <w:rPr>
          <w:lang w:val="en-GB"/>
        </w:rPr>
        <w:t>the contexts of violent acts, associated risk factors</w:t>
      </w:r>
      <w:r w:rsidR="000D5F17" w:rsidRPr="006436E9">
        <w:rPr>
          <w:lang w:val="en-GB"/>
        </w:rPr>
        <w:t>,</w:t>
      </w:r>
      <w:r w:rsidRPr="006436E9">
        <w:rPr>
          <w:lang w:val="en-GB"/>
        </w:rPr>
        <w:t xml:space="preserve"> including sociodemographic characteristics, evidence on inequalities, and associated health outcomes. All the data contain individual</w:t>
      </w:r>
      <w:r w:rsidR="007D3950" w:rsidRPr="006436E9">
        <w:rPr>
          <w:lang w:val="en-GB"/>
        </w:rPr>
        <w:t>,</w:t>
      </w:r>
      <w:r w:rsidRPr="006436E9">
        <w:rPr>
          <w:lang w:val="en-GB"/>
        </w:rPr>
        <w:t xml:space="preserve"> identifiable numbers, which can be used for individual-level analyses to produce longitudinal trajectories. The linked South Wales Violence Surveillance dataset is ahead of its English counterparts in terms of the amount of relevant information on violence.</w:t>
      </w:r>
    </w:p>
    <w:p w14:paraId="6C632E52" w14:textId="7C5662D8" w:rsidR="000420B5" w:rsidRPr="006436E9" w:rsidRDefault="000420B5" w:rsidP="00EF6C1C">
      <w:pPr>
        <w:pStyle w:val="MDPI31text"/>
        <w:rPr>
          <w:lang w:val="en-GB"/>
        </w:rPr>
      </w:pPr>
      <w:r w:rsidRPr="006436E9">
        <w:rPr>
          <w:lang w:val="en-GB"/>
        </w:rPr>
        <w:t xml:space="preserve">There are limitations to using health records for research on violence </w:t>
      </w:r>
      <w:r w:rsidR="000D5F17" w:rsidRPr="006436E9">
        <w:rPr>
          <w:lang w:val="en-GB"/>
        </w:rPr>
        <w:t xml:space="preserve">that </w:t>
      </w:r>
      <w:r w:rsidRPr="006436E9">
        <w:rPr>
          <w:lang w:val="en-GB"/>
        </w:rPr>
        <w:t xml:space="preserve">warrant consideration. Evidence suggests that there are discrepancies between the words written by health professionals in the narrative records and the coded information in electronic databases </w:t>
      </w:r>
      <w:r w:rsidR="005C3C03" w:rsidRPr="005C3C03">
        <w:rPr>
          <w:lang w:val="en-GB"/>
        </w:rPr>
        <w:t>(Olive 2018)</w:t>
      </w:r>
      <w:r w:rsidRPr="006436E9">
        <w:rPr>
          <w:lang w:val="en-GB"/>
        </w:rPr>
        <w:fldChar w:fldCharType="begin"/>
      </w:r>
      <w:r w:rsidR="00510B5C" w:rsidRPr="006436E9">
        <w:rPr>
          <w:lang w:val="en-GB"/>
        </w:rPr>
        <w:instrText xml:space="preserve"> ADDIN EN.CITE &lt;EndNote&gt;&lt;Cite&gt;&lt;Author&gt;Olive&lt;/Author&gt;&lt;Year&gt;2018&lt;/Year&gt;&lt;RecNum&gt;1&lt;/RecNum&gt;&lt;record&gt;&lt;rec-number&gt;1&lt;/rec-number&gt;&lt;foreign-keys&gt;&lt;key app="EN" db-id="ea20aprfuxefvgeet96vdtfxv90eesr9t5tt" timestamp="1643984621"&gt;1&lt;/key&gt;&lt;/foreign-keys&gt;&lt;ref-type name="Journal Article"&gt;17&lt;/ref-type&gt;&lt;contributors&gt;&lt;authors&gt;&lt;author&gt;Olive, Philippa&lt;/author&gt;&lt;/authors&gt;&lt;/contributors&gt;&lt;titles&gt;&lt;title&gt;Intimate partner violence and clinical coding: issues with the use of the International classification of disease (ICD-10) in England&lt;/title&gt;&lt;secondary-title&gt;Journal of Health Services Research &amp;amp; Policy&lt;/secondary-title&gt;&lt;/titles&gt;&lt;periodical&gt;&lt;full-title&gt;Journal of Health Services Research &amp;amp; Policy&lt;/full-title&gt;&lt;/periodical&gt;&lt;pages&gt;212-221&lt;/pages&gt;&lt;volume&gt;23&lt;/volume&gt;&lt;number&gt;4&lt;/number&gt;&lt;dates&gt;&lt;year&gt;2018&lt;/year&gt;&lt;/dates&gt;&lt;isbn&gt;1355-8196&lt;/isbn&gt;&lt;urls&gt;&lt;/urls&gt;&lt;/record&gt;&lt;/Cite&gt;&lt;/EndNote&gt;</w:instrText>
      </w:r>
      <w:r w:rsidRPr="006436E9">
        <w:rPr>
          <w:lang w:val="en-GB"/>
        </w:rPr>
        <w:fldChar w:fldCharType="end"/>
      </w:r>
      <w:r w:rsidRPr="006436E9">
        <w:rPr>
          <w:lang w:val="en-GB"/>
        </w:rPr>
        <w:t xml:space="preserve">. This can be explained by the limitations and ambiguity of the coding systems used in the electronic data but also misinterpretations and inconsistency in applying the codes </w:t>
      </w:r>
      <w:r w:rsidR="00FC3DAD" w:rsidRPr="00FC3DAD">
        <w:rPr>
          <w:lang w:val="en-GB"/>
        </w:rPr>
        <w:t>(Jackson et al. 2019</w:t>
      </w:r>
      <w:r w:rsidR="00FC3DAD">
        <w:rPr>
          <w:lang w:val="en-GB"/>
        </w:rPr>
        <w:t>,</w:t>
      </w:r>
      <w:r w:rsidR="00FC3DAD" w:rsidRPr="00FC3DAD">
        <w:rPr>
          <w:lang w:val="en-GB"/>
        </w:rPr>
        <w:t xml:space="preserve"> Olive 2018)</w:t>
      </w:r>
      <w:r w:rsidRPr="006436E9">
        <w:rPr>
          <w:lang w:val="en-GB"/>
        </w:rPr>
        <w:fldChar w:fldCharType="begin"/>
      </w:r>
      <w:r w:rsidR="00510B5C" w:rsidRPr="006436E9">
        <w:rPr>
          <w:lang w:val="en-GB"/>
        </w:rPr>
        <w:instrText xml:space="preserve"> ADDIN EN.CITE &lt;EndNote&gt;&lt;Cite&gt;&lt;Author&gt;Jackson&lt;/Author&gt;&lt;Year&gt;2019&lt;/Year&gt;&lt;RecNum&gt;109&lt;/RecNum&gt;&lt;record&gt;&lt;rec-number&gt;109&lt;/rec-number&gt;&lt;foreign-keys&gt;&lt;key app="EN" db-id="ea20aprfuxefvgeet96vdtfxv90eesr9t5tt" timestamp="1653403785"&gt;109&lt;/key&gt;&lt;/foreign-keys&gt;&lt;ref-type name="Journal Article"&gt;17&lt;/ref-type&gt;&lt;contributors&gt;&lt;authors&gt;&lt;author&gt;Jackson, Joni&lt;/author&gt;&lt;author&gt;Lewis, Natalia V&lt;/author&gt;&lt;author&gt;Feder, Gene S&lt;/author&gt;&lt;author&gt;Whiting, Penny&lt;/author&gt;&lt;author&gt;Jones, Timothy&lt;/author&gt;&lt;author&gt;Macleod, John&lt;/author&gt;&lt;author&gt;Redaniel, Maria Theresa&lt;/author&gt;&lt;/authors&gt;&lt;/contributors&gt;&lt;titles&gt;&lt;title&gt;Exposure to domestic violence and abuse and consultations for emergency contraception: nested case-control study in a UK primary care dataset&lt;/title&gt;&lt;secondary-title&gt;British journal of general practice&lt;/secondary-title&gt;&lt;/titles&gt;&lt;periodical&gt;&lt;full-title&gt;British journal of general practice&lt;/full-title&gt;&lt;/periodical&gt;&lt;pages&gt;e199-e207&lt;/pages&gt;&lt;volume&gt;69&lt;/volume&gt;&lt;number&gt;680&lt;/number&gt;&lt;dates&gt;&lt;year&gt;2019&lt;/year&gt;&lt;/dates&gt;&lt;isbn&gt;0960-1643&lt;/isbn&gt;&lt;urls&gt;&lt;/urls&gt;&lt;/record&gt;&lt;/Cite&gt;&lt;Cite&gt;&lt;Author&gt;Olive&lt;/Author&gt;&lt;Year&gt;2018&lt;/Year&gt;&lt;RecNum&gt;1&lt;/RecNum&gt;&lt;record&gt;&lt;rec-number&gt;1&lt;/rec-number&gt;&lt;foreign-keys&gt;&lt;key app="EN" db-id="ea20aprfuxefvgeet96vdtfxv90eesr9t5tt" timestamp="1643984621"&gt;1&lt;/key&gt;&lt;/foreign-keys&gt;&lt;ref-type name="Journal Article"&gt;17&lt;/ref-type&gt;&lt;contributors&gt;&lt;authors&gt;&lt;author&gt;Olive, Philippa&lt;/author&gt;&lt;/authors&gt;&lt;/contributors&gt;&lt;titles&gt;&lt;title&gt;Intimate partner violence and clinical coding: issues with the use of the International classification of disease (ICD-10) in England&lt;/title&gt;&lt;secondary-title&gt;Journal of Health Services Research &amp;amp; Policy&lt;/secondary-title&gt;&lt;/titles&gt;&lt;periodical&gt;&lt;full-title&gt;Journal of Health Services Research &amp;amp; Policy&lt;/full-title&gt;&lt;/periodical&gt;&lt;pages&gt;212-221&lt;/pages&gt;&lt;volume&gt;23&lt;/volume&gt;&lt;number&gt;4&lt;/number&gt;&lt;dates&gt;&lt;year&gt;2018&lt;/year&gt;&lt;/dates&gt;&lt;isbn&gt;1355-8196&lt;/isbn&gt;&lt;urls&gt;&lt;/urls&gt;&lt;/record&gt;&lt;/Cite&gt;&lt;/EndNote&gt;</w:instrText>
      </w:r>
      <w:r w:rsidRPr="006436E9">
        <w:rPr>
          <w:lang w:val="en-GB"/>
        </w:rPr>
        <w:fldChar w:fldCharType="end"/>
      </w:r>
      <w:r w:rsidRPr="006436E9">
        <w:rPr>
          <w:lang w:val="en-GB"/>
        </w:rPr>
        <w:t xml:space="preserve">. Another reason can be attributed to the lack of time experienced by ED reception staff to complete all the data fields and </w:t>
      </w:r>
      <w:r w:rsidR="000D5F17" w:rsidRPr="006436E9">
        <w:rPr>
          <w:lang w:val="en-GB"/>
        </w:rPr>
        <w:t xml:space="preserve">the </w:t>
      </w:r>
      <w:r w:rsidRPr="006436E9">
        <w:rPr>
          <w:lang w:val="en-GB"/>
        </w:rPr>
        <w:t xml:space="preserve">lack of automated reporting systems for that </w:t>
      </w:r>
      <w:r w:rsidR="004217FF" w:rsidRPr="004217FF">
        <w:rPr>
          <w:lang w:val="en-GB"/>
        </w:rPr>
        <w:t>(Baird et al. 2016)</w:t>
      </w:r>
      <w:r w:rsidRPr="006436E9">
        <w:rPr>
          <w:lang w:val="en-GB"/>
        </w:rPr>
        <w:fldChar w:fldCharType="begin"/>
      </w:r>
      <w:r w:rsidR="00510B5C" w:rsidRPr="006436E9">
        <w:rPr>
          <w:lang w:val="en-GB"/>
        </w:rPr>
        <w:instrText xml:space="preserve"> ADDIN EN.CITE &lt;EndNote&gt;&lt;Cite&gt;&lt;Author&gt;Baird&lt;/Author&gt;&lt;Year&gt;2016&lt;/Year&gt;&lt;RecNum&gt;278&lt;/RecNum&gt;&lt;record&gt;&lt;rec-number&gt;278&lt;/rec-number&gt;&lt;foreign-keys&gt;&lt;key app="EN" db-id="ea20aprfuxefvgeet96vdtfxv90eesr9t5tt" timestamp="1695659115"&gt;278&lt;/key&gt;&lt;/foreign-keys&gt;&lt;ref-type name="Book"&gt;6&lt;/ref-type&gt;&lt;contributors&gt;&lt;authors&gt;&lt;author&gt;Baird, Beccy&lt;/author&gt;&lt;author&gt;Charles, Anna&lt;/author&gt;&lt;author&gt;Honeyman, Matthew&lt;/author&gt;&lt;author&gt;Maguire, David&lt;/author&gt;&lt;author&gt;Das, Preety&lt;/author&gt;&lt;/authors&gt;&lt;/contributors&gt;&lt;titles&gt;&lt;title&gt;Understanding pressures in general practice&lt;/title&gt;&lt;/titles&gt;&lt;dates&gt;&lt;year&gt;2016&lt;/year&gt;&lt;/dates&gt;&lt;publisher&gt;King&amp;apos;s Fund London&lt;/publisher&gt;&lt;isbn&gt;1909029610&lt;/isbn&gt;&lt;urls&gt;&lt;/urls&gt;&lt;/record&gt;&lt;/Cite&gt;&lt;/EndNote&gt;</w:instrText>
      </w:r>
      <w:r w:rsidRPr="006436E9">
        <w:rPr>
          <w:lang w:val="en-GB"/>
        </w:rPr>
        <w:fldChar w:fldCharType="end"/>
      </w:r>
      <w:r w:rsidRPr="006436E9">
        <w:rPr>
          <w:lang w:val="en-GB"/>
        </w:rPr>
        <w:t xml:space="preserve">. Furthermore, the discussed datasets contain less detailed information than local medical records. For example, natural language processing has been used to codify narrative records in the Clinical Records Interactive Search (CRIS) database from the South London and Maudsley NHS Foundation Trust to provide information on a range of violence characteristics (perpetration, victimisation, </w:t>
      </w:r>
      <w:r w:rsidR="00954646" w:rsidRPr="006436E9">
        <w:rPr>
          <w:lang w:val="en-GB"/>
        </w:rPr>
        <w:t xml:space="preserve">and </w:t>
      </w:r>
      <w:r w:rsidRPr="006436E9">
        <w:rPr>
          <w:lang w:val="en-GB"/>
        </w:rPr>
        <w:t xml:space="preserve">witnessing), forms of harms, and the nature of the relationship between the patient and </w:t>
      </w:r>
      <w:r w:rsidR="00954646" w:rsidRPr="006436E9">
        <w:rPr>
          <w:lang w:val="en-GB"/>
        </w:rPr>
        <w:t xml:space="preserve">the </w:t>
      </w:r>
      <w:r w:rsidRPr="006436E9">
        <w:rPr>
          <w:lang w:val="en-GB"/>
        </w:rPr>
        <w:t xml:space="preserve">assailant </w:t>
      </w:r>
      <w:r w:rsidR="00B22099" w:rsidRPr="00B22099">
        <w:rPr>
          <w:lang w:val="en-GB"/>
        </w:rPr>
        <w:t>(Botelle et al. 2022)</w:t>
      </w:r>
      <w:r w:rsidRPr="006436E9">
        <w:rPr>
          <w:lang w:val="en-GB"/>
        </w:rPr>
        <w:fldChar w:fldCharType="begin"/>
      </w:r>
      <w:r w:rsidR="00510B5C" w:rsidRPr="006436E9">
        <w:rPr>
          <w:lang w:val="en-GB"/>
        </w:rPr>
        <w:instrText xml:space="preserve"> ADDIN EN.CITE &lt;EndNote&gt;&lt;Cite&gt;&lt;Author&gt;Botelle&lt;/Author&gt;&lt;Year&gt;2022&lt;/Year&gt;&lt;RecNum&gt;240&lt;/RecNum&gt;&lt;record&gt;&lt;rec-number&gt;240&lt;/rec-number&gt;&lt;foreign-keys&gt;&lt;key app="EN" db-id="ea20aprfuxefvgeet96vdtfxv90eesr9t5tt" timestamp="1673013958"&gt;240&lt;/key&gt;&lt;/foreign-keys&gt;&lt;ref-type name="Journal Article"&gt;17&lt;/ref-type&gt;&lt;contributors&gt;&lt;authors&gt;&lt;author&gt;Botelle, Riley&lt;/author&gt;&lt;author&gt;Bhavsar, Vishal&lt;/author&gt;&lt;author&gt;Kadra-Scalzo, Giouliana&lt;/author&gt;&lt;author&gt;Mascio, Aurelie&lt;/author&gt;&lt;author&gt;Williams, Marcus V&lt;/author&gt;&lt;author&gt;Roberts, Angus&lt;/author&gt;&lt;author&gt;Velupillai, Sumithra&lt;/author&gt;&lt;author&gt;Stewart, Robert&lt;/author&gt;&lt;/authors&gt;&lt;/contributors&gt;&lt;titles&gt;&lt;title&gt;Can natural language processing models extract and classify instances of interpersonal violence in mental healthcare electronic records: an applied evaluative study&lt;/title&gt;&lt;secondary-title&gt;BMJ open&lt;/secondary-title&gt;&lt;/titles&gt;&lt;periodical&gt;&lt;full-title&gt;BMJ open&lt;/full-title&gt;&lt;/periodical&gt;&lt;pages&gt;e052911&lt;/pages&gt;&lt;volume&gt;12&lt;/volume&gt;&lt;number&gt;2&lt;/number&gt;&lt;dates&gt;&lt;year&gt;2022&lt;/year&gt;&lt;/dates&gt;&lt;isbn&gt;2044-6055&lt;/isbn&gt;&lt;urls&gt;&lt;/urls&gt;&lt;/record&gt;&lt;/Cite&gt;&lt;/EndNote&gt;</w:instrText>
      </w:r>
      <w:r w:rsidRPr="006436E9">
        <w:rPr>
          <w:lang w:val="en-GB"/>
        </w:rPr>
        <w:fldChar w:fldCharType="end"/>
      </w:r>
      <w:r w:rsidRPr="006436E9">
        <w:rPr>
          <w:lang w:val="en-GB"/>
        </w:rPr>
        <w:t xml:space="preserve">. The lack of detailed information is being addressed to some extent in the ECDS and the South Wales Violence Surveillance dataset. Nevertheless, the limited information on violence and the lack of data completeness (specifically in ECDS on the data item that indicates violence) might explain the lower use of the national datasets in violence research. Additionally, financial and time constraints associated with </w:t>
      </w:r>
      <w:r w:rsidR="00954646" w:rsidRPr="006436E9">
        <w:rPr>
          <w:lang w:val="en-GB"/>
        </w:rPr>
        <w:t xml:space="preserve">obtaining </w:t>
      </w:r>
      <w:r w:rsidRPr="006436E9">
        <w:rPr>
          <w:lang w:val="en-GB"/>
        </w:rPr>
        <w:t>access to national health datasets can be a barrier.</w:t>
      </w:r>
    </w:p>
    <w:p w14:paraId="33F4DE20" w14:textId="2A228176" w:rsidR="000420B5" w:rsidRPr="006436E9" w:rsidRDefault="000420B5" w:rsidP="00EF6C1C">
      <w:pPr>
        <w:pStyle w:val="MDPI31text"/>
        <w:rPr>
          <w:lang w:val="en-GB"/>
        </w:rPr>
      </w:pPr>
      <w:r w:rsidRPr="006436E9">
        <w:rPr>
          <w:lang w:val="en-GB"/>
        </w:rPr>
        <w:t>A major limitation identified in</w:t>
      </w:r>
      <w:r w:rsidR="00954646" w:rsidRPr="006436E9">
        <w:rPr>
          <w:lang w:val="en-GB"/>
        </w:rPr>
        <w:t xml:space="preserve"> the</w:t>
      </w:r>
      <w:r w:rsidRPr="006436E9">
        <w:rPr>
          <w:lang w:val="en-GB"/>
        </w:rPr>
        <w:t xml:space="preserve"> HES A&amp;E and ECDS is that </w:t>
      </w:r>
      <w:r w:rsidR="00954646" w:rsidRPr="006436E9">
        <w:rPr>
          <w:lang w:val="en-GB"/>
        </w:rPr>
        <w:t xml:space="preserve">neither </w:t>
      </w:r>
      <w:r w:rsidRPr="006436E9">
        <w:rPr>
          <w:lang w:val="en-GB"/>
        </w:rPr>
        <w:t xml:space="preserve">dataset </w:t>
      </w:r>
      <w:r w:rsidR="00954646" w:rsidRPr="006436E9">
        <w:rPr>
          <w:lang w:val="en-GB"/>
        </w:rPr>
        <w:t>has</w:t>
      </w:r>
      <w:r w:rsidRPr="006436E9">
        <w:rPr>
          <w:lang w:val="en-GB"/>
        </w:rPr>
        <w:t xml:space="preserve"> reliable indicators for </w:t>
      </w:r>
      <w:r w:rsidR="00954646" w:rsidRPr="006436E9">
        <w:rPr>
          <w:lang w:val="en-GB"/>
        </w:rPr>
        <w:t xml:space="preserve">the </w:t>
      </w:r>
      <w:r w:rsidRPr="006436E9">
        <w:rPr>
          <w:lang w:val="en-GB"/>
        </w:rPr>
        <w:t>patient</w:t>
      </w:r>
      <w:r w:rsidR="00954646" w:rsidRPr="006436E9">
        <w:rPr>
          <w:lang w:val="en-GB"/>
        </w:rPr>
        <w:t>–</w:t>
      </w:r>
      <w:r w:rsidRPr="006436E9">
        <w:rPr>
          <w:lang w:val="en-GB"/>
        </w:rPr>
        <w:t xml:space="preserve">assailant relationship </w:t>
      </w:r>
      <w:r w:rsidR="00954646" w:rsidRPr="006436E9">
        <w:rPr>
          <w:lang w:val="en-GB"/>
        </w:rPr>
        <w:t xml:space="preserve">or </w:t>
      </w:r>
      <w:r w:rsidRPr="006436E9">
        <w:rPr>
          <w:lang w:val="en-GB"/>
        </w:rPr>
        <w:t>different types of violence and abuse other than physical assaults. From general population survey sources</w:t>
      </w:r>
      <w:r w:rsidR="00954646" w:rsidRPr="006436E9">
        <w:rPr>
          <w:lang w:val="en-GB"/>
        </w:rPr>
        <w:t>,</w:t>
      </w:r>
      <w:r w:rsidRPr="006436E9">
        <w:rPr>
          <w:lang w:val="en-GB"/>
        </w:rPr>
        <w:t xml:space="preserve"> such as </w:t>
      </w:r>
      <w:r w:rsidR="00954646" w:rsidRPr="006436E9">
        <w:rPr>
          <w:lang w:val="en-GB"/>
        </w:rPr>
        <w:t xml:space="preserve">the </w:t>
      </w:r>
      <w:r w:rsidRPr="006436E9">
        <w:rPr>
          <w:lang w:val="en-GB"/>
        </w:rPr>
        <w:t>Crime Survey for England and Wales, it is known that different types of violence are more prevalent in different population groups</w:t>
      </w:r>
      <w:r w:rsidR="00954646" w:rsidRPr="006436E9">
        <w:rPr>
          <w:lang w:val="en-GB"/>
        </w:rPr>
        <w:t>;</w:t>
      </w:r>
      <w:r w:rsidRPr="006436E9">
        <w:rPr>
          <w:lang w:val="en-GB"/>
        </w:rPr>
        <w:t xml:space="preserve"> for example</w:t>
      </w:r>
      <w:r w:rsidR="00954646" w:rsidRPr="006436E9">
        <w:rPr>
          <w:lang w:val="en-GB"/>
        </w:rPr>
        <w:t>,</w:t>
      </w:r>
      <w:r w:rsidRPr="006436E9">
        <w:rPr>
          <w:lang w:val="en-GB"/>
        </w:rPr>
        <w:t xml:space="preserve"> women are more likely to experience violence from an intimate partner</w:t>
      </w:r>
      <w:r w:rsidR="00954646" w:rsidRPr="006436E9">
        <w:rPr>
          <w:lang w:val="en-GB"/>
        </w:rPr>
        <w:t xml:space="preserve">, </w:t>
      </w:r>
      <w:r w:rsidRPr="006436E9">
        <w:rPr>
          <w:lang w:val="en-GB"/>
        </w:rPr>
        <w:t>while men are more likely to experience violence from an acquaintance (</w:t>
      </w:r>
      <w:r w:rsidR="00807D56" w:rsidRPr="006436E9">
        <w:rPr>
          <w:szCs w:val="18"/>
          <w:lang w:val="en-GB"/>
        </w:rPr>
        <w:t>Office for National Statistics 2021</w:t>
      </w:r>
      <w:r w:rsidRPr="006436E9">
        <w:rPr>
          <w:lang w:val="en-GB"/>
        </w:rPr>
        <w:t>). Also, women are much more likely to be victims of sexual assaults than men. Additionally, older people (</w:t>
      </w:r>
      <w:r w:rsidR="00807D56" w:rsidRPr="006436E9">
        <w:rPr>
          <w:szCs w:val="18"/>
          <w:lang w:val="en-GB"/>
        </w:rPr>
        <w:t>Rosen et al. 2019)</w:t>
      </w:r>
      <w:r w:rsidRPr="006436E9">
        <w:rPr>
          <w:lang w:val="en-GB"/>
        </w:rPr>
        <w:t xml:space="preserve"> and children (</w:t>
      </w:r>
      <w:r w:rsidR="00807D56" w:rsidRPr="006436E9">
        <w:rPr>
          <w:szCs w:val="18"/>
          <w:lang w:val="en-GB"/>
        </w:rPr>
        <w:t>Devries et al. 2018</w:t>
      </w:r>
      <w:r w:rsidRPr="006436E9">
        <w:rPr>
          <w:lang w:val="en-GB"/>
        </w:rPr>
        <w:t xml:space="preserve">) more often experience violence from household </w:t>
      </w:r>
      <w:r w:rsidRPr="006436E9">
        <w:rPr>
          <w:lang w:val="en-GB"/>
        </w:rPr>
        <w:lastRenderedPageBreak/>
        <w:t>members in comparison with younger men. Therefore, the absence of safeguard</w:t>
      </w:r>
      <w:r w:rsidR="00954646" w:rsidRPr="006436E9">
        <w:rPr>
          <w:lang w:val="en-GB"/>
        </w:rPr>
        <w:t xml:space="preserve">ed </w:t>
      </w:r>
      <w:r w:rsidRPr="006436E9">
        <w:rPr>
          <w:lang w:val="en-GB"/>
        </w:rPr>
        <w:t xml:space="preserve">information </w:t>
      </w:r>
      <w:r w:rsidR="00954646" w:rsidRPr="006436E9">
        <w:rPr>
          <w:lang w:val="en-GB"/>
        </w:rPr>
        <w:t xml:space="preserve">that </w:t>
      </w:r>
      <w:r w:rsidRPr="006436E9">
        <w:rPr>
          <w:lang w:val="en-GB"/>
        </w:rPr>
        <w:t xml:space="preserve">could indicate different types of violence (e.g., sexual) and </w:t>
      </w:r>
      <w:r w:rsidR="00954646" w:rsidRPr="006436E9">
        <w:rPr>
          <w:lang w:val="en-GB"/>
        </w:rPr>
        <w:t xml:space="preserve">the </w:t>
      </w:r>
      <w:r w:rsidRPr="006436E9">
        <w:rPr>
          <w:lang w:val="en-GB"/>
        </w:rPr>
        <w:t>relationship to the perpetrator can be harmful</w:t>
      </w:r>
      <w:r w:rsidR="00954646" w:rsidRPr="006436E9">
        <w:rPr>
          <w:lang w:val="en-GB"/>
        </w:rPr>
        <w:t>,</w:t>
      </w:r>
      <w:r w:rsidRPr="006436E9">
        <w:rPr>
          <w:lang w:val="en-GB"/>
        </w:rPr>
        <w:t xml:space="preserve"> as it potentially hide</w:t>
      </w:r>
      <w:r w:rsidR="00954646" w:rsidRPr="006436E9">
        <w:rPr>
          <w:lang w:val="en-GB"/>
        </w:rPr>
        <w:t>s</w:t>
      </w:r>
      <w:r w:rsidRPr="006436E9">
        <w:rPr>
          <w:lang w:val="en-GB"/>
        </w:rPr>
        <w:t xml:space="preserve"> violence that affects certain population groups</w:t>
      </w:r>
      <w:r w:rsidR="00954646" w:rsidRPr="006436E9">
        <w:rPr>
          <w:lang w:val="en-GB"/>
        </w:rPr>
        <w:t>,</w:t>
      </w:r>
      <w:r w:rsidRPr="006436E9">
        <w:rPr>
          <w:lang w:val="en-GB"/>
        </w:rPr>
        <w:t xml:space="preserve"> including women, older people, and children. This also makes it more challenging to correctly assess </w:t>
      </w:r>
      <w:r w:rsidR="007D3950" w:rsidRPr="006436E9">
        <w:rPr>
          <w:lang w:val="en-GB"/>
        </w:rPr>
        <w:t xml:space="preserve">the </w:t>
      </w:r>
      <w:r w:rsidRPr="006436E9">
        <w:rPr>
          <w:lang w:val="en-GB"/>
        </w:rPr>
        <w:t>health effects and costs associated with violence and abuse. For example, sexual violence is strongly associated with mental health impacts that often require long-term support (</w:t>
      </w:r>
      <w:r w:rsidR="00807D56" w:rsidRPr="006436E9">
        <w:rPr>
          <w:szCs w:val="18"/>
          <w:lang w:val="en-GB"/>
        </w:rPr>
        <w:t>Hughes et al. 2019</w:t>
      </w:r>
      <w:r w:rsidRPr="006436E9">
        <w:rPr>
          <w:lang w:val="en-GB"/>
        </w:rPr>
        <w:t>). Furthermore, experience</w:t>
      </w:r>
      <w:r w:rsidR="00954646" w:rsidRPr="006436E9">
        <w:rPr>
          <w:lang w:val="en-GB"/>
        </w:rPr>
        <w:t>s</w:t>
      </w:r>
      <w:r w:rsidRPr="006436E9">
        <w:rPr>
          <w:lang w:val="en-GB"/>
        </w:rPr>
        <w:t xml:space="preserve"> of repeated violence</w:t>
      </w:r>
      <w:r w:rsidR="00954646" w:rsidRPr="006436E9">
        <w:rPr>
          <w:lang w:val="en-GB"/>
        </w:rPr>
        <w:t>,</w:t>
      </w:r>
      <w:r w:rsidRPr="006436E9">
        <w:rPr>
          <w:lang w:val="en-GB"/>
        </w:rPr>
        <w:t xml:space="preserve"> such as in the context of childhood abuse (</w:t>
      </w:r>
      <w:r w:rsidR="00807D56" w:rsidRPr="006436E9">
        <w:rPr>
          <w:szCs w:val="18"/>
          <w:lang w:val="en-GB"/>
        </w:rPr>
        <w:t>Hughes K et al. 2017</w:t>
      </w:r>
      <w:r w:rsidRPr="006436E9">
        <w:rPr>
          <w:lang w:val="en-GB"/>
        </w:rPr>
        <w:t>) or IPV</w:t>
      </w:r>
      <w:r w:rsidR="00954646" w:rsidRPr="006436E9">
        <w:rPr>
          <w:lang w:val="en-GB"/>
        </w:rPr>
        <w:t>,</w:t>
      </w:r>
      <w:r w:rsidRPr="006436E9">
        <w:rPr>
          <w:lang w:val="en-GB"/>
        </w:rPr>
        <w:t xml:space="preserve"> can have more prolonged and considerable health impacts than one-time exposure (</w:t>
      </w:r>
      <w:r w:rsidR="00807D56" w:rsidRPr="006436E9">
        <w:rPr>
          <w:szCs w:val="18"/>
          <w:lang w:val="en-GB"/>
        </w:rPr>
        <w:t>Bacchus et al. 2018</w:t>
      </w:r>
      <w:r w:rsidRPr="006436E9">
        <w:rPr>
          <w:lang w:val="en-GB"/>
        </w:rPr>
        <w:t xml:space="preserve">). The lack of information on these types of violence might lead to </w:t>
      </w:r>
      <w:r w:rsidR="00954646" w:rsidRPr="006436E9">
        <w:rPr>
          <w:lang w:val="en-GB"/>
        </w:rPr>
        <w:t xml:space="preserve">the </w:t>
      </w:r>
      <w:r w:rsidRPr="006436E9">
        <w:rPr>
          <w:lang w:val="en-GB"/>
        </w:rPr>
        <w:t xml:space="preserve">underestimation of its impacts. For this reason, CPRD data </w:t>
      </w:r>
      <w:r w:rsidR="0024060B" w:rsidRPr="006436E9">
        <w:rPr>
          <w:lang w:val="en-GB"/>
        </w:rPr>
        <w:t xml:space="preserve">are </w:t>
      </w:r>
      <w:r w:rsidRPr="006436E9">
        <w:rPr>
          <w:lang w:val="en-GB"/>
        </w:rPr>
        <w:t xml:space="preserve">more suitable for understanding gender-based violence, as </w:t>
      </w:r>
      <w:r w:rsidR="00954646" w:rsidRPr="006436E9">
        <w:rPr>
          <w:lang w:val="en-GB"/>
        </w:rPr>
        <w:t xml:space="preserve">they </w:t>
      </w:r>
      <w:r w:rsidRPr="006436E9">
        <w:rPr>
          <w:lang w:val="en-GB"/>
        </w:rPr>
        <w:t xml:space="preserve">use safeguarding codes that allow for identifying DV and IPV. Furthermore, as a primary care database, </w:t>
      </w:r>
      <w:r w:rsidR="0024060B" w:rsidRPr="006436E9">
        <w:rPr>
          <w:lang w:val="en-GB"/>
        </w:rPr>
        <w:t xml:space="preserve">the </w:t>
      </w:r>
      <w:r w:rsidRPr="006436E9">
        <w:rPr>
          <w:lang w:val="en-GB"/>
        </w:rPr>
        <w:t>CPRD has information on patients with health harms that are more likely to be associated with gender-based violence</w:t>
      </w:r>
      <w:r w:rsidR="00954646" w:rsidRPr="006436E9">
        <w:rPr>
          <w:lang w:val="en-GB"/>
        </w:rPr>
        <w:t>,</w:t>
      </w:r>
      <w:r w:rsidRPr="006436E9">
        <w:rPr>
          <w:lang w:val="en-GB"/>
        </w:rPr>
        <w:t xml:space="preserve"> such as mental health issues and chronic conditions (</w:t>
      </w:r>
      <w:r w:rsidR="00807D56" w:rsidRPr="006436E9">
        <w:rPr>
          <w:szCs w:val="18"/>
          <w:lang w:val="en-GB"/>
        </w:rPr>
        <w:t>Usta and Taleb 2014</w:t>
      </w:r>
      <w:r w:rsidRPr="006436E9">
        <w:rPr>
          <w:lang w:val="en-GB"/>
        </w:rPr>
        <w:t>).</w:t>
      </w:r>
    </w:p>
    <w:p w14:paraId="53FA3F79" w14:textId="429D8C07" w:rsidR="000420B5" w:rsidRPr="006436E9" w:rsidRDefault="000420B5" w:rsidP="00EF6C1C">
      <w:pPr>
        <w:pStyle w:val="MDPI31text"/>
        <w:rPr>
          <w:lang w:val="en-GB"/>
        </w:rPr>
      </w:pPr>
      <w:r w:rsidRPr="006436E9">
        <w:rPr>
          <w:lang w:val="en-GB"/>
        </w:rPr>
        <w:t xml:space="preserve">Because the safeguarding item in </w:t>
      </w:r>
      <w:r w:rsidR="00954646" w:rsidRPr="006436E9">
        <w:rPr>
          <w:lang w:val="en-GB"/>
        </w:rPr>
        <w:t xml:space="preserve">the </w:t>
      </w:r>
      <w:r w:rsidRPr="006436E9">
        <w:rPr>
          <w:lang w:val="en-GB"/>
        </w:rPr>
        <w:t xml:space="preserve">ECDS may be missing due to concerns about the quality of </w:t>
      </w:r>
      <w:r w:rsidR="007D3950" w:rsidRPr="006436E9">
        <w:rPr>
          <w:lang w:val="en-GB"/>
        </w:rPr>
        <w:t xml:space="preserve">the </w:t>
      </w:r>
      <w:r w:rsidRPr="006436E9">
        <w:rPr>
          <w:lang w:val="en-GB"/>
        </w:rPr>
        <w:t>collected information, data collection and recording need to be improved.</w:t>
      </w:r>
      <w:r w:rsidR="005506C6" w:rsidRPr="006436E9">
        <w:rPr>
          <w:lang w:val="en-GB"/>
        </w:rPr>
        <w:t xml:space="preserve"> </w:t>
      </w:r>
      <w:r w:rsidRPr="006436E9">
        <w:rPr>
          <w:lang w:val="en-GB"/>
        </w:rPr>
        <w:t>One suggestion is to improve health professionals’ awareness of the importance of collecting information on violence in healthcare settings, develop guidance on how to inquire about it, and incorporate the recommendations in healthcare training. For example, interviewing a patient who has experienced violence could be a part of professional training and assessment. This could give healthcare professionals an opportunity to practice talking with such patients about their experiences and record this information. Healthcare training could also include more content on the importance of recording information on violence by highlighting the utility of this information for research and violence prevention. There have been examples of integrating violence prevention teams with emergency services</w:t>
      </w:r>
      <w:r w:rsidR="00954646" w:rsidRPr="006436E9">
        <w:rPr>
          <w:lang w:val="en-GB"/>
        </w:rPr>
        <w:t>,</w:t>
      </w:r>
      <w:r w:rsidRPr="006436E9">
        <w:rPr>
          <w:lang w:val="en-GB"/>
        </w:rPr>
        <w:t xml:space="preserve"> such as </w:t>
      </w:r>
      <w:r w:rsidR="00954646" w:rsidRPr="006436E9">
        <w:rPr>
          <w:lang w:val="en-GB"/>
        </w:rPr>
        <w:t xml:space="preserve">the </w:t>
      </w:r>
      <w:r w:rsidRPr="006436E9">
        <w:rPr>
          <w:lang w:val="en-GB"/>
        </w:rPr>
        <w:t>Violence Prevention Unit (VPU) in Wales, which is based within the two main hospitals and trauma centres in South Wales</w:t>
      </w:r>
      <w:r w:rsidR="005506C6" w:rsidRPr="006436E9">
        <w:rPr>
          <w:lang w:val="en-GB"/>
        </w:rPr>
        <w:t>—</w:t>
      </w:r>
      <w:r w:rsidRPr="006436E9">
        <w:rPr>
          <w:lang w:val="en-GB"/>
        </w:rPr>
        <w:t>Cardiff and Swansea (</w:t>
      </w:r>
      <w:bookmarkStart w:id="19" w:name="_Hlk160032403"/>
      <w:r w:rsidR="00807D56" w:rsidRPr="006436E9">
        <w:rPr>
          <w:szCs w:val="18"/>
          <w:lang w:val="en-GB"/>
        </w:rPr>
        <w:t>Hofner et al. 2005</w:t>
      </w:r>
      <w:bookmarkEnd w:id="19"/>
      <w:r w:rsidRPr="006436E9">
        <w:rPr>
          <w:lang w:val="en-GB"/>
        </w:rPr>
        <w:t>). These teams consist of nurses and social workers/case workers who support those attending ED</w:t>
      </w:r>
      <w:r w:rsidR="00954646" w:rsidRPr="006436E9">
        <w:rPr>
          <w:lang w:val="en-GB"/>
        </w:rPr>
        <w:t>s</w:t>
      </w:r>
      <w:r w:rsidRPr="006436E9">
        <w:rPr>
          <w:lang w:val="en-GB"/>
        </w:rPr>
        <w:t xml:space="preserve"> with assault</w:t>
      </w:r>
      <w:r w:rsidR="00954646" w:rsidRPr="006436E9">
        <w:rPr>
          <w:lang w:val="en-GB"/>
        </w:rPr>
        <w:t>-</w:t>
      </w:r>
      <w:r w:rsidRPr="006436E9">
        <w:rPr>
          <w:lang w:val="en-GB"/>
        </w:rPr>
        <w:t>related injur</w:t>
      </w:r>
      <w:r w:rsidR="00954646" w:rsidRPr="006436E9">
        <w:rPr>
          <w:lang w:val="en-GB"/>
        </w:rPr>
        <w:t>ies</w:t>
      </w:r>
      <w:r w:rsidRPr="006436E9">
        <w:rPr>
          <w:lang w:val="en-GB"/>
        </w:rPr>
        <w:t>. Their role is to identify any risk factors and potential areas of intervention related to unmet need</w:t>
      </w:r>
      <w:r w:rsidR="007D3950" w:rsidRPr="006436E9">
        <w:rPr>
          <w:lang w:val="en-GB"/>
        </w:rPr>
        <w:t>s</w:t>
      </w:r>
      <w:r w:rsidRPr="006436E9">
        <w:rPr>
          <w:lang w:val="en-GB"/>
        </w:rPr>
        <w:t xml:space="preserve"> that may contribut</w:t>
      </w:r>
      <w:r w:rsidR="00954646" w:rsidRPr="006436E9">
        <w:rPr>
          <w:lang w:val="en-GB"/>
        </w:rPr>
        <w:t xml:space="preserve">e </w:t>
      </w:r>
      <w:r w:rsidRPr="006436E9">
        <w:rPr>
          <w:lang w:val="en-GB"/>
        </w:rPr>
        <w:t xml:space="preserve">to their involvement in violence. The prevention teams also train hospital staff to ask questions to patients </w:t>
      </w:r>
      <w:r w:rsidR="007D3950" w:rsidRPr="006436E9">
        <w:rPr>
          <w:lang w:val="en-GB"/>
        </w:rPr>
        <w:t xml:space="preserve">about </w:t>
      </w:r>
      <w:r w:rsidRPr="006436E9">
        <w:rPr>
          <w:lang w:val="en-GB"/>
        </w:rPr>
        <w:t>experiences of violence</w:t>
      </w:r>
      <w:r w:rsidR="00954646" w:rsidRPr="006436E9">
        <w:rPr>
          <w:lang w:val="en-GB"/>
        </w:rPr>
        <w:t>,</w:t>
      </w:r>
      <w:r w:rsidRPr="006436E9">
        <w:rPr>
          <w:lang w:val="en-GB"/>
        </w:rPr>
        <w:t xml:space="preserve"> with a clear referral system into the VPU. Such initiatives need to become more widespread across the health sector.</w:t>
      </w:r>
    </w:p>
    <w:p w14:paraId="4261FA98" w14:textId="35492757" w:rsidR="000420B5" w:rsidRPr="006436E9" w:rsidRDefault="000420B5" w:rsidP="00EF6C1C">
      <w:pPr>
        <w:pStyle w:val="MDPI31text"/>
        <w:rPr>
          <w:lang w:val="en-GB"/>
        </w:rPr>
      </w:pPr>
      <w:r w:rsidRPr="006436E9">
        <w:rPr>
          <w:lang w:val="en-GB"/>
        </w:rPr>
        <w:t xml:space="preserve">Additionally, the exclusion of ethnicity information in the provided extracts did not allow </w:t>
      </w:r>
      <w:r w:rsidR="00954646" w:rsidRPr="006436E9">
        <w:rPr>
          <w:lang w:val="en-GB"/>
        </w:rPr>
        <w:t xml:space="preserve">the </w:t>
      </w:r>
      <w:r w:rsidRPr="006436E9">
        <w:rPr>
          <w:lang w:val="en-GB"/>
        </w:rPr>
        <w:t>estimati</w:t>
      </w:r>
      <w:r w:rsidR="00954646" w:rsidRPr="006436E9">
        <w:rPr>
          <w:lang w:val="en-GB"/>
        </w:rPr>
        <w:t>on of</w:t>
      </w:r>
      <w:r w:rsidRPr="006436E9">
        <w:rPr>
          <w:lang w:val="en-GB"/>
        </w:rPr>
        <w:t xml:space="preserve"> the distribution of violence (and other social determinants) by an important intersectional characteristic. It is known that crime victimisation rates vary among different ethnic groups </w:t>
      </w:r>
      <w:r w:rsidR="00D36B3E" w:rsidRPr="00D36B3E">
        <w:rPr>
          <w:lang w:val="en-GB"/>
        </w:rPr>
        <w:t>(Office for National Statistics 2021)</w:t>
      </w:r>
      <w:r w:rsidRPr="006436E9">
        <w:rPr>
          <w:lang w:val="en-GB"/>
        </w:rPr>
        <w:fldChar w:fldCharType="begin"/>
      </w:r>
      <w:r w:rsidR="00510B5C" w:rsidRPr="006436E9">
        <w:rPr>
          <w:lang w:val="en-GB"/>
        </w:rPr>
        <w:instrText xml:space="preserve"> ADDIN EN.CITE &lt;EndNote&gt;&lt;Cite&gt;&lt;Author&gt;Office for National Statistics&lt;/Author&gt;&lt;Year&gt;2021&lt;/Year&gt;&lt;RecNum&gt;265&lt;/RecNum&gt;&lt;record&gt;&lt;rec-number&gt;265&lt;/rec-number&gt;&lt;foreign-keys&gt;&lt;key app="EN" db-id="ea20aprfuxefvgeet96vdtfxv90eesr9t5tt" timestamp="1690297635"&gt;265&lt;/key&gt;&lt;/foreign-keys&gt;&lt;ref-type name="Report"&gt;27&lt;/ref-type&gt;&lt;contributors&gt;&lt;authors&gt;&lt;author&gt;Office for National Statistics, &lt;/author&gt;&lt;/authors&gt;&lt;/contributors&gt;&lt;titles&gt;&lt;title&gt;Victims of crime&lt;/title&gt;&lt;/titles&gt;&lt;dates&gt;&lt;year&gt;2021&lt;/year&gt;&lt;/dates&gt;&lt;urls&gt;&lt;related-urls&gt;&lt;url&gt;https://www.ethnicity-facts-figures.service.gov.uk/crime-justice-and-the-law/crime-and-reoffending/victims-of-crime/latest#main-facts-and-figures&lt;/url&gt;&lt;/related-urls&gt;&lt;/urls&gt;&lt;/record&gt;&lt;/Cite&gt;&lt;/EndNote&gt;</w:instrText>
      </w:r>
      <w:r w:rsidRPr="006436E9">
        <w:rPr>
          <w:lang w:val="en-GB"/>
        </w:rPr>
        <w:fldChar w:fldCharType="end"/>
      </w:r>
      <w:r w:rsidRPr="006436E9">
        <w:rPr>
          <w:lang w:val="en-GB"/>
        </w:rPr>
        <w:t xml:space="preserve">. Health impacts associated with violence </w:t>
      </w:r>
      <w:r w:rsidR="00865C5F" w:rsidRPr="00865C5F">
        <w:rPr>
          <w:lang w:val="en-GB"/>
        </w:rPr>
        <w:t>(Stockman et al. 2015)</w:t>
      </w:r>
      <w:r w:rsidRPr="006436E9">
        <w:rPr>
          <w:lang w:val="en-GB"/>
        </w:rPr>
        <w:fldChar w:fldCharType="begin"/>
      </w:r>
      <w:r w:rsidR="00510B5C" w:rsidRPr="006436E9">
        <w:rPr>
          <w:lang w:val="en-GB"/>
        </w:rPr>
        <w:instrText xml:space="preserve"> ADDIN EN.CITE &lt;EndNote&gt;&lt;Cite&gt;&lt;Author&gt;Stockman&lt;/Author&gt;&lt;Year&gt;2015&lt;/Year&gt;&lt;RecNum&gt;264&lt;/RecNum&gt;&lt;record&gt;&lt;rec-number&gt;264&lt;/rec-number&gt;&lt;foreign-keys&gt;&lt;key app="EN" db-id="ea20aprfuxefvgeet96vdtfxv90eesr9t5tt" timestamp="1690297124"&gt;264&lt;/key&gt;&lt;/foreign-keys&gt;&lt;ref-type name="Journal Article"&gt;17&lt;/ref-type&gt;&lt;contributors&gt;&lt;authors&gt;&lt;author&gt;Stockman, Jamila K&lt;/author&gt;&lt;author&gt;Hayashi, Hitomi&lt;/author&gt;&lt;author&gt;Campbell, Jacquelyn C&lt;/author&gt;&lt;/authors&gt;&lt;/contributors&gt;&lt;titles&gt;&lt;title&gt;Intimate partner violence and its health impact on ethnic minority women&lt;/title&gt;&lt;secondary-title&gt;Journal of Women&amp;apos;s Health&lt;/secondary-title&gt;&lt;/titles&gt;&lt;periodical&gt;&lt;full-title&gt;Journal of women&amp;apos;s health&lt;/full-title&gt;&lt;/periodical&gt;&lt;pages&gt;62-79&lt;/pages&gt;&lt;volume&gt;24&lt;/volume&gt;&lt;number&gt;1&lt;/number&gt;&lt;dates&gt;&lt;year&gt;2015&lt;/year&gt;&lt;/dates&gt;&lt;isbn&gt;1540-9996&lt;/isbn&gt;&lt;urls&gt;&lt;/urls&gt;&lt;/record&gt;&lt;/Cite&gt;&lt;/EndNote&gt;</w:instrText>
      </w:r>
      <w:r w:rsidRPr="006436E9">
        <w:rPr>
          <w:lang w:val="en-GB"/>
        </w:rPr>
        <w:fldChar w:fldCharType="end"/>
      </w:r>
      <w:r w:rsidRPr="006436E9">
        <w:rPr>
          <w:lang w:val="en-GB"/>
        </w:rPr>
        <w:t xml:space="preserve"> and the provided support </w:t>
      </w:r>
      <w:r w:rsidR="008B7EC8" w:rsidRPr="008B7EC8">
        <w:rPr>
          <w:lang w:val="en-GB"/>
        </w:rPr>
        <w:t>(Lipscombe et al. 2023)</w:t>
      </w:r>
      <w:r w:rsidRPr="006436E9">
        <w:rPr>
          <w:lang w:val="en-GB"/>
        </w:rPr>
        <w:fldChar w:fldCharType="begin"/>
      </w:r>
      <w:r w:rsidR="00510B5C" w:rsidRPr="006436E9">
        <w:rPr>
          <w:lang w:val="en-GB"/>
        </w:rPr>
        <w:instrText xml:space="preserve"> ADDIN EN.CITE &lt;EndNote&gt;&lt;Cite&gt;&lt;Author&gt;Lipscombe&lt;/Author&gt;&lt;Year&gt;2023&lt;/Year&gt;&lt;RecNum&gt;263&lt;/RecNum&gt;&lt;record&gt;&lt;rec-number&gt;263&lt;/rec-number&gt;&lt;foreign-keys&gt;&lt;key app="EN" db-id="ea20aprfuxefvgeet96vdtfxv90eesr9t5tt" timestamp="1690296847"&gt;263&lt;/key&gt;&lt;/foreign-keys&gt;&lt;ref-type name="Report"&gt;27&lt;/ref-type&gt;&lt;contributors&gt;&lt;authors&gt;&lt;author&gt;Lipscombe, Sally &lt;/author&gt;&lt;author&gt;Meade, Lulu &lt;/author&gt;&lt;author&gt;Lalic, Maria &lt;/author&gt;&lt;author&gt;Sturge, Georgina &lt;/author&gt;&lt;/authors&gt;&lt;/contributors&gt;&lt;titles&gt;&lt;title&gt;Criminalisation of victims of violence against women from ethnic minority and migrant communities&lt;/title&gt;&lt;/titles&gt;&lt;dates&gt;&lt;year&gt;2023&lt;/year&gt;&lt;/dates&gt;&lt;publisher&gt;House of Commons&lt;/publisher&gt;&lt;urls&gt;&lt;/urls&gt;&lt;/record&gt;&lt;/Cite&gt;&lt;/EndNote&gt;</w:instrText>
      </w:r>
      <w:r w:rsidRPr="006436E9">
        <w:rPr>
          <w:lang w:val="en-GB"/>
        </w:rPr>
        <w:fldChar w:fldCharType="end"/>
      </w:r>
      <w:r w:rsidRPr="006436E9">
        <w:rPr>
          <w:lang w:val="en-GB"/>
        </w:rPr>
        <w:t xml:space="preserve"> also differ between ethnic groups. There is often a lack of evidence on violence in ethnic minority groups due to small sample sizes for subgroups in surveys, and large national administrative data sources could potentially address this limitation.</w:t>
      </w:r>
    </w:p>
    <w:p w14:paraId="43D779CD" w14:textId="0FD7F3D4" w:rsidR="000420B5" w:rsidRPr="006436E9" w:rsidRDefault="000420B5" w:rsidP="00EF6C1C">
      <w:pPr>
        <w:pStyle w:val="MDPI31text"/>
        <w:rPr>
          <w:lang w:val="en-GB"/>
        </w:rPr>
      </w:pPr>
      <w:r w:rsidRPr="006436E9">
        <w:rPr>
          <w:lang w:val="en-GB"/>
        </w:rPr>
        <w:t xml:space="preserve">A public health approach to violence also needs to be underpinned with more comprehensive and complete coding of violence in </w:t>
      </w:r>
      <w:bookmarkStart w:id="20" w:name="_Hlk107570374"/>
      <w:r w:rsidRPr="006436E9">
        <w:rPr>
          <w:lang w:val="en-GB"/>
        </w:rPr>
        <w:t>administrative health databases</w:t>
      </w:r>
      <w:bookmarkEnd w:id="20"/>
      <w:r w:rsidRPr="006436E9">
        <w:rPr>
          <w:lang w:val="en-GB"/>
        </w:rPr>
        <w:t>. Within the medical classifications and coding systems, we recommend developing flags for violence that are clear</w:t>
      </w:r>
      <w:r w:rsidR="00954646" w:rsidRPr="006436E9">
        <w:rPr>
          <w:lang w:val="en-GB"/>
        </w:rPr>
        <w:t xml:space="preserve"> and </w:t>
      </w:r>
      <w:r w:rsidRPr="006436E9">
        <w:rPr>
          <w:lang w:val="en-GB"/>
        </w:rPr>
        <w:t xml:space="preserve">consistent and reduce reliance on individual interpretation. Another suggestion would be to develop data recording system technology to enable a uniform approach to data collection. All the discussed datasets lack information on broader social determinants, such as education </w:t>
      </w:r>
      <w:r w:rsidR="00954646" w:rsidRPr="006436E9">
        <w:rPr>
          <w:lang w:val="en-GB"/>
        </w:rPr>
        <w:t xml:space="preserve">and </w:t>
      </w:r>
      <w:r w:rsidRPr="006436E9">
        <w:rPr>
          <w:lang w:val="en-GB"/>
        </w:rPr>
        <w:t>income. Linkage to other datasets where this information is recorded would</w:t>
      </w:r>
      <w:r w:rsidR="00954646" w:rsidRPr="006436E9">
        <w:rPr>
          <w:lang w:val="en-GB"/>
        </w:rPr>
        <w:t>,</w:t>
      </w:r>
      <w:r w:rsidRPr="006436E9">
        <w:rPr>
          <w:lang w:val="en-GB"/>
        </w:rPr>
        <w:t xml:space="preserve"> therefore</w:t>
      </w:r>
      <w:r w:rsidR="00954646" w:rsidRPr="006436E9">
        <w:rPr>
          <w:lang w:val="en-GB"/>
        </w:rPr>
        <w:t>,</w:t>
      </w:r>
      <w:r w:rsidRPr="006436E9">
        <w:rPr>
          <w:lang w:val="en-GB"/>
        </w:rPr>
        <w:t xml:space="preserve"> be beneficial.</w:t>
      </w:r>
    </w:p>
    <w:p w14:paraId="3C688C7B" w14:textId="3C222B98" w:rsidR="000420B5" w:rsidRPr="006436E9" w:rsidRDefault="000420B5" w:rsidP="00EF6C1C">
      <w:pPr>
        <w:pStyle w:val="MDPI31text"/>
        <w:rPr>
          <w:lang w:val="en-GB"/>
        </w:rPr>
      </w:pPr>
      <w:r w:rsidRPr="006436E9">
        <w:rPr>
          <w:lang w:val="en-GB"/>
        </w:rPr>
        <w:t>Academics, public health professionals, and policymakers often rely on data dictionaries when choosing appropriate data sources for their research. Therefore, it is recommended that data holders make it clear</w:t>
      </w:r>
      <w:r w:rsidR="007D3950" w:rsidRPr="006436E9">
        <w:rPr>
          <w:lang w:val="en-GB"/>
        </w:rPr>
        <w:t>er</w:t>
      </w:r>
      <w:r w:rsidRPr="006436E9">
        <w:rPr>
          <w:lang w:val="en-GB"/>
        </w:rPr>
        <w:t xml:space="preserve"> what information is available within specific </w:t>
      </w:r>
      <w:r w:rsidRPr="006436E9">
        <w:rPr>
          <w:lang w:val="en-GB"/>
        </w:rPr>
        <w:lastRenderedPageBreak/>
        <w:t xml:space="preserve">datasets and why some data items might not </w:t>
      </w:r>
      <w:r w:rsidR="00954646" w:rsidRPr="006436E9">
        <w:rPr>
          <w:lang w:val="en-GB"/>
        </w:rPr>
        <w:t xml:space="preserve">be </w:t>
      </w:r>
      <w:r w:rsidRPr="006436E9">
        <w:rPr>
          <w:lang w:val="en-GB"/>
        </w:rPr>
        <w:t>accessible despite being present in data dictionaries.</w:t>
      </w:r>
    </w:p>
    <w:p w14:paraId="11E230D0" w14:textId="2FAD7881" w:rsidR="000420B5" w:rsidRPr="006436E9" w:rsidRDefault="00EF6C1C" w:rsidP="00EF6C1C">
      <w:pPr>
        <w:pStyle w:val="MDPI62BackMatter"/>
        <w:spacing w:before="240"/>
        <w:rPr>
          <w:lang w:val="en-GB"/>
        </w:rPr>
      </w:pPr>
      <w:r w:rsidRPr="006436E9">
        <w:rPr>
          <w:b/>
          <w:lang w:val="en-GB"/>
        </w:rPr>
        <w:t>Supplementary Material</w:t>
      </w:r>
      <w:r w:rsidR="000420B5" w:rsidRPr="006436E9">
        <w:rPr>
          <w:b/>
          <w:lang w:val="en-GB"/>
        </w:rPr>
        <w:t xml:space="preserve">s: </w:t>
      </w:r>
      <w:r w:rsidR="000420B5" w:rsidRPr="006436E9">
        <w:rPr>
          <w:lang w:val="en-GB"/>
        </w:rPr>
        <w:t xml:space="preserve">The following supporting information can be downloaded at: www.mdpi.com/xxx/s1, Table S1: </w:t>
      </w:r>
      <w:r w:rsidR="0036644F" w:rsidRPr="006436E9">
        <w:rPr>
          <w:lang w:val="en-GB"/>
        </w:rPr>
        <w:t>International Classification of Disease (ICD-10) flags for violence</w:t>
      </w:r>
      <w:r w:rsidR="000420B5" w:rsidRPr="006436E9">
        <w:rPr>
          <w:lang w:val="en-GB"/>
        </w:rPr>
        <w:t>.</w:t>
      </w:r>
    </w:p>
    <w:p w14:paraId="2D776525" w14:textId="437DCFD3" w:rsidR="000420B5" w:rsidRPr="006436E9" w:rsidRDefault="00EF6C1C" w:rsidP="00EF6C1C">
      <w:pPr>
        <w:pStyle w:val="MDPI62BackMatter"/>
        <w:rPr>
          <w:lang w:val="en-GB"/>
        </w:rPr>
      </w:pPr>
      <w:r w:rsidRPr="006436E9">
        <w:rPr>
          <w:b/>
          <w:lang w:val="en-GB"/>
        </w:rPr>
        <w:t>Author Contribution</w:t>
      </w:r>
      <w:r w:rsidR="000420B5" w:rsidRPr="006436E9">
        <w:rPr>
          <w:b/>
          <w:lang w:val="en-GB"/>
        </w:rPr>
        <w:t xml:space="preserve">s: </w:t>
      </w:r>
      <w:r w:rsidR="000420B5" w:rsidRPr="006436E9">
        <w:rPr>
          <w:lang w:val="en-GB"/>
        </w:rPr>
        <w:t>Conceptuali</w:t>
      </w:r>
      <w:r w:rsidR="007D3950" w:rsidRPr="006436E9">
        <w:rPr>
          <w:lang w:val="en-GB"/>
        </w:rPr>
        <w:t>s</w:t>
      </w:r>
      <w:r w:rsidR="000420B5" w:rsidRPr="006436E9">
        <w:rPr>
          <w:lang w:val="en-GB"/>
        </w:rPr>
        <w:t>ation, A</w:t>
      </w:r>
      <w:r w:rsidR="003D2418" w:rsidRPr="006436E9">
        <w:rPr>
          <w:lang w:val="en-GB"/>
        </w:rPr>
        <w:t>.</w:t>
      </w:r>
      <w:r w:rsidR="000420B5" w:rsidRPr="006436E9">
        <w:rPr>
          <w:lang w:val="en-GB"/>
        </w:rPr>
        <w:t>F</w:t>
      </w:r>
      <w:r w:rsidR="003D2418" w:rsidRPr="006436E9">
        <w:rPr>
          <w:lang w:val="en-GB"/>
        </w:rPr>
        <w:t>.</w:t>
      </w:r>
      <w:r w:rsidR="000420B5" w:rsidRPr="006436E9">
        <w:rPr>
          <w:lang w:val="en-GB"/>
        </w:rPr>
        <w:t>, S</w:t>
      </w:r>
      <w:r w:rsidR="003D2418" w:rsidRPr="006436E9">
        <w:rPr>
          <w:lang w:val="en-GB"/>
        </w:rPr>
        <w:t>.</w:t>
      </w:r>
      <w:r w:rsidR="000420B5" w:rsidRPr="006436E9">
        <w:rPr>
          <w:lang w:val="en-GB"/>
        </w:rPr>
        <w:t>M</w:t>
      </w:r>
      <w:r w:rsidR="003D2418" w:rsidRPr="006436E9">
        <w:rPr>
          <w:lang w:val="en-GB"/>
        </w:rPr>
        <w:t>.</w:t>
      </w:r>
      <w:r w:rsidR="0024060B" w:rsidRPr="006436E9">
        <w:rPr>
          <w:lang w:val="en-GB"/>
        </w:rPr>
        <w:t>,</w:t>
      </w:r>
      <w:r w:rsidR="000420B5" w:rsidRPr="006436E9">
        <w:rPr>
          <w:lang w:val="en-GB"/>
        </w:rPr>
        <w:t xml:space="preserve"> and E</w:t>
      </w:r>
      <w:r w:rsidR="003D2418" w:rsidRPr="006436E9">
        <w:rPr>
          <w:lang w:val="en-GB"/>
        </w:rPr>
        <w:t>.</w:t>
      </w:r>
      <w:r w:rsidR="005D447A" w:rsidRPr="006436E9">
        <w:rPr>
          <w:lang w:val="en-GB"/>
        </w:rPr>
        <w:t>C.</w:t>
      </w:r>
      <w:r w:rsidR="000420B5" w:rsidRPr="006436E9">
        <w:rPr>
          <w:lang w:val="en-GB"/>
        </w:rPr>
        <w:t>B</w:t>
      </w:r>
      <w:r w:rsidR="003D2418" w:rsidRPr="006436E9">
        <w:rPr>
          <w:lang w:val="en-GB"/>
        </w:rPr>
        <w:t>.</w:t>
      </w:r>
      <w:r w:rsidR="000420B5" w:rsidRPr="006436E9">
        <w:rPr>
          <w:lang w:val="en-GB"/>
        </w:rPr>
        <w:t>; Methodology, A</w:t>
      </w:r>
      <w:r w:rsidR="003D2418" w:rsidRPr="006436E9">
        <w:rPr>
          <w:lang w:val="en-GB"/>
        </w:rPr>
        <w:t>.</w:t>
      </w:r>
      <w:r w:rsidR="000420B5" w:rsidRPr="006436E9">
        <w:rPr>
          <w:lang w:val="en-GB"/>
        </w:rPr>
        <w:t>F</w:t>
      </w:r>
      <w:r w:rsidR="003D2418" w:rsidRPr="006436E9">
        <w:rPr>
          <w:lang w:val="en-GB"/>
        </w:rPr>
        <w:t>.</w:t>
      </w:r>
      <w:r w:rsidR="000420B5" w:rsidRPr="006436E9">
        <w:rPr>
          <w:lang w:val="en-GB"/>
        </w:rPr>
        <w:t>; Validation, S</w:t>
      </w:r>
      <w:r w:rsidR="003D2418" w:rsidRPr="006436E9">
        <w:rPr>
          <w:lang w:val="en-GB"/>
        </w:rPr>
        <w:t>.</w:t>
      </w:r>
      <w:r w:rsidR="000420B5" w:rsidRPr="006436E9">
        <w:rPr>
          <w:lang w:val="en-GB"/>
        </w:rPr>
        <w:t>M</w:t>
      </w:r>
      <w:r w:rsidR="003D2418" w:rsidRPr="006436E9">
        <w:rPr>
          <w:lang w:val="en-GB"/>
        </w:rPr>
        <w:t>.</w:t>
      </w:r>
      <w:r w:rsidR="000420B5" w:rsidRPr="006436E9">
        <w:rPr>
          <w:lang w:val="en-GB"/>
        </w:rPr>
        <w:t xml:space="preserve"> and E</w:t>
      </w:r>
      <w:r w:rsidR="003D2418" w:rsidRPr="006436E9">
        <w:rPr>
          <w:lang w:val="en-GB"/>
        </w:rPr>
        <w:t>.</w:t>
      </w:r>
      <w:r w:rsidR="000420B5" w:rsidRPr="006436E9">
        <w:rPr>
          <w:lang w:val="en-GB"/>
        </w:rPr>
        <w:t>C</w:t>
      </w:r>
      <w:r w:rsidR="003D2418" w:rsidRPr="006436E9">
        <w:rPr>
          <w:lang w:val="en-GB"/>
        </w:rPr>
        <w:t>.</w:t>
      </w:r>
      <w:r w:rsidR="000420B5" w:rsidRPr="006436E9">
        <w:rPr>
          <w:lang w:val="en-GB"/>
        </w:rPr>
        <w:t>B</w:t>
      </w:r>
      <w:r w:rsidR="003D2418" w:rsidRPr="006436E9">
        <w:rPr>
          <w:lang w:val="en-GB"/>
        </w:rPr>
        <w:t>.</w:t>
      </w:r>
      <w:r w:rsidR="000420B5" w:rsidRPr="006436E9">
        <w:rPr>
          <w:lang w:val="en-GB"/>
        </w:rPr>
        <w:t>; Formal Analysis, A</w:t>
      </w:r>
      <w:r w:rsidR="003D2418" w:rsidRPr="006436E9">
        <w:rPr>
          <w:lang w:val="en-GB"/>
        </w:rPr>
        <w:t>.</w:t>
      </w:r>
      <w:r w:rsidR="000420B5" w:rsidRPr="006436E9">
        <w:rPr>
          <w:lang w:val="en-GB"/>
        </w:rPr>
        <w:t>F</w:t>
      </w:r>
      <w:r w:rsidR="003D2418" w:rsidRPr="006436E9">
        <w:rPr>
          <w:lang w:val="en-GB"/>
        </w:rPr>
        <w:t>.</w:t>
      </w:r>
      <w:r w:rsidR="000420B5" w:rsidRPr="006436E9">
        <w:rPr>
          <w:lang w:val="en-GB"/>
        </w:rPr>
        <w:t>; Data Curation, A</w:t>
      </w:r>
      <w:r w:rsidR="003D2418" w:rsidRPr="006436E9">
        <w:rPr>
          <w:lang w:val="en-GB"/>
        </w:rPr>
        <w:t>.</w:t>
      </w:r>
      <w:r w:rsidR="000420B5" w:rsidRPr="006436E9">
        <w:rPr>
          <w:lang w:val="en-GB"/>
        </w:rPr>
        <w:t>F</w:t>
      </w:r>
      <w:r w:rsidR="003D2418" w:rsidRPr="006436E9">
        <w:rPr>
          <w:lang w:val="en-GB"/>
        </w:rPr>
        <w:t>.</w:t>
      </w:r>
      <w:r w:rsidR="000420B5" w:rsidRPr="006436E9">
        <w:rPr>
          <w:lang w:val="en-GB"/>
        </w:rPr>
        <w:t>; Writing</w:t>
      </w:r>
      <w:r w:rsidR="005506C6" w:rsidRPr="006436E9">
        <w:rPr>
          <w:lang w:val="en-GB"/>
        </w:rPr>
        <w:t>—</w:t>
      </w:r>
      <w:r w:rsidR="000420B5" w:rsidRPr="006436E9">
        <w:rPr>
          <w:lang w:val="en-GB"/>
        </w:rPr>
        <w:t>Original Draft Preparation, A</w:t>
      </w:r>
      <w:r w:rsidR="003D2418" w:rsidRPr="006436E9">
        <w:rPr>
          <w:lang w:val="en-GB"/>
        </w:rPr>
        <w:t>.</w:t>
      </w:r>
      <w:r w:rsidR="000420B5" w:rsidRPr="006436E9">
        <w:rPr>
          <w:lang w:val="en-GB"/>
        </w:rPr>
        <w:t>F</w:t>
      </w:r>
      <w:r w:rsidR="003D2418" w:rsidRPr="006436E9">
        <w:rPr>
          <w:lang w:val="en-GB"/>
        </w:rPr>
        <w:t>.</w:t>
      </w:r>
      <w:r w:rsidR="000420B5" w:rsidRPr="006436E9">
        <w:rPr>
          <w:lang w:val="en-GB"/>
        </w:rPr>
        <w:t>; Writing</w:t>
      </w:r>
      <w:r w:rsidR="005506C6" w:rsidRPr="006436E9">
        <w:rPr>
          <w:lang w:val="en-GB"/>
        </w:rPr>
        <w:t>—</w:t>
      </w:r>
      <w:r w:rsidR="000420B5" w:rsidRPr="006436E9">
        <w:rPr>
          <w:lang w:val="en-GB"/>
        </w:rPr>
        <w:t xml:space="preserve">Review </w:t>
      </w:r>
      <w:r w:rsidR="0024060B" w:rsidRPr="006436E9">
        <w:rPr>
          <w:lang w:val="en-GB"/>
        </w:rPr>
        <w:t>and</w:t>
      </w:r>
      <w:r w:rsidR="000420B5" w:rsidRPr="006436E9">
        <w:rPr>
          <w:lang w:val="en-GB"/>
        </w:rPr>
        <w:t xml:space="preserve"> Editing, E</w:t>
      </w:r>
      <w:r w:rsidR="003D2418" w:rsidRPr="006436E9">
        <w:rPr>
          <w:lang w:val="en-GB"/>
        </w:rPr>
        <w:t>.</w:t>
      </w:r>
      <w:r w:rsidR="000420B5" w:rsidRPr="006436E9">
        <w:rPr>
          <w:lang w:val="en-GB"/>
        </w:rPr>
        <w:t>C</w:t>
      </w:r>
      <w:r w:rsidR="003D2418" w:rsidRPr="006436E9">
        <w:rPr>
          <w:lang w:val="en-GB"/>
        </w:rPr>
        <w:t>.</w:t>
      </w:r>
      <w:r w:rsidR="000420B5" w:rsidRPr="006436E9">
        <w:rPr>
          <w:lang w:val="en-GB"/>
        </w:rPr>
        <w:t>B</w:t>
      </w:r>
      <w:r w:rsidR="003D2418" w:rsidRPr="006436E9">
        <w:rPr>
          <w:lang w:val="en-GB"/>
        </w:rPr>
        <w:t>.</w:t>
      </w:r>
      <w:r w:rsidR="000420B5" w:rsidRPr="006436E9">
        <w:rPr>
          <w:lang w:val="en-GB"/>
        </w:rPr>
        <w:t>, A</w:t>
      </w:r>
      <w:r w:rsidR="003D2418" w:rsidRPr="006436E9">
        <w:rPr>
          <w:lang w:val="en-GB"/>
        </w:rPr>
        <w:t>.</w:t>
      </w:r>
      <w:r w:rsidR="000420B5" w:rsidRPr="006436E9">
        <w:rPr>
          <w:lang w:val="en-GB"/>
        </w:rPr>
        <w:t>W</w:t>
      </w:r>
      <w:r w:rsidR="003D2418" w:rsidRPr="006436E9">
        <w:rPr>
          <w:lang w:val="en-GB"/>
        </w:rPr>
        <w:t>.</w:t>
      </w:r>
      <w:r w:rsidR="000420B5" w:rsidRPr="006436E9">
        <w:rPr>
          <w:lang w:val="en-GB"/>
        </w:rPr>
        <w:t xml:space="preserve">, </w:t>
      </w:r>
      <w:r w:rsidR="0024060B" w:rsidRPr="006436E9">
        <w:rPr>
          <w:lang w:val="en-GB"/>
        </w:rPr>
        <w:t xml:space="preserve">and </w:t>
      </w:r>
      <w:r w:rsidR="000420B5" w:rsidRPr="006436E9">
        <w:rPr>
          <w:lang w:val="en-GB"/>
        </w:rPr>
        <w:t>S</w:t>
      </w:r>
      <w:r w:rsidR="003D2418" w:rsidRPr="006436E9">
        <w:rPr>
          <w:lang w:val="en-GB"/>
        </w:rPr>
        <w:t>.</w:t>
      </w:r>
      <w:r w:rsidR="000420B5" w:rsidRPr="006436E9">
        <w:rPr>
          <w:lang w:val="en-GB"/>
        </w:rPr>
        <w:t>M</w:t>
      </w:r>
      <w:r w:rsidR="003D2418" w:rsidRPr="006436E9">
        <w:rPr>
          <w:lang w:val="en-GB"/>
        </w:rPr>
        <w:t>.</w:t>
      </w:r>
      <w:r w:rsidR="000420B5" w:rsidRPr="006436E9">
        <w:rPr>
          <w:lang w:val="en-GB"/>
        </w:rPr>
        <w:t>; Project Administration, S</w:t>
      </w:r>
      <w:r w:rsidR="003D2418" w:rsidRPr="006436E9">
        <w:rPr>
          <w:lang w:val="en-GB"/>
        </w:rPr>
        <w:t>.</w:t>
      </w:r>
      <w:r w:rsidR="000420B5" w:rsidRPr="006436E9">
        <w:rPr>
          <w:lang w:val="en-GB"/>
        </w:rPr>
        <w:t>M</w:t>
      </w:r>
      <w:r w:rsidR="003D2418" w:rsidRPr="006436E9">
        <w:rPr>
          <w:lang w:val="en-GB"/>
        </w:rPr>
        <w:t>.</w:t>
      </w:r>
      <w:r w:rsidR="000420B5" w:rsidRPr="006436E9">
        <w:rPr>
          <w:lang w:val="en-GB"/>
        </w:rPr>
        <w:t xml:space="preserve"> and E</w:t>
      </w:r>
      <w:r w:rsidR="003D2418" w:rsidRPr="006436E9">
        <w:rPr>
          <w:lang w:val="en-GB"/>
        </w:rPr>
        <w:t>.</w:t>
      </w:r>
      <w:r w:rsidR="000420B5" w:rsidRPr="006436E9">
        <w:rPr>
          <w:lang w:val="en-GB"/>
        </w:rPr>
        <w:t>C</w:t>
      </w:r>
      <w:r w:rsidR="003D2418" w:rsidRPr="006436E9">
        <w:rPr>
          <w:lang w:val="en-GB"/>
        </w:rPr>
        <w:t>.</w:t>
      </w:r>
      <w:r w:rsidR="000420B5" w:rsidRPr="006436E9">
        <w:rPr>
          <w:lang w:val="en-GB"/>
        </w:rPr>
        <w:t>B</w:t>
      </w:r>
      <w:r w:rsidR="003D2418" w:rsidRPr="006436E9">
        <w:rPr>
          <w:lang w:val="en-GB"/>
        </w:rPr>
        <w:t>.</w:t>
      </w:r>
      <w:r w:rsidR="000420B5" w:rsidRPr="006436E9">
        <w:rPr>
          <w:lang w:val="en-GB"/>
        </w:rPr>
        <w:t>; Funding Acquisition, S</w:t>
      </w:r>
      <w:r w:rsidR="003D2418" w:rsidRPr="006436E9">
        <w:rPr>
          <w:lang w:val="en-GB"/>
        </w:rPr>
        <w:t>.</w:t>
      </w:r>
      <w:r w:rsidR="000420B5" w:rsidRPr="006436E9">
        <w:rPr>
          <w:lang w:val="en-GB"/>
        </w:rPr>
        <w:t>M</w:t>
      </w:r>
      <w:r w:rsidR="003D2418" w:rsidRPr="006436E9">
        <w:rPr>
          <w:lang w:val="en-GB"/>
        </w:rPr>
        <w:t>.</w:t>
      </w:r>
      <w:r w:rsidR="000420B5" w:rsidRPr="006436E9">
        <w:rPr>
          <w:lang w:val="en-GB"/>
        </w:rPr>
        <w:t xml:space="preserve"> and E</w:t>
      </w:r>
      <w:r w:rsidR="003D2418" w:rsidRPr="006436E9">
        <w:rPr>
          <w:lang w:val="en-GB"/>
        </w:rPr>
        <w:t>.</w:t>
      </w:r>
      <w:r w:rsidR="000420B5" w:rsidRPr="006436E9">
        <w:rPr>
          <w:lang w:val="en-GB"/>
        </w:rPr>
        <w:t>C</w:t>
      </w:r>
      <w:r w:rsidR="003D2418" w:rsidRPr="006436E9">
        <w:rPr>
          <w:lang w:val="en-GB"/>
        </w:rPr>
        <w:t>.</w:t>
      </w:r>
      <w:r w:rsidR="000420B5" w:rsidRPr="006436E9">
        <w:rPr>
          <w:lang w:val="en-GB"/>
        </w:rPr>
        <w:t>B.</w:t>
      </w:r>
      <w:r w:rsidR="005D447A" w:rsidRPr="006436E9">
        <w:rPr>
          <w:lang w:val="en-GB"/>
        </w:rPr>
        <w:t xml:space="preserve"> All authors have read and agreed to the published version of the manuscript.</w:t>
      </w:r>
    </w:p>
    <w:p w14:paraId="586FFE27" w14:textId="5103710D" w:rsidR="000420B5" w:rsidRPr="006436E9" w:rsidRDefault="000420B5" w:rsidP="00EF6C1C">
      <w:pPr>
        <w:pStyle w:val="MDPI62BackMatter"/>
        <w:rPr>
          <w:lang w:val="en-GB"/>
        </w:rPr>
      </w:pPr>
      <w:r w:rsidRPr="006436E9">
        <w:rPr>
          <w:b/>
          <w:lang w:val="en-GB"/>
        </w:rPr>
        <w:t>Funding:</w:t>
      </w:r>
      <w:r w:rsidRPr="006436E9">
        <w:rPr>
          <w:lang w:val="en-GB"/>
        </w:rPr>
        <w:t xml:space="preserve"> This research was supported by the UK Prevention Research Partnership (Violence, Health and Society; MR-VO49879/1), which is funded by the British Heart Foundation, Chief Scientist Office of the Scottish Government Health and Social Care Directorates, Engineering and Physical Sciences Research Council, Economic and Social Research Council, Health and Social Care Research and Development Division (Welsh Government), Medical Research Council, National Institute for Health and Care Research, Natural Environment Research Council, Public Health Agency (Northern Ireland), The Health Foundation, and </w:t>
      </w:r>
      <w:proofErr w:type="spellStart"/>
      <w:r w:rsidRPr="006436E9">
        <w:rPr>
          <w:lang w:val="en-GB"/>
        </w:rPr>
        <w:t>Wellcome</w:t>
      </w:r>
      <w:proofErr w:type="spellEnd"/>
      <w:r w:rsidRPr="006436E9">
        <w:rPr>
          <w:lang w:val="en-GB"/>
        </w:rPr>
        <w:t>. The views expressed in this article are those of the authors and not necessarily those of the UK Prevention Research Partnership or any other funder. The funder had no role in the study design, data collection, data analysis, data interpretation, or writing of this paper.</w:t>
      </w:r>
    </w:p>
    <w:p w14:paraId="5B760378" w14:textId="2F4B9355" w:rsidR="000420B5" w:rsidRPr="006436E9" w:rsidRDefault="000420B5" w:rsidP="00EF6C1C">
      <w:pPr>
        <w:pStyle w:val="MDPI62BackMatter"/>
        <w:rPr>
          <w:lang w:val="en-GB"/>
        </w:rPr>
      </w:pPr>
      <w:bookmarkStart w:id="21" w:name="_Hlk89945590"/>
      <w:r w:rsidRPr="006436E9">
        <w:rPr>
          <w:b/>
          <w:lang w:val="en-GB"/>
        </w:rPr>
        <w:t xml:space="preserve">Institutional Review Board Statement: </w:t>
      </w:r>
      <w:r w:rsidRPr="006436E9">
        <w:rPr>
          <w:lang w:val="en-GB"/>
        </w:rPr>
        <w:t xml:space="preserve">The secondary analyses were approved by </w:t>
      </w:r>
      <w:r w:rsidR="0024060B" w:rsidRPr="006436E9">
        <w:rPr>
          <w:lang w:val="en-GB"/>
        </w:rPr>
        <w:t xml:space="preserve">the </w:t>
      </w:r>
      <w:r w:rsidRPr="006436E9">
        <w:rPr>
          <w:lang w:val="en-GB"/>
        </w:rPr>
        <w:t>IMJEE Research Ethics Committee, City, University of London (ETH2122-0299). The authors assert that all procedures contributing to this work comply with the ethical standards of the relevant national and institutional committees on human experimentation and with the Helsinki Declaration of 1975, as revised in 2008.</w:t>
      </w:r>
    </w:p>
    <w:p w14:paraId="573D803A" w14:textId="30EFF445" w:rsidR="003D2418" w:rsidRPr="006436E9" w:rsidRDefault="003D2418" w:rsidP="003D2418">
      <w:pPr>
        <w:pStyle w:val="MDPI62BackMatter"/>
        <w:rPr>
          <w:lang w:val="en-GB"/>
        </w:rPr>
      </w:pPr>
      <w:r w:rsidRPr="006436E9">
        <w:rPr>
          <w:b/>
          <w:lang w:val="en-GB"/>
        </w:rPr>
        <w:t>Informed Consent Statement:</w:t>
      </w:r>
      <w:r w:rsidRPr="006436E9">
        <w:rPr>
          <w:lang w:val="en-GB"/>
        </w:rPr>
        <w:t xml:space="preserve"> </w:t>
      </w:r>
      <w:r w:rsidR="0036644F" w:rsidRPr="006436E9">
        <w:rPr>
          <w:lang w:val="en-GB"/>
        </w:rPr>
        <w:t>Not applicable.</w:t>
      </w:r>
    </w:p>
    <w:bookmarkEnd w:id="21"/>
    <w:p w14:paraId="5970029C" w14:textId="2155A9DC" w:rsidR="000420B5" w:rsidRPr="006436E9" w:rsidRDefault="000420B5" w:rsidP="00EF6C1C">
      <w:pPr>
        <w:pStyle w:val="MDPI62BackMatter"/>
        <w:rPr>
          <w:lang w:val="en-GB"/>
        </w:rPr>
      </w:pPr>
      <w:r w:rsidRPr="006436E9">
        <w:rPr>
          <w:b/>
          <w:lang w:val="en-GB"/>
        </w:rPr>
        <w:t xml:space="preserve">Data Availability Statement: </w:t>
      </w:r>
      <w:r w:rsidRPr="006436E9">
        <w:rPr>
          <w:lang w:val="en-GB"/>
        </w:rPr>
        <w:t xml:space="preserve">Access to HES and ECDS data is provided by NHS England. Requests for further use should be made to the Data Access Request Service at NHS Digital </w:t>
      </w:r>
      <w:r w:rsidR="0024060B" w:rsidRPr="006436E9">
        <w:rPr>
          <w:lang w:val="en-GB"/>
        </w:rPr>
        <w:t>(</w:t>
      </w:r>
      <w:r w:rsidRPr="006436E9">
        <w:rPr>
          <w:lang w:val="en-GB"/>
        </w:rPr>
        <w:t>https://digital.nhs.uk/services/data-access-request-service-dars</w:t>
      </w:r>
      <w:r w:rsidR="0036644F" w:rsidRPr="006436E9">
        <w:rPr>
          <w:lang w:val="en-GB"/>
        </w:rPr>
        <w:t xml:space="preserve"> (accessed on </w:t>
      </w:r>
      <w:r w:rsidR="00702A8C" w:rsidRPr="006436E9">
        <w:rPr>
          <w:lang w:val="en-GB"/>
        </w:rPr>
        <w:t>18 December 2023</w:t>
      </w:r>
      <w:r w:rsidR="0024060B" w:rsidRPr="006436E9">
        <w:rPr>
          <w:lang w:val="en-GB"/>
        </w:rPr>
        <w:t>).</w:t>
      </w:r>
    </w:p>
    <w:p w14:paraId="392109B7" w14:textId="7E6C94A3" w:rsidR="000420B5" w:rsidRPr="006436E9" w:rsidRDefault="000420B5" w:rsidP="00EF6C1C">
      <w:pPr>
        <w:pStyle w:val="MDPI62BackMatter"/>
        <w:rPr>
          <w:lang w:val="en-GB"/>
        </w:rPr>
      </w:pPr>
      <w:r w:rsidRPr="006436E9">
        <w:rPr>
          <w:b/>
          <w:lang w:val="en-GB"/>
        </w:rPr>
        <w:t>Acknowledg</w:t>
      </w:r>
      <w:r w:rsidR="007D3950" w:rsidRPr="006436E9">
        <w:rPr>
          <w:b/>
          <w:lang w:val="en-GB"/>
        </w:rPr>
        <w:t>e</w:t>
      </w:r>
      <w:r w:rsidRPr="006436E9">
        <w:rPr>
          <w:b/>
          <w:lang w:val="en-GB"/>
        </w:rPr>
        <w:t>ments:</w:t>
      </w:r>
      <w:r w:rsidRPr="006436E9">
        <w:rPr>
          <w:lang w:val="en-GB"/>
        </w:rPr>
        <w:t xml:space="preserve"> Thank you to </w:t>
      </w:r>
      <w:r w:rsidR="007D3950" w:rsidRPr="006436E9">
        <w:rPr>
          <w:lang w:val="en-GB"/>
        </w:rPr>
        <w:t xml:space="preserve">the </w:t>
      </w:r>
      <w:r w:rsidRPr="006436E9">
        <w:rPr>
          <w:lang w:val="en-GB"/>
        </w:rPr>
        <w:t xml:space="preserve">Department of Health and Social Care (DHSC) for providing </w:t>
      </w:r>
      <w:r w:rsidR="0024060B" w:rsidRPr="006436E9">
        <w:rPr>
          <w:lang w:val="en-GB"/>
        </w:rPr>
        <w:t xml:space="preserve">the </w:t>
      </w:r>
      <w:r w:rsidRPr="006436E9">
        <w:rPr>
          <w:lang w:val="en-GB"/>
        </w:rPr>
        <w:t>opportunity to use HES and ECDS data. The views expressed are those of the authors and not necessarily those of the Department of Health and Social Care.</w:t>
      </w:r>
    </w:p>
    <w:p w14:paraId="437E92AA" w14:textId="268F23B5" w:rsidR="000420B5" w:rsidRPr="006436E9" w:rsidRDefault="000420B5" w:rsidP="00EF6C1C">
      <w:pPr>
        <w:pStyle w:val="MDPI62BackMatter"/>
        <w:rPr>
          <w:lang w:val="en-GB"/>
        </w:rPr>
      </w:pPr>
      <w:r w:rsidRPr="006436E9">
        <w:rPr>
          <w:b/>
          <w:lang w:val="en-GB"/>
        </w:rPr>
        <w:t xml:space="preserve">Conflicts of Interest: </w:t>
      </w:r>
      <w:r w:rsidRPr="006436E9">
        <w:rPr>
          <w:lang w:val="en-GB"/>
        </w:rPr>
        <w:t>On behalf of all authors, the corresponding author states that there are no conflict</w:t>
      </w:r>
      <w:r w:rsidR="0024060B" w:rsidRPr="006436E9">
        <w:rPr>
          <w:lang w:val="en-GB"/>
        </w:rPr>
        <w:t>s</w:t>
      </w:r>
      <w:r w:rsidRPr="006436E9">
        <w:rPr>
          <w:lang w:val="en-GB"/>
        </w:rPr>
        <w:t xml:space="preserve"> of interest</w:t>
      </w:r>
      <w:r w:rsidR="0024060B" w:rsidRPr="006436E9">
        <w:rPr>
          <w:lang w:val="en-GB"/>
        </w:rPr>
        <w:t>.</w:t>
      </w:r>
    </w:p>
    <w:p w14:paraId="7B88F01E" w14:textId="77777777" w:rsidR="000420B5" w:rsidRPr="006436E9" w:rsidRDefault="000420B5" w:rsidP="00EF6C1C">
      <w:pPr>
        <w:pStyle w:val="MDPI21heading1"/>
        <w:ind w:left="0"/>
        <w:rPr>
          <w:lang w:val="en-GB"/>
        </w:rPr>
      </w:pPr>
      <w:r w:rsidRPr="006436E9">
        <w:rPr>
          <w:lang w:val="en-GB"/>
        </w:rPr>
        <w:t>References</w:t>
      </w:r>
    </w:p>
    <w:p w14:paraId="47CF42D0" w14:textId="77777777" w:rsidR="00FF07A4" w:rsidRPr="006436E9" w:rsidRDefault="00FF07A4" w:rsidP="00E86BBE">
      <w:pPr>
        <w:pStyle w:val="MDPI71References"/>
        <w:numPr>
          <w:ilvl w:val="0"/>
          <w:numId w:val="0"/>
        </w:numPr>
        <w:ind w:left="425" w:hanging="425"/>
        <w:rPr>
          <w:szCs w:val="18"/>
          <w:lang w:val="en-GB"/>
        </w:rPr>
      </w:pPr>
      <w:bookmarkStart w:id="22" w:name="_Hlk160116476"/>
      <w:r w:rsidRPr="006436E9">
        <w:rPr>
          <w:szCs w:val="18"/>
          <w:lang w:val="en-GB"/>
        </w:rPr>
        <w:t xml:space="preserve">(Bacchus et al. 2018) </w:t>
      </w:r>
      <w:r w:rsidRPr="006436E9">
        <w:rPr>
          <w:noProof/>
        </w:rPr>
        <w:t>Bacchus, Loraine J</w:t>
      </w:r>
      <w:r>
        <w:rPr>
          <w:noProof/>
        </w:rPr>
        <w:t>.</w:t>
      </w:r>
      <w:r w:rsidRPr="006436E9">
        <w:rPr>
          <w:noProof/>
        </w:rPr>
        <w:t>, Meghna Ranganathan, Charlotte Watts, and Karen Devries</w:t>
      </w:r>
      <w:r w:rsidRPr="006436E9">
        <w:rPr>
          <w:szCs w:val="18"/>
          <w:lang w:val="en-GB"/>
        </w:rPr>
        <w:t xml:space="preserve">. 2018. Recent intimate partner violence against women and health: A systematic review and meta-analysis of cohort studies. </w:t>
      </w:r>
      <w:r w:rsidRPr="006436E9">
        <w:rPr>
          <w:i/>
          <w:iCs/>
          <w:szCs w:val="18"/>
          <w:lang w:val="en-GB"/>
        </w:rPr>
        <w:t>BMJ Open</w:t>
      </w:r>
      <w:r w:rsidRPr="006436E9">
        <w:rPr>
          <w:szCs w:val="18"/>
          <w:lang w:val="en-GB"/>
        </w:rPr>
        <w:t xml:space="preserve"> 8: e019995.</w:t>
      </w:r>
    </w:p>
    <w:p w14:paraId="7542F56F" w14:textId="77777777" w:rsidR="00FF07A4" w:rsidRPr="00837FF5" w:rsidRDefault="00FF07A4" w:rsidP="00E86BBE">
      <w:pPr>
        <w:pStyle w:val="MDPI71References"/>
        <w:numPr>
          <w:ilvl w:val="0"/>
          <w:numId w:val="0"/>
        </w:numPr>
        <w:ind w:left="425" w:hanging="425"/>
        <w:rPr>
          <w:szCs w:val="18"/>
          <w:lang w:val="en-GB"/>
        </w:rPr>
      </w:pPr>
      <w:r w:rsidRPr="00837FF5">
        <w:rPr>
          <w:szCs w:val="18"/>
          <w:lang w:val="en-GB"/>
        </w:rPr>
        <w:t xml:space="preserve">(Baird et al. 2016) </w:t>
      </w:r>
      <w:r w:rsidRPr="00837FF5">
        <w:rPr>
          <w:noProof/>
        </w:rPr>
        <w:t>Baird, Beccy, Anna Charles, Matthew Honeyman, David Maguire, and Preety Das.</w:t>
      </w:r>
      <w:r w:rsidRPr="00837FF5">
        <w:rPr>
          <w:szCs w:val="18"/>
          <w:lang w:val="en-GB"/>
        </w:rPr>
        <w:t xml:space="preserve">. 2016. </w:t>
      </w:r>
      <w:r w:rsidRPr="00837FF5">
        <w:rPr>
          <w:i/>
          <w:iCs/>
          <w:szCs w:val="18"/>
          <w:lang w:val="en-GB"/>
        </w:rPr>
        <w:t>Understanding Pressures in General Practice</w:t>
      </w:r>
      <w:r w:rsidRPr="00837FF5">
        <w:rPr>
          <w:szCs w:val="18"/>
          <w:lang w:val="en-GB"/>
        </w:rPr>
        <w:t>. London: King’s Fund London.</w:t>
      </w:r>
    </w:p>
    <w:p w14:paraId="24CE954B" w14:textId="77777777" w:rsidR="00FF07A4" w:rsidRPr="00837FF5" w:rsidRDefault="00FF07A4" w:rsidP="00E86BBE">
      <w:pPr>
        <w:pStyle w:val="MDPI71References"/>
        <w:numPr>
          <w:ilvl w:val="0"/>
          <w:numId w:val="0"/>
        </w:numPr>
        <w:ind w:left="425" w:hanging="425"/>
        <w:rPr>
          <w:szCs w:val="18"/>
          <w:lang w:val="en-GB"/>
        </w:rPr>
      </w:pPr>
      <w:r w:rsidRPr="00837FF5">
        <w:rPr>
          <w:szCs w:val="18"/>
          <w:lang w:val="en-GB"/>
        </w:rPr>
        <w:t xml:space="preserve">(Bellis et al. 2012) </w:t>
      </w:r>
      <w:r w:rsidRPr="00837FF5">
        <w:rPr>
          <w:noProof/>
        </w:rPr>
        <w:t>Bellis, Mark A., Karen Hughes, Clare Perkins, and Andrew Bennett</w:t>
      </w:r>
      <w:r w:rsidRPr="00837FF5" w:rsidDel="0023145B">
        <w:rPr>
          <w:szCs w:val="18"/>
          <w:lang w:val="en-GB"/>
        </w:rPr>
        <w:t xml:space="preserve"> </w:t>
      </w:r>
      <w:r w:rsidRPr="00837FF5">
        <w:rPr>
          <w:szCs w:val="18"/>
          <w:lang w:val="en-GB"/>
        </w:rPr>
        <w:t xml:space="preserve">2012. </w:t>
      </w:r>
      <w:r w:rsidRPr="00837FF5">
        <w:rPr>
          <w:i/>
          <w:iCs/>
          <w:szCs w:val="18"/>
          <w:lang w:val="en-GB"/>
        </w:rPr>
        <w:t>Protecting People, Promoting Health: A Public Health Approach to Violence Prevention for England</w:t>
      </w:r>
      <w:r w:rsidRPr="00837FF5">
        <w:rPr>
          <w:szCs w:val="18"/>
          <w:lang w:val="en-GB"/>
        </w:rPr>
        <w:t>. Liverpool: North West Public Health Observatory.</w:t>
      </w:r>
    </w:p>
    <w:p w14:paraId="24421C5D" w14:textId="77777777" w:rsidR="00FF07A4" w:rsidRPr="00837FF5" w:rsidRDefault="00FF07A4" w:rsidP="00E86BBE">
      <w:pPr>
        <w:pStyle w:val="MDPI71References"/>
        <w:numPr>
          <w:ilvl w:val="0"/>
          <w:numId w:val="0"/>
        </w:numPr>
        <w:ind w:left="425" w:hanging="425"/>
        <w:rPr>
          <w:szCs w:val="18"/>
          <w:lang w:val="en-GB"/>
        </w:rPr>
      </w:pPr>
      <w:r w:rsidRPr="00837FF5">
        <w:rPr>
          <w:szCs w:val="18"/>
          <w:lang w:val="en-GB"/>
        </w:rPr>
        <w:t xml:space="preserve">(Blom et al. 2023) </w:t>
      </w:r>
      <w:r w:rsidRPr="00837FF5">
        <w:rPr>
          <w:noProof/>
        </w:rPr>
        <w:t>Blom, Niels, Anastasia Fadeeva, and Estela Capelas Barbosa</w:t>
      </w:r>
      <w:r w:rsidRPr="00837FF5">
        <w:rPr>
          <w:szCs w:val="18"/>
          <w:lang w:val="en-GB"/>
        </w:rPr>
        <w:t xml:space="preserve">. 2023. The Concept and Measurement of Violence and Abuse in Health and Justice Fields: Toward a Framework Aligned with the UN Sustainable Development Goals. </w:t>
      </w:r>
      <w:r w:rsidRPr="00837FF5">
        <w:rPr>
          <w:i/>
          <w:iCs/>
          <w:szCs w:val="18"/>
          <w:lang w:val="en-GB"/>
        </w:rPr>
        <w:t>Social Sciences</w:t>
      </w:r>
      <w:r w:rsidRPr="00837FF5">
        <w:rPr>
          <w:szCs w:val="18"/>
          <w:lang w:val="en-GB"/>
        </w:rPr>
        <w:t xml:space="preserve"> 12: 316.</w:t>
      </w:r>
    </w:p>
    <w:p w14:paraId="1746E584" w14:textId="77777777" w:rsidR="00FF07A4" w:rsidRPr="00837FF5" w:rsidRDefault="00FF07A4" w:rsidP="00E86BBE">
      <w:pPr>
        <w:pStyle w:val="MDPI71References"/>
        <w:numPr>
          <w:ilvl w:val="0"/>
          <w:numId w:val="0"/>
        </w:numPr>
        <w:ind w:left="425" w:hanging="425"/>
        <w:rPr>
          <w:szCs w:val="18"/>
          <w:lang w:val="en-GB"/>
        </w:rPr>
      </w:pPr>
      <w:r w:rsidRPr="00837FF5">
        <w:rPr>
          <w:szCs w:val="18"/>
          <w:lang w:val="en-GB"/>
        </w:rPr>
        <w:t xml:space="preserve">(Botelle et al. 2022) </w:t>
      </w:r>
      <w:r w:rsidRPr="00837FF5">
        <w:rPr>
          <w:noProof/>
        </w:rPr>
        <w:t>Botelle, Riley, Vishal Bhavsar, Giouliana Kadra-Scalzo, Aurelie Mascio, Marcus V Williams, Angus Roberts, Sumithra Velupillai, and Robert Stewart</w:t>
      </w:r>
      <w:r w:rsidRPr="00837FF5">
        <w:rPr>
          <w:szCs w:val="18"/>
          <w:lang w:val="en-GB"/>
        </w:rPr>
        <w:t xml:space="preserve">. 2022. Can natural language processing models extract and classify instances of interpersonal violence in mental healthcare electronic records: An applied evaluative study. </w:t>
      </w:r>
      <w:r w:rsidRPr="00837FF5">
        <w:rPr>
          <w:i/>
          <w:iCs/>
          <w:szCs w:val="18"/>
          <w:lang w:val="en-GB"/>
        </w:rPr>
        <w:t>BMJ Open</w:t>
      </w:r>
      <w:r w:rsidRPr="00837FF5">
        <w:rPr>
          <w:szCs w:val="18"/>
          <w:lang w:val="en-GB"/>
        </w:rPr>
        <w:t xml:space="preserve"> 12: e052911.</w:t>
      </w:r>
    </w:p>
    <w:p w14:paraId="15DFC89B" w14:textId="77777777" w:rsidR="00FF07A4" w:rsidRPr="00837FF5" w:rsidRDefault="00FF07A4" w:rsidP="00E86BBE">
      <w:pPr>
        <w:pStyle w:val="MDPI71References"/>
        <w:numPr>
          <w:ilvl w:val="0"/>
          <w:numId w:val="0"/>
        </w:numPr>
        <w:ind w:left="425" w:hanging="425"/>
        <w:rPr>
          <w:szCs w:val="18"/>
          <w:lang w:val="en-GB"/>
        </w:rPr>
      </w:pPr>
      <w:r w:rsidRPr="00837FF5">
        <w:rPr>
          <w:szCs w:val="18"/>
          <w:lang w:val="en-GB"/>
        </w:rPr>
        <w:t xml:space="preserve">(Bowie 2019) Bowie, Penney. 2019. </w:t>
      </w:r>
      <w:r w:rsidRPr="00837FF5">
        <w:rPr>
          <w:i/>
          <w:iCs/>
          <w:szCs w:val="18"/>
          <w:lang w:val="en-GB"/>
        </w:rPr>
        <w:t xml:space="preserve">The English Indices of Deprivation 2019 (IoD2019). </w:t>
      </w:r>
      <w:r w:rsidRPr="00837FF5">
        <w:rPr>
          <w:iCs/>
          <w:szCs w:val="18"/>
          <w:lang w:val="en-GB"/>
        </w:rPr>
        <w:t>London: Ministry of Housing, Communities &amp; Local Government.</w:t>
      </w:r>
    </w:p>
    <w:p w14:paraId="451F9902" w14:textId="77777777" w:rsidR="00FF07A4" w:rsidRPr="006436E9" w:rsidRDefault="00FF07A4" w:rsidP="00E86BBE">
      <w:pPr>
        <w:pStyle w:val="MDPI71References"/>
        <w:numPr>
          <w:ilvl w:val="0"/>
          <w:numId w:val="0"/>
        </w:numPr>
        <w:ind w:left="425" w:hanging="425"/>
        <w:rPr>
          <w:szCs w:val="18"/>
          <w:lang w:val="en-GB"/>
        </w:rPr>
      </w:pPr>
      <w:r w:rsidRPr="00837FF5">
        <w:rPr>
          <w:szCs w:val="18"/>
          <w:lang w:val="en-GB"/>
        </w:rPr>
        <w:t xml:space="preserve">(Boyd et al. 2017) </w:t>
      </w:r>
      <w:r w:rsidRPr="00837FF5">
        <w:rPr>
          <w:noProof/>
        </w:rPr>
        <w:t>Boyd, Andy, Rosie Cornish, Leigh Johnson, Shirley Simmonds, Holly Syddall, and Leo Westbury</w:t>
      </w:r>
      <w:r w:rsidRPr="00837FF5">
        <w:rPr>
          <w:szCs w:val="18"/>
          <w:lang w:val="en-GB"/>
        </w:rPr>
        <w:t xml:space="preserve">. 2017. </w:t>
      </w:r>
      <w:r w:rsidRPr="00837FF5">
        <w:rPr>
          <w:i/>
          <w:iCs/>
          <w:szCs w:val="18"/>
          <w:lang w:val="en-GB"/>
        </w:rPr>
        <w:t>Understanding Hospital Episode Statistics (HES)</w:t>
      </w:r>
      <w:r w:rsidRPr="00837FF5">
        <w:rPr>
          <w:szCs w:val="18"/>
          <w:lang w:val="en-GB"/>
        </w:rPr>
        <w:t>. London: CLOSER.</w:t>
      </w:r>
    </w:p>
    <w:p w14:paraId="683DAC21" w14:textId="77777777" w:rsidR="00FF07A4" w:rsidRPr="006436E9" w:rsidRDefault="00FF07A4" w:rsidP="00E86BBE">
      <w:pPr>
        <w:pStyle w:val="MDPI71References"/>
        <w:numPr>
          <w:ilvl w:val="0"/>
          <w:numId w:val="0"/>
        </w:numPr>
        <w:ind w:left="425" w:hanging="425"/>
        <w:rPr>
          <w:szCs w:val="18"/>
          <w:lang w:val="en-GB"/>
        </w:rPr>
      </w:pPr>
      <w:r w:rsidRPr="00460A49">
        <w:rPr>
          <w:szCs w:val="18"/>
          <w:lang w:val="en-GB"/>
        </w:rPr>
        <w:t>(</w:t>
      </w:r>
      <w:r w:rsidRPr="00837FF5">
        <w:rPr>
          <w:szCs w:val="18"/>
          <w:lang w:val="en-GB"/>
        </w:rPr>
        <w:t>Damra et al. 2015)</w:t>
      </w:r>
      <w:r w:rsidRPr="006436E9">
        <w:rPr>
          <w:szCs w:val="18"/>
          <w:lang w:val="en-GB"/>
        </w:rPr>
        <w:t xml:space="preserve"> </w:t>
      </w:r>
      <w:bookmarkStart w:id="23" w:name="_Hlk160117645"/>
      <w:r w:rsidRPr="006436E9">
        <w:rPr>
          <w:noProof/>
        </w:rPr>
        <w:t>Damra, Jalal K</w:t>
      </w:r>
      <w:r>
        <w:rPr>
          <w:noProof/>
        </w:rPr>
        <w:t>.</w:t>
      </w:r>
      <w:r w:rsidRPr="006436E9">
        <w:rPr>
          <w:noProof/>
        </w:rPr>
        <w:t>, Sanaa K</w:t>
      </w:r>
      <w:r>
        <w:rPr>
          <w:noProof/>
        </w:rPr>
        <w:t>.</w:t>
      </w:r>
      <w:r w:rsidRPr="006436E9">
        <w:rPr>
          <w:noProof/>
        </w:rPr>
        <w:t xml:space="preserve"> Abujilban, Michael P</w:t>
      </w:r>
      <w:r>
        <w:rPr>
          <w:noProof/>
        </w:rPr>
        <w:t>.</w:t>
      </w:r>
      <w:r w:rsidRPr="006436E9">
        <w:rPr>
          <w:noProof/>
        </w:rPr>
        <w:t xml:space="preserve"> Rock, Issra’a A</w:t>
      </w:r>
      <w:r>
        <w:rPr>
          <w:noProof/>
        </w:rPr>
        <w:t>.</w:t>
      </w:r>
      <w:r w:rsidRPr="006436E9">
        <w:rPr>
          <w:noProof/>
        </w:rPr>
        <w:t xml:space="preserve"> Tawalbeh, Thaer A</w:t>
      </w:r>
      <w:r>
        <w:rPr>
          <w:noProof/>
        </w:rPr>
        <w:t>.</w:t>
      </w:r>
      <w:r w:rsidRPr="006436E9">
        <w:rPr>
          <w:noProof/>
        </w:rPr>
        <w:t xml:space="preserve"> Ghbari, and Souad M</w:t>
      </w:r>
      <w:r>
        <w:rPr>
          <w:noProof/>
        </w:rPr>
        <w:t>.</w:t>
      </w:r>
      <w:r w:rsidRPr="006436E9">
        <w:rPr>
          <w:noProof/>
        </w:rPr>
        <w:t xml:space="preserve"> Ghaith</w:t>
      </w:r>
      <w:bookmarkEnd w:id="23"/>
      <w:r w:rsidRPr="006436E9">
        <w:rPr>
          <w:noProof/>
        </w:rPr>
        <w:t>.</w:t>
      </w:r>
      <w:r w:rsidRPr="006436E9">
        <w:rPr>
          <w:szCs w:val="18"/>
          <w:lang w:val="en-GB"/>
        </w:rPr>
        <w:t xml:space="preserve">Pregnant women’s experiences of intimate partner violence and seeking help from health care professionals: a </w:t>
      </w:r>
      <w:proofErr w:type="spellStart"/>
      <w:r w:rsidRPr="006436E9">
        <w:rPr>
          <w:szCs w:val="18"/>
          <w:lang w:val="en-GB"/>
        </w:rPr>
        <w:t>jordanian</w:t>
      </w:r>
      <w:proofErr w:type="spellEnd"/>
      <w:r w:rsidRPr="006436E9">
        <w:rPr>
          <w:szCs w:val="18"/>
          <w:lang w:val="en-GB"/>
        </w:rPr>
        <w:t xml:space="preserve"> qualitative study. </w:t>
      </w:r>
      <w:r w:rsidRPr="006436E9">
        <w:rPr>
          <w:i/>
          <w:iCs/>
          <w:szCs w:val="18"/>
          <w:lang w:val="en-GB"/>
        </w:rPr>
        <w:t>Journal of Family Violence</w:t>
      </w:r>
      <w:r w:rsidRPr="006436E9">
        <w:rPr>
          <w:szCs w:val="18"/>
          <w:lang w:val="en-GB"/>
        </w:rPr>
        <w:t xml:space="preserve"> 30: 807–16.</w:t>
      </w:r>
    </w:p>
    <w:p w14:paraId="210155FE"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lastRenderedPageBreak/>
        <w:t xml:space="preserve">(Devries et al. 2018) </w:t>
      </w:r>
      <w:r w:rsidRPr="006436E9">
        <w:rPr>
          <w:noProof/>
        </w:rPr>
        <w:t xml:space="preserve">Devries, Karen, Louise Knight, Max Petzold, Katherine G Merrill, Lauren Maxwell, Abigail Williams, Claudia Cappa, Ko Ling Chan, Claudia Garcia-Moreno, NaTasha Hollis, Howard Kress, Amber Peterman, </w:t>
      </w:r>
      <w:r w:rsidRPr="006436E9">
        <w:rPr>
          <w:szCs w:val="18"/>
          <w:lang w:val="en-GB"/>
        </w:rPr>
        <w:t xml:space="preserve">and et al. Who perpetrates violence against children? A systematic analysis of age-specific and sex-specific data. </w:t>
      </w:r>
      <w:r w:rsidRPr="006436E9">
        <w:rPr>
          <w:i/>
          <w:iCs/>
          <w:szCs w:val="18"/>
          <w:lang w:val="en-GB"/>
        </w:rPr>
        <w:t xml:space="preserve">BMJ Paediatrics Open </w:t>
      </w:r>
      <w:r w:rsidRPr="00D31051">
        <w:rPr>
          <w:iCs/>
          <w:szCs w:val="18"/>
          <w:lang w:val="en-GB"/>
        </w:rPr>
        <w:t>2</w:t>
      </w:r>
      <w:r>
        <w:rPr>
          <w:iCs/>
          <w:szCs w:val="18"/>
          <w:lang w:val="en-GB"/>
        </w:rPr>
        <w:t xml:space="preserve">: </w:t>
      </w:r>
      <w:r w:rsidRPr="00D31051">
        <w:rPr>
          <w:rStyle w:val="Strong"/>
          <w:b w:val="0"/>
        </w:rPr>
        <w:t>e000180.</w:t>
      </w:r>
    </w:p>
    <w:p w14:paraId="4B4CA93F"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(Eisenstat and Bancroft 1999) </w:t>
      </w:r>
      <w:r w:rsidRPr="006436E9">
        <w:rPr>
          <w:noProof/>
        </w:rPr>
        <w:t>Eisenstat, S</w:t>
      </w:r>
      <w:r>
        <w:rPr>
          <w:noProof/>
        </w:rPr>
        <w:t xml:space="preserve">. </w:t>
      </w:r>
      <w:r w:rsidRPr="006436E9">
        <w:rPr>
          <w:noProof/>
        </w:rPr>
        <w:t>A</w:t>
      </w:r>
      <w:r>
        <w:rPr>
          <w:noProof/>
        </w:rPr>
        <w:t>.</w:t>
      </w:r>
      <w:r w:rsidRPr="006436E9">
        <w:rPr>
          <w:noProof/>
        </w:rPr>
        <w:t>, and L</w:t>
      </w:r>
      <w:r>
        <w:rPr>
          <w:noProof/>
        </w:rPr>
        <w:t>.</w:t>
      </w:r>
      <w:r w:rsidRPr="006436E9">
        <w:rPr>
          <w:noProof/>
        </w:rPr>
        <w:t xml:space="preserve"> Bancroft.</w:t>
      </w:r>
      <w:r w:rsidRPr="006436E9">
        <w:rPr>
          <w:szCs w:val="18"/>
          <w:lang w:val="en-GB"/>
        </w:rPr>
        <w:t xml:space="preserve">1999. Domestic Violence. </w:t>
      </w:r>
      <w:r w:rsidRPr="006436E9">
        <w:rPr>
          <w:i/>
          <w:iCs/>
          <w:szCs w:val="18"/>
          <w:lang w:val="en-GB"/>
        </w:rPr>
        <w:t>The New England Journal of Medicine</w:t>
      </w:r>
      <w:r w:rsidRPr="006436E9">
        <w:rPr>
          <w:szCs w:val="18"/>
          <w:lang w:val="en-GB"/>
        </w:rPr>
        <w:t xml:space="preserve"> 341: 886–92.</w:t>
      </w:r>
    </w:p>
    <w:p w14:paraId="5705A3A9" w14:textId="77777777" w:rsidR="00FF07A4" w:rsidRPr="006436E9" w:rsidRDefault="00FF07A4" w:rsidP="0029773E">
      <w:pPr>
        <w:pStyle w:val="MDPI71References"/>
        <w:numPr>
          <w:ilvl w:val="0"/>
          <w:numId w:val="0"/>
        </w:numPr>
        <w:ind w:left="425" w:hanging="425"/>
        <w:rPr>
          <w:szCs w:val="18"/>
          <w:lang w:val="en-GB"/>
        </w:rPr>
      </w:pPr>
      <w:r w:rsidRPr="006436E9">
        <w:rPr>
          <w:szCs w:val="18"/>
          <w:lang w:val="en-GB"/>
        </w:rPr>
        <w:t xml:space="preserve">(Far et al. 2020) Far, Nigel, Linda Davies, and Annette Blackstock. </w:t>
      </w:r>
      <w:r w:rsidRPr="006436E9">
        <w:rPr>
          <w:i/>
          <w:iCs/>
          <w:szCs w:val="18"/>
          <w:lang w:val="en-GB"/>
        </w:rPr>
        <w:t>Recommended Read Codes for Use in Safeguarding Children and Adults at Risk</w:t>
      </w:r>
      <w:r w:rsidRPr="006436E9">
        <w:rPr>
          <w:szCs w:val="18"/>
          <w:lang w:val="en-GB"/>
        </w:rPr>
        <w:t>. Cardiff: Public Health Wales.</w:t>
      </w:r>
    </w:p>
    <w:p w14:paraId="0E647911"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(Florence et al. 2011) </w:t>
      </w:r>
      <w:r w:rsidRPr="006436E9">
        <w:rPr>
          <w:noProof/>
        </w:rPr>
        <w:t>Florence, Curtis, Jonathan Shepherd, Iain Brennan, and Thomas Simon.</w:t>
      </w:r>
      <w:r w:rsidRPr="006436E9">
        <w:rPr>
          <w:szCs w:val="18"/>
          <w:lang w:val="en-GB"/>
        </w:rPr>
        <w:t xml:space="preserve">2011. Effectiveness of anonymised information sharing and use in health service, police, and local government partnership for preventing violence related injury: Experimental study and time series analysis. </w:t>
      </w:r>
      <w:r w:rsidRPr="006436E9">
        <w:rPr>
          <w:i/>
          <w:szCs w:val="18"/>
          <w:lang w:val="en-GB"/>
        </w:rPr>
        <w:t>BMJ</w:t>
      </w:r>
      <w:r w:rsidRPr="006436E9">
        <w:rPr>
          <w:szCs w:val="18"/>
          <w:lang w:val="en-GB"/>
        </w:rPr>
        <w:t xml:space="preserve"> 342: d3313 doi:10.1136/bmj.d3313.</w:t>
      </w:r>
    </w:p>
    <w:p w14:paraId="3F853F84"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(Garland et al. 2010) </w:t>
      </w:r>
      <w:r w:rsidRPr="006436E9">
        <w:rPr>
          <w:noProof/>
        </w:rPr>
        <w:t xml:space="preserve">Garland, Tammy S, Tara Richards, and Mikaela Cooney. </w:t>
      </w:r>
      <w:r w:rsidRPr="006436E9">
        <w:rPr>
          <w:szCs w:val="18"/>
          <w:lang w:val="en-GB"/>
        </w:rPr>
        <w:t xml:space="preserve">2010. Victims hidden in plain sight: The reality of victimization among the homeless. </w:t>
      </w:r>
      <w:r w:rsidRPr="006436E9">
        <w:rPr>
          <w:i/>
          <w:iCs/>
          <w:szCs w:val="18"/>
          <w:lang w:val="en-GB"/>
        </w:rPr>
        <w:t>Criminal Justice Studies</w:t>
      </w:r>
      <w:r w:rsidRPr="006436E9">
        <w:rPr>
          <w:szCs w:val="18"/>
          <w:lang w:val="en-GB"/>
        </w:rPr>
        <w:t xml:space="preserve"> 23: 285–301.</w:t>
      </w:r>
    </w:p>
    <w:p w14:paraId="75E28996" w14:textId="77777777" w:rsidR="00FF07A4" w:rsidRPr="006436E9" w:rsidRDefault="00FF07A4" w:rsidP="00E86BBE">
      <w:pPr>
        <w:pStyle w:val="MDPI71References"/>
        <w:numPr>
          <w:ilvl w:val="0"/>
          <w:numId w:val="0"/>
        </w:numPr>
        <w:ind w:left="425" w:hanging="425"/>
        <w:rPr>
          <w:szCs w:val="18"/>
          <w:lang w:val="en-GB"/>
        </w:rPr>
      </w:pPr>
      <w:bookmarkStart w:id="24" w:name="_Hlk160126217"/>
      <w:r w:rsidRPr="006436E9">
        <w:rPr>
          <w:szCs w:val="18"/>
          <w:lang w:val="en-GB"/>
        </w:rPr>
        <w:t>(Gray et al. 2017)</w:t>
      </w:r>
      <w:bookmarkEnd w:id="24"/>
      <w:r w:rsidRPr="006436E9">
        <w:rPr>
          <w:szCs w:val="18"/>
          <w:lang w:val="en-GB"/>
        </w:rPr>
        <w:t xml:space="preserve"> </w:t>
      </w:r>
      <w:r w:rsidRPr="006436E9">
        <w:rPr>
          <w:noProof/>
        </w:rPr>
        <w:t>Gray, Benjamin J, Emma R Barton, Alisha R Davies, Sara J Long, Janine Roderick, and Mark A Bellis.</w:t>
      </w:r>
      <w:r w:rsidRPr="006436E9">
        <w:rPr>
          <w:szCs w:val="18"/>
          <w:lang w:val="en-GB"/>
        </w:rPr>
        <w:t xml:space="preserve">A shared data approach more accurately represents the rates and patterns of violence with injury assaults. </w:t>
      </w:r>
      <w:r w:rsidRPr="006436E9">
        <w:rPr>
          <w:i/>
          <w:iCs/>
          <w:szCs w:val="18"/>
          <w:lang w:val="en-GB"/>
        </w:rPr>
        <w:t>Journal of Epidemiology and Community Health</w:t>
      </w:r>
      <w:r w:rsidRPr="006436E9">
        <w:rPr>
          <w:szCs w:val="18"/>
          <w:lang w:val="en-GB"/>
        </w:rPr>
        <w:t xml:space="preserve"> 71: 1218–24.</w:t>
      </w:r>
    </w:p>
    <w:p w14:paraId="0EC52925"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(Green et al. 2001) </w:t>
      </w:r>
      <w:r w:rsidRPr="006436E9">
        <w:rPr>
          <w:noProof/>
        </w:rPr>
        <w:t>Green, Larry A, George E Fryer Jr, Barbara P Yawn, David Lanier, and Susan M Dovey.</w:t>
      </w:r>
      <w:r w:rsidRPr="006436E9">
        <w:rPr>
          <w:szCs w:val="18"/>
          <w:lang w:val="en-GB"/>
        </w:rPr>
        <w:t xml:space="preserve">2001. </w:t>
      </w:r>
      <w:r w:rsidRPr="006436E9">
        <w:rPr>
          <w:i/>
          <w:iCs/>
          <w:szCs w:val="18"/>
          <w:lang w:val="en-GB"/>
        </w:rPr>
        <w:t>The Ecology of Medical Care Revisited</w:t>
      </w:r>
      <w:r w:rsidRPr="006436E9">
        <w:rPr>
          <w:szCs w:val="18"/>
          <w:lang w:val="en-GB"/>
        </w:rPr>
        <w:t>. Washington, DC: Massachusetts Medical Society; pp. 2021–25.</w:t>
      </w:r>
    </w:p>
    <w:p w14:paraId="3CC8286A"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(Gutierrez and Kirk 2017) </w:t>
      </w:r>
      <w:r w:rsidRPr="006436E9">
        <w:rPr>
          <w:noProof/>
        </w:rPr>
        <w:t>Gutierrez, Carmen M, and David S Kirk.</w:t>
      </w:r>
      <w:r w:rsidRPr="006436E9">
        <w:rPr>
          <w:szCs w:val="18"/>
          <w:lang w:val="en-GB"/>
        </w:rPr>
        <w:t xml:space="preserve">2017. Silence speaks: The relationship between immigration and the underreporting of crime. </w:t>
      </w:r>
      <w:r w:rsidRPr="006436E9">
        <w:rPr>
          <w:i/>
          <w:iCs/>
          <w:szCs w:val="18"/>
          <w:lang w:val="en-GB"/>
        </w:rPr>
        <w:t>Crime &amp; Delinquency</w:t>
      </w:r>
      <w:r w:rsidRPr="006436E9">
        <w:rPr>
          <w:szCs w:val="18"/>
          <w:lang w:val="en-GB"/>
        </w:rPr>
        <w:t xml:space="preserve"> 63: 926–50.</w:t>
      </w:r>
    </w:p>
    <w:p w14:paraId="65C33848"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(Harrison et al. 2020) </w:t>
      </w:r>
      <w:r w:rsidRPr="006436E9">
        <w:rPr>
          <w:noProof/>
        </w:rPr>
        <w:t xml:space="preserve">Harrison, Theresa, Lynda  Brazier, Peter  Sherratt, and Tom Hughes. </w:t>
      </w:r>
      <w:r w:rsidRPr="006436E9">
        <w:rPr>
          <w:szCs w:val="18"/>
          <w:lang w:val="en-GB"/>
        </w:rPr>
        <w:t xml:space="preserve">2020. </w:t>
      </w:r>
      <w:r w:rsidRPr="006436E9">
        <w:rPr>
          <w:i/>
          <w:iCs/>
          <w:szCs w:val="18"/>
          <w:lang w:val="en-GB"/>
        </w:rPr>
        <w:t>CDS Type 011—Emergency Care Data Set (ECDS) User Guide</w:t>
      </w:r>
      <w:r w:rsidRPr="006436E9">
        <w:rPr>
          <w:szCs w:val="18"/>
          <w:lang w:val="en-GB"/>
        </w:rPr>
        <w:t>. London: NHS England.</w:t>
      </w:r>
    </w:p>
    <w:p w14:paraId="0D5310D4"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(Healthcare Safety Investigation Branch 2023) Healthcare Safety Investigation Branch. 2023. </w:t>
      </w:r>
      <w:r w:rsidRPr="006436E9">
        <w:rPr>
          <w:i/>
          <w:iCs/>
          <w:szCs w:val="18"/>
          <w:lang w:val="en-GB"/>
        </w:rPr>
        <w:t>Non-Accidental Injuries in Infants Attending the Emergency Department</w:t>
      </w:r>
      <w:r w:rsidRPr="006436E9">
        <w:rPr>
          <w:szCs w:val="18"/>
          <w:lang w:val="en-GB"/>
        </w:rPr>
        <w:t>. Available online: https://www.hssib.org.uk/patient-safety-investigations/non-accidental-injuries-in-infants-attending-the-emergency-department/investigation-report/ (accessed on 18 December 2023).</w:t>
      </w:r>
    </w:p>
    <w:p w14:paraId="46B9535B"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(Heath 2002) </w:t>
      </w:r>
      <w:r w:rsidRPr="006436E9">
        <w:rPr>
          <w:noProof/>
        </w:rPr>
        <w:t>Heath, Iona</w:t>
      </w:r>
      <w:r w:rsidRPr="006436E9">
        <w:rPr>
          <w:szCs w:val="18"/>
          <w:lang w:val="en-GB"/>
        </w:rPr>
        <w:t xml:space="preserve">. 2002. </w:t>
      </w:r>
      <w:r w:rsidRPr="00886C4B">
        <w:rPr>
          <w:iCs/>
          <w:szCs w:val="18"/>
          <w:lang w:val="en-GB"/>
        </w:rPr>
        <w:t>Treating Violence as a Public Health Problem: The Approach Has Advantages But Diminishes the Human Rights Perspective</w:t>
      </w:r>
      <w:r w:rsidRPr="00886C4B">
        <w:rPr>
          <w:szCs w:val="18"/>
          <w:lang w:val="en-GB"/>
        </w:rPr>
        <w:t>.</w:t>
      </w:r>
      <w:r w:rsidRPr="006436E9">
        <w:rPr>
          <w:szCs w:val="18"/>
          <w:lang w:val="en-GB"/>
        </w:rPr>
        <w:t xml:space="preserve"> </w:t>
      </w:r>
      <w:r w:rsidRPr="00886C4B">
        <w:rPr>
          <w:i/>
          <w:szCs w:val="18"/>
          <w:lang w:val="en-GB"/>
        </w:rPr>
        <w:t>BMJ</w:t>
      </w:r>
      <w:r w:rsidRPr="006436E9">
        <w:rPr>
          <w:szCs w:val="18"/>
          <w:lang w:val="en-GB"/>
        </w:rPr>
        <w:t xml:space="preserve"> 325</w:t>
      </w:r>
      <w:r>
        <w:rPr>
          <w:szCs w:val="18"/>
          <w:lang w:val="en-GB"/>
        </w:rPr>
        <w:t>:</w:t>
      </w:r>
      <w:r w:rsidRPr="006436E9">
        <w:rPr>
          <w:szCs w:val="18"/>
          <w:lang w:val="en-GB"/>
        </w:rPr>
        <w:t xml:space="preserve"> 726</w:t>
      </w:r>
      <w:r>
        <w:rPr>
          <w:szCs w:val="18"/>
          <w:lang w:val="en-GB"/>
        </w:rPr>
        <w:t>–</w:t>
      </w:r>
      <w:r w:rsidRPr="006436E9">
        <w:rPr>
          <w:szCs w:val="18"/>
          <w:lang w:val="en-GB"/>
        </w:rPr>
        <w:t>27.</w:t>
      </w:r>
    </w:p>
    <w:p w14:paraId="4EBFA8B1"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(Herrett et al. 2015) </w:t>
      </w:r>
      <w:r w:rsidRPr="006436E9">
        <w:rPr>
          <w:noProof/>
        </w:rPr>
        <w:t xml:space="preserve">Herrett, Emily, Arlene M Gallagher, Krishnan Bhaskaran, Harriet Forbes, Rohini Mathur, Tjeerd Van Staa, and Liam Smeeth. </w:t>
      </w:r>
      <w:r w:rsidRPr="006436E9">
        <w:rPr>
          <w:szCs w:val="18"/>
          <w:lang w:val="en-GB"/>
        </w:rPr>
        <w:t xml:space="preserve">2015. Data resource profile: clinical practice research datalink (CPRD). </w:t>
      </w:r>
      <w:r w:rsidRPr="006436E9">
        <w:rPr>
          <w:i/>
          <w:iCs/>
          <w:szCs w:val="18"/>
          <w:lang w:val="en-GB"/>
        </w:rPr>
        <w:t>International Journal of Epidemiology</w:t>
      </w:r>
      <w:r w:rsidRPr="006436E9">
        <w:rPr>
          <w:szCs w:val="18"/>
          <w:lang w:val="en-GB"/>
        </w:rPr>
        <w:t xml:space="preserve"> 44: 827–36.</w:t>
      </w:r>
    </w:p>
    <w:p w14:paraId="29B777F4"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w:t>
      </w:r>
      <w:proofErr w:type="spellStart"/>
      <w:r w:rsidRPr="006436E9">
        <w:rPr>
          <w:szCs w:val="18"/>
          <w:lang w:val="en-GB"/>
        </w:rPr>
        <w:t>Hippisley</w:t>
      </w:r>
      <w:proofErr w:type="spellEnd"/>
      <w:r w:rsidRPr="006436E9">
        <w:rPr>
          <w:szCs w:val="18"/>
          <w:lang w:val="en-GB"/>
        </w:rPr>
        <w:t xml:space="preserve">-Cox and Vinogradova 2016) </w:t>
      </w:r>
      <w:proofErr w:type="spellStart"/>
      <w:r w:rsidRPr="006436E9">
        <w:rPr>
          <w:szCs w:val="18"/>
          <w:lang w:val="en-GB"/>
        </w:rPr>
        <w:t>Hippisley</w:t>
      </w:r>
      <w:proofErr w:type="spellEnd"/>
      <w:r w:rsidRPr="006436E9">
        <w:rPr>
          <w:szCs w:val="18"/>
          <w:lang w:val="en-GB"/>
        </w:rPr>
        <w:t xml:space="preserve">-Cox, Julia and Yana Vinogradova. 2016. </w:t>
      </w:r>
      <w:r w:rsidRPr="00886C4B">
        <w:rPr>
          <w:i/>
          <w:szCs w:val="18"/>
          <w:lang w:val="en-GB"/>
        </w:rPr>
        <w:t xml:space="preserve">Trends in Consultation Rates in General Practice 1995/1996 to 2008/2009: Analysis of the </w:t>
      </w:r>
      <w:proofErr w:type="spellStart"/>
      <w:r w:rsidRPr="00886C4B">
        <w:rPr>
          <w:i/>
          <w:szCs w:val="18"/>
          <w:lang w:val="en-GB"/>
        </w:rPr>
        <w:t>QResearch</w:t>
      </w:r>
      <w:proofErr w:type="spellEnd"/>
      <w:r w:rsidRPr="00886C4B">
        <w:rPr>
          <w:i/>
          <w:szCs w:val="18"/>
          <w:vertAlign w:val="superscript"/>
          <w:lang w:val="en-GB"/>
        </w:rPr>
        <w:t>®</w:t>
      </w:r>
      <w:r w:rsidRPr="00886C4B">
        <w:rPr>
          <w:i/>
          <w:szCs w:val="18"/>
          <w:lang w:val="en-GB"/>
        </w:rPr>
        <w:t xml:space="preserve"> Database</w:t>
      </w:r>
      <w:r w:rsidRPr="006436E9">
        <w:rPr>
          <w:szCs w:val="18"/>
          <w:lang w:val="en-GB"/>
        </w:rPr>
        <w:t>. London: Health and Social Care Information Centre.</w:t>
      </w:r>
    </w:p>
    <w:p w14:paraId="7E818375"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(Hofner et al. 2005</w:t>
      </w:r>
      <w:r w:rsidRPr="006436E9">
        <w:rPr>
          <w:noProof/>
        </w:rPr>
        <w:t xml:space="preserve"> Hofner, Marie-Claude, Nathalie Viens Python, Erika Martin, Jean-Pierre Gervasoni, Bertrand Graz, and Bertrand Yersin.</w:t>
      </w:r>
      <w:r w:rsidRPr="006436E9">
        <w:rPr>
          <w:szCs w:val="18"/>
          <w:lang w:val="en-GB"/>
        </w:rPr>
        <w:t xml:space="preserve"> 2005. Prevalence of victims of violence admitted to an emergency department. </w:t>
      </w:r>
      <w:r w:rsidRPr="006436E9">
        <w:rPr>
          <w:i/>
          <w:iCs/>
          <w:szCs w:val="18"/>
          <w:lang w:val="en-GB"/>
        </w:rPr>
        <w:t>Emergency Medicine Journal</w:t>
      </w:r>
      <w:r w:rsidRPr="006436E9">
        <w:rPr>
          <w:szCs w:val="18"/>
          <w:lang w:val="en-GB"/>
        </w:rPr>
        <w:t xml:space="preserve"> 22: 481–85.</w:t>
      </w:r>
    </w:p>
    <w:p w14:paraId="499D2C12"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(Howard et al. 2010) </w:t>
      </w:r>
      <w:r w:rsidRPr="006436E9">
        <w:rPr>
          <w:noProof/>
        </w:rPr>
        <w:t>Howard, Louise M, Kylee Trevillion, and Roxane Agnew-Davies.</w:t>
      </w:r>
      <w:r w:rsidRPr="006436E9">
        <w:rPr>
          <w:szCs w:val="18"/>
          <w:lang w:val="en-GB"/>
        </w:rPr>
        <w:t xml:space="preserve"> 2010. Domestic violence and mental health. </w:t>
      </w:r>
      <w:r w:rsidRPr="006436E9">
        <w:rPr>
          <w:i/>
          <w:iCs/>
          <w:szCs w:val="18"/>
          <w:lang w:val="en-GB"/>
        </w:rPr>
        <w:t>International Review of Psychiatry</w:t>
      </w:r>
      <w:r w:rsidRPr="006436E9">
        <w:rPr>
          <w:szCs w:val="18"/>
          <w:lang w:val="en-GB"/>
        </w:rPr>
        <w:t xml:space="preserve"> 22: 525–34.</w:t>
      </w:r>
    </w:p>
    <w:p w14:paraId="2DB07F17"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(Hughes et al. 2019) </w:t>
      </w:r>
      <w:r w:rsidRPr="006436E9">
        <w:rPr>
          <w:noProof/>
        </w:rPr>
        <w:t>Hughes, Elizabeth, Michael Lucock, and Charlie Brooker</w:t>
      </w:r>
      <w:r w:rsidRPr="006436E9">
        <w:rPr>
          <w:szCs w:val="18"/>
          <w:lang w:val="en-GB"/>
        </w:rPr>
        <w:t xml:space="preserve">. Sexual violence and mental health services: A call to action. </w:t>
      </w:r>
      <w:r w:rsidRPr="006436E9">
        <w:rPr>
          <w:i/>
          <w:iCs/>
          <w:szCs w:val="18"/>
          <w:lang w:val="en-GB"/>
        </w:rPr>
        <w:t>Epidemiology and Psychiatric Sciences</w:t>
      </w:r>
      <w:r w:rsidRPr="006436E9">
        <w:rPr>
          <w:szCs w:val="18"/>
          <w:lang w:val="en-GB"/>
        </w:rPr>
        <w:t xml:space="preserve"> 28: 594–97.</w:t>
      </w:r>
    </w:p>
    <w:p w14:paraId="670852F2"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(Hughes K et al. 2017) Hughes, Karen, Mark A. Bellis, Katherine A. Hardcastle, Dinesh Sethi, Alexander Butchart, Christopher </w:t>
      </w:r>
      <w:proofErr w:type="spellStart"/>
      <w:r w:rsidRPr="006436E9">
        <w:rPr>
          <w:szCs w:val="18"/>
          <w:lang w:val="en-GB"/>
        </w:rPr>
        <w:t>Mikton</w:t>
      </w:r>
      <w:proofErr w:type="spellEnd"/>
      <w:r w:rsidRPr="006436E9">
        <w:rPr>
          <w:szCs w:val="18"/>
          <w:lang w:val="en-GB"/>
        </w:rPr>
        <w:t xml:space="preserve">, Lisa Jones, and Michael P. Dunne. 2017. The effect of multiple adverse childhood experiences on health: a systematic review and meta-analysis. </w:t>
      </w:r>
      <w:r w:rsidRPr="006436E9">
        <w:rPr>
          <w:i/>
          <w:iCs/>
          <w:szCs w:val="18"/>
          <w:lang w:val="en-GB"/>
        </w:rPr>
        <w:t>The Lancet Public Health</w:t>
      </w:r>
      <w:r w:rsidRPr="006436E9">
        <w:rPr>
          <w:szCs w:val="18"/>
          <w:lang w:val="en-GB"/>
        </w:rPr>
        <w:t xml:space="preserve"> 2: e356–66.</w:t>
      </w:r>
    </w:p>
    <w:p w14:paraId="4562F397" w14:textId="77777777" w:rsidR="00FF07A4" w:rsidRPr="006436E9" w:rsidRDefault="00FF07A4" w:rsidP="00E86BBE">
      <w:pPr>
        <w:pStyle w:val="MDPI71References"/>
        <w:numPr>
          <w:ilvl w:val="0"/>
          <w:numId w:val="0"/>
        </w:numPr>
        <w:ind w:left="425" w:hanging="425"/>
        <w:rPr>
          <w:szCs w:val="18"/>
          <w:lang w:val="en-GB"/>
        </w:rPr>
      </w:pPr>
      <w:r w:rsidRPr="00460A49">
        <w:rPr>
          <w:szCs w:val="18"/>
          <w:lang w:val="en-GB"/>
        </w:rPr>
        <w:t>(</w:t>
      </w:r>
      <w:r w:rsidRPr="00837FF5">
        <w:rPr>
          <w:szCs w:val="18"/>
          <w:lang w:val="en-GB"/>
        </w:rPr>
        <w:t>Jackson et al. 2019</w:t>
      </w:r>
      <w:r w:rsidRPr="00460A49">
        <w:rPr>
          <w:szCs w:val="18"/>
          <w:lang w:val="en-GB"/>
        </w:rPr>
        <w:t>)</w:t>
      </w:r>
      <w:r w:rsidRPr="006436E9">
        <w:rPr>
          <w:szCs w:val="18"/>
          <w:lang w:val="en-GB"/>
        </w:rPr>
        <w:t xml:space="preserve"> Jackson, Joni, Natalia V. Lewis, Gene S. Feder, Penny Whiting, Timothy Jones, John Macleod, and Maria Theresa </w:t>
      </w:r>
      <w:proofErr w:type="spellStart"/>
      <w:r w:rsidRPr="006436E9">
        <w:rPr>
          <w:szCs w:val="18"/>
          <w:lang w:val="en-GB"/>
        </w:rPr>
        <w:t>Redaniel</w:t>
      </w:r>
      <w:proofErr w:type="spellEnd"/>
      <w:r w:rsidRPr="006436E9">
        <w:rPr>
          <w:szCs w:val="18"/>
          <w:lang w:val="en-GB"/>
        </w:rPr>
        <w:t xml:space="preserve">. 2019. Exposure to domestic violence and abuse and consultations for emergency contraception: nested case-control study in a UK primary care dataset. </w:t>
      </w:r>
      <w:r w:rsidRPr="006436E9">
        <w:rPr>
          <w:i/>
          <w:iCs/>
          <w:szCs w:val="18"/>
          <w:lang w:val="en-GB"/>
        </w:rPr>
        <w:t>British Journal of General Practice</w:t>
      </w:r>
      <w:r w:rsidRPr="006436E9">
        <w:rPr>
          <w:szCs w:val="18"/>
          <w:lang w:val="en-GB"/>
        </w:rPr>
        <w:t xml:space="preserve"> 69: e199–e207.</w:t>
      </w:r>
    </w:p>
    <w:p w14:paraId="0027D45B"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(Jain et al. 2017) </w:t>
      </w:r>
      <w:r w:rsidRPr="006436E9">
        <w:rPr>
          <w:noProof/>
        </w:rPr>
        <w:t>Jain, Anu, Albert J van Hoek, Jemma L Walker, Rohini Mathur, Liam Smeeth, and Sara L Thomas.</w:t>
      </w:r>
      <w:r w:rsidRPr="006436E9">
        <w:rPr>
          <w:szCs w:val="18"/>
          <w:lang w:val="en-GB"/>
        </w:rPr>
        <w:t xml:space="preserve"> 2017. Identifying social factors amongst older individuals in linked electronic health records: an assessment in a population based study. </w:t>
      </w:r>
      <w:proofErr w:type="spellStart"/>
      <w:r w:rsidRPr="006436E9">
        <w:rPr>
          <w:i/>
          <w:szCs w:val="18"/>
          <w:lang w:val="en-GB"/>
        </w:rPr>
        <w:t>PLoS</w:t>
      </w:r>
      <w:proofErr w:type="spellEnd"/>
      <w:r w:rsidRPr="006436E9">
        <w:rPr>
          <w:i/>
          <w:szCs w:val="18"/>
          <w:lang w:val="en-GB"/>
        </w:rPr>
        <w:t xml:space="preserve"> ONE</w:t>
      </w:r>
      <w:r w:rsidRPr="006436E9">
        <w:rPr>
          <w:szCs w:val="18"/>
          <w:lang w:val="en-GB"/>
        </w:rPr>
        <w:t xml:space="preserve"> 12: e0189038.</w:t>
      </w:r>
    </w:p>
    <w:p w14:paraId="130A5B23"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(Jewkes 2002) </w:t>
      </w:r>
      <w:r w:rsidRPr="006436E9">
        <w:rPr>
          <w:noProof/>
        </w:rPr>
        <w:t>Jewkes, Rachel.</w:t>
      </w:r>
      <w:r w:rsidRPr="006436E9">
        <w:rPr>
          <w:szCs w:val="18"/>
          <w:lang w:val="en-GB"/>
        </w:rPr>
        <w:t xml:space="preserve"> 2002</w:t>
      </w:r>
      <w:r w:rsidRPr="00EC2D73">
        <w:rPr>
          <w:szCs w:val="18"/>
          <w:lang w:val="en-GB"/>
        </w:rPr>
        <w:t xml:space="preserve">. </w:t>
      </w:r>
      <w:r w:rsidRPr="00EC2D73">
        <w:rPr>
          <w:iCs/>
          <w:szCs w:val="18"/>
          <w:lang w:val="en-GB"/>
        </w:rPr>
        <w:t>Preventing Domestic Violence: Most Women Welcome Inquiries, But Doctors and Nurses Rarely Ask about It</w:t>
      </w:r>
      <w:r w:rsidRPr="00EC2D73">
        <w:rPr>
          <w:szCs w:val="18"/>
          <w:lang w:val="en-GB"/>
        </w:rPr>
        <w:t xml:space="preserve">. </w:t>
      </w:r>
      <w:r w:rsidRPr="00EC2D73">
        <w:rPr>
          <w:i/>
          <w:szCs w:val="18"/>
          <w:lang w:val="en-GB"/>
        </w:rPr>
        <w:t>BMJ</w:t>
      </w:r>
      <w:r w:rsidRPr="006436E9">
        <w:rPr>
          <w:szCs w:val="18"/>
          <w:lang w:val="en-GB"/>
        </w:rPr>
        <w:t xml:space="preserve"> 324</w:t>
      </w:r>
      <w:r>
        <w:rPr>
          <w:szCs w:val="18"/>
          <w:lang w:val="en-GB"/>
        </w:rPr>
        <w:t>:</w:t>
      </w:r>
      <w:r w:rsidRPr="006436E9">
        <w:rPr>
          <w:szCs w:val="18"/>
          <w:lang w:val="en-GB"/>
        </w:rPr>
        <w:t xml:space="preserve"> 253</w:t>
      </w:r>
      <w:r>
        <w:rPr>
          <w:szCs w:val="18"/>
          <w:lang w:val="en-GB"/>
        </w:rPr>
        <w:t>–</w:t>
      </w:r>
      <w:r w:rsidRPr="006436E9">
        <w:rPr>
          <w:szCs w:val="18"/>
          <w:lang w:val="en-GB"/>
        </w:rPr>
        <w:t>54.</w:t>
      </w:r>
    </w:p>
    <w:p w14:paraId="0F570A69"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(Kirk and Bezzant 2020) </w:t>
      </w:r>
      <w:r w:rsidRPr="006436E9">
        <w:rPr>
          <w:noProof/>
        </w:rPr>
        <w:t>Kirk, Leah, and Kim Bezzant.</w:t>
      </w:r>
      <w:r w:rsidRPr="006436E9">
        <w:rPr>
          <w:szCs w:val="18"/>
          <w:lang w:val="en-GB"/>
        </w:rPr>
        <w:t xml:space="preserve"> 2020. What barriers prevent health professionals screening women for domestic abuse? A literature review. </w:t>
      </w:r>
      <w:r w:rsidRPr="006436E9">
        <w:rPr>
          <w:i/>
          <w:iCs/>
          <w:szCs w:val="18"/>
          <w:lang w:val="en-GB"/>
        </w:rPr>
        <w:t>British Journal of Nursing</w:t>
      </w:r>
      <w:r w:rsidRPr="006436E9">
        <w:rPr>
          <w:szCs w:val="18"/>
          <w:lang w:val="en-GB"/>
        </w:rPr>
        <w:t xml:space="preserve"> 29: 754–60.</w:t>
      </w:r>
    </w:p>
    <w:p w14:paraId="193724F0"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(Krug et al. 2002) Krug, Etienne G., Linda L. Dahlberg, James A. Mercy, Anthony B. Zwi, and Rafael Lozano. 2002. </w:t>
      </w:r>
      <w:r w:rsidRPr="006436E9">
        <w:rPr>
          <w:i/>
          <w:iCs/>
          <w:szCs w:val="18"/>
          <w:lang w:val="en-GB"/>
        </w:rPr>
        <w:t>World Report on Violence and Health</w:t>
      </w:r>
      <w:r w:rsidRPr="006436E9">
        <w:rPr>
          <w:szCs w:val="18"/>
          <w:lang w:val="en-GB"/>
        </w:rPr>
        <w:t>. Geneva: World Health Organization.</w:t>
      </w:r>
    </w:p>
    <w:p w14:paraId="7390B919" w14:textId="77777777" w:rsidR="00FF07A4" w:rsidRPr="006436E9" w:rsidRDefault="00FF07A4" w:rsidP="00E86BBE">
      <w:pPr>
        <w:pStyle w:val="MDPI71References"/>
        <w:numPr>
          <w:ilvl w:val="0"/>
          <w:numId w:val="0"/>
        </w:numPr>
        <w:ind w:left="425" w:hanging="425"/>
        <w:rPr>
          <w:szCs w:val="18"/>
          <w:lang w:val="en-GB"/>
        </w:rPr>
      </w:pPr>
      <w:r w:rsidRPr="00460A49">
        <w:rPr>
          <w:szCs w:val="18"/>
          <w:lang w:val="en-GB"/>
        </w:rPr>
        <w:t>(</w:t>
      </w:r>
      <w:r w:rsidRPr="00837FF5">
        <w:rPr>
          <w:szCs w:val="18"/>
          <w:lang w:val="en-GB"/>
        </w:rPr>
        <w:t>Lipscombe et al. 2023</w:t>
      </w:r>
      <w:r w:rsidRPr="00460A49">
        <w:rPr>
          <w:szCs w:val="18"/>
          <w:lang w:val="en-GB"/>
        </w:rPr>
        <w:t>)</w:t>
      </w:r>
      <w:r w:rsidRPr="006436E9">
        <w:rPr>
          <w:szCs w:val="18"/>
          <w:lang w:val="en-GB"/>
        </w:rPr>
        <w:t xml:space="preserve"> </w:t>
      </w:r>
      <w:r w:rsidRPr="006436E9">
        <w:rPr>
          <w:noProof/>
        </w:rPr>
        <w:t>Lipscombe, Sally, Lulu Meade, Maria Lalic, and Georgina Sturge.</w:t>
      </w:r>
      <w:r w:rsidRPr="006436E9">
        <w:rPr>
          <w:szCs w:val="18"/>
          <w:lang w:val="en-GB"/>
        </w:rPr>
        <w:t xml:space="preserve"> 2023. </w:t>
      </w:r>
      <w:r w:rsidRPr="006436E9">
        <w:rPr>
          <w:i/>
          <w:iCs/>
          <w:szCs w:val="18"/>
          <w:lang w:val="en-GB"/>
        </w:rPr>
        <w:t>Criminalisation of Victims of Violence against Women from Ethnic Minority and Migrant Communities</w:t>
      </w:r>
      <w:r w:rsidRPr="006436E9">
        <w:rPr>
          <w:szCs w:val="18"/>
          <w:lang w:val="en-GB"/>
        </w:rPr>
        <w:t>. London: House of Commons.</w:t>
      </w:r>
    </w:p>
    <w:p w14:paraId="1219E309"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(Medicines &amp; Healthcare products Regulatory Agency 2021) Medicines &amp; Healthcare products Regulatory Agency. 2021. </w:t>
      </w:r>
      <w:r w:rsidRPr="006436E9">
        <w:rPr>
          <w:i/>
          <w:iCs/>
          <w:szCs w:val="18"/>
          <w:lang w:val="en-GB"/>
        </w:rPr>
        <w:t>Hospital Episode Statistics (HES) Accident &amp; Emergency and CPRD primary care data Documentation (set 21)</w:t>
      </w:r>
      <w:r w:rsidRPr="006436E9">
        <w:rPr>
          <w:szCs w:val="18"/>
          <w:lang w:val="en-GB"/>
        </w:rPr>
        <w:t>. London: National Institute for Health Research.</w:t>
      </w:r>
    </w:p>
    <w:p w14:paraId="06278BFE"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w:t>
      </w:r>
      <w:proofErr w:type="spellStart"/>
      <w:r w:rsidRPr="006436E9">
        <w:rPr>
          <w:szCs w:val="18"/>
          <w:lang w:val="en-GB"/>
        </w:rPr>
        <w:t>Meyersfeld</w:t>
      </w:r>
      <w:proofErr w:type="spellEnd"/>
      <w:r w:rsidRPr="006436E9">
        <w:rPr>
          <w:szCs w:val="18"/>
          <w:lang w:val="en-GB"/>
        </w:rPr>
        <w:t xml:space="preserve"> 2012) </w:t>
      </w:r>
      <w:proofErr w:type="spellStart"/>
      <w:r w:rsidRPr="006436E9">
        <w:rPr>
          <w:szCs w:val="18"/>
          <w:lang w:val="en-GB"/>
        </w:rPr>
        <w:t>Meyersfeld</w:t>
      </w:r>
      <w:proofErr w:type="spellEnd"/>
      <w:r w:rsidRPr="006436E9">
        <w:rPr>
          <w:szCs w:val="18"/>
          <w:lang w:val="en-GB"/>
        </w:rPr>
        <w:t xml:space="preserve">, Bonita C.2012. The council of Europe convention on preventing and combating violence against women and domestic violence: council of Europe convention on preventing and combating violence against women and domestic violence. </w:t>
      </w:r>
      <w:r w:rsidRPr="006436E9">
        <w:rPr>
          <w:i/>
          <w:iCs/>
          <w:szCs w:val="18"/>
          <w:lang w:val="en-GB"/>
        </w:rPr>
        <w:t>International Legal Materials</w:t>
      </w:r>
      <w:r w:rsidRPr="006436E9">
        <w:rPr>
          <w:szCs w:val="18"/>
          <w:lang w:val="en-GB"/>
        </w:rPr>
        <w:t xml:space="preserve"> 51: 106–32.</w:t>
      </w:r>
    </w:p>
    <w:p w14:paraId="363239D5"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lastRenderedPageBreak/>
        <w:t>(National Institute for Health Research 2022) National Institute for Health Research. 2022. CPRD Linked Data. Available online: https://cprd.com/cprd-linked-data (accessed on 18 December 2023).</w:t>
      </w:r>
    </w:p>
    <w:p w14:paraId="3FE180D0"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(NHS Digital 2013) NHS Digital. 2013. </w:t>
      </w:r>
      <w:proofErr w:type="spellStart"/>
      <w:r w:rsidRPr="006436E9">
        <w:rPr>
          <w:i/>
          <w:iCs/>
          <w:szCs w:val="18"/>
          <w:lang w:val="en-GB"/>
        </w:rPr>
        <w:t>Uncurated</w:t>
      </w:r>
      <w:proofErr w:type="spellEnd"/>
      <w:r w:rsidRPr="006436E9">
        <w:rPr>
          <w:i/>
          <w:iCs/>
          <w:szCs w:val="18"/>
          <w:lang w:val="en-GB"/>
        </w:rPr>
        <w:t xml:space="preserve"> Low Latency Hospital Data Sets for Admitted Patient Care, Outpatient Care, Critical Care</w:t>
      </w:r>
      <w:r w:rsidRPr="006436E9">
        <w:rPr>
          <w:szCs w:val="18"/>
          <w:lang w:val="en-GB"/>
        </w:rPr>
        <w:t xml:space="preserve">. </w:t>
      </w:r>
      <w:bookmarkStart w:id="25" w:name="_Hlk160124483"/>
      <w:r w:rsidRPr="006436E9">
        <w:rPr>
          <w:szCs w:val="18"/>
          <w:lang w:val="en-GB"/>
        </w:rPr>
        <w:t>Available online: https://digital.nhs.uk/services/data-access-request-service-dars/uncurated-low-latency-hospital-data-sets-for-admitted-patient-care-outpatient-and-critical-care (accessed on 18 December 2023).</w:t>
      </w:r>
      <w:bookmarkEnd w:id="25"/>
    </w:p>
    <w:p w14:paraId="49177CA2" w14:textId="7915E496"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(NHS Digital 2021) NHS Digital. 2021. </w:t>
      </w:r>
      <w:r w:rsidRPr="006436E9">
        <w:rPr>
          <w:i/>
          <w:iCs/>
          <w:szCs w:val="18"/>
          <w:lang w:val="en-GB"/>
        </w:rPr>
        <w:t>Hospital Episode Statistics Data Dictionary</w:t>
      </w:r>
      <w:r w:rsidRPr="006436E9">
        <w:rPr>
          <w:szCs w:val="18"/>
          <w:lang w:val="en-GB"/>
        </w:rPr>
        <w:t xml:space="preserve">. Available online: </w:t>
      </w:r>
      <w:r w:rsidRPr="00286437">
        <w:rPr>
          <w:szCs w:val="18"/>
          <w:lang w:val="en-GB"/>
        </w:rPr>
        <w:t>https://digital.nhs.uk/data-and-information/data-tools-and-services/data-services/hospital-episode-statistics/hospital-episode-statistics-data-dictionary</w:t>
      </w:r>
      <w:r w:rsidRPr="006436E9">
        <w:rPr>
          <w:szCs w:val="18"/>
          <w:lang w:val="en-GB"/>
        </w:rPr>
        <w:t xml:space="preserve"> (accessed on 18 December 2023).</w:t>
      </w:r>
    </w:p>
    <w:p w14:paraId="25154139" w14:textId="357F9B23" w:rsidR="00FF07A4" w:rsidRPr="006436E9" w:rsidRDefault="00FF07A4" w:rsidP="00E86BBE">
      <w:pPr>
        <w:pStyle w:val="MDPI71References"/>
        <w:numPr>
          <w:ilvl w:val="0"/>
          <w:numId w:val="0"/>
        </w:numPr>
        <w:ind w:left="425" w:hanging="425"/>
        <w:rPr>
          <w:szCs w:val="18"/>
          <w:lang w:val="en-GB"/>
        </w:rPr>
      </w:pPr>
      <w:r w:rsidRPr="00FF2629">
        <w:rPr>
          <w:szCs w:val="18"/>
          <w:lang w:val="en-GB"/>
        </w:rPr>
        <w:t>(</w:t>
      </w:r>
      <w:r w:rsidRPr="00837FF5">
        <w:rPr>
          <w:szCs w:val="18"/>
          <w:lang w:val="en-GB"/>
        </w:rPr>
        <w:t>NHS Digital 2022</w:t>
      </w:r>
      <w:r w:rsidRPr="00FF2629">
        <w:rPr>
          <w:szCs w:val="18"/>
          <w:lang w:val="en-GB"/>
        </w:rPr>
        <w:t>)</w:t>
      </w:r>
      <w:r w:rsidRPr="006436E9">
        <w:rPr>
          <w:szCs w:val="18"/>
          <w:lang w:val="en-GB"/>
        </w:rPr>
        <w:t xml:space="preserve"> NHS Digital. 2022. Methodology Change Notice Provision A&amp;E Quality Indicators England by Provider and Provisional Monthly Hospital Episode Statistics Data 2022. </w:t>
      </w:r>
      <w:bookmarkStart w:id="26" w:name="_Hlk160125676"/>
      <w:r w:rsidRPr="006436E9">
        <w:rPr>
          <w:szCs w:val="18"/>
          <w:lang w:val="en-GB"/>
        </w:rPr>
        <w:t xml:space="preserve">Available online: </w:t>
      </w:r>
      <w:r w:rsidRPr="00286437">
        <w:rPr>
          <w:szCs w:val="18"/>
          <w:lang w:val="en-GB"/>
        </w:rPr>
        <w:t>https://digital.nhs.uk/data-and-information/find-data-and-publications/statement-of-administrative-sources/methodological-changes/methodology-change-notice-provision-ae-quality-indicators-england-by-provider-and-provisional-monthly-hospital-episode-statistics-data</w:t>
      </w:r>
      <w:r w:rsidRPr="006436E9">
        <w:rPr>
          <w:szCs w:val="18"/>
          <w:lang w:val="en-GB"/>
        </w:rPr>
        <w:t xml:space="preserve"> (accessed on 18 December 2023).</w:t>
      </w:r>
      <w:bookmarkEnd w:id="26"/>
    </w:p>
    <w:p w14:paraId="3B73F08A"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(NHS Digital 2023) NHS Digital. 2023. </w:t>
      </w:r>
      <w:r w:rsidRPr="006436E9">
        <w:rPr>
          <w:i/>
          <w:iCs/>
          <w:szCs w:val="18"/>
          <w:lang w:val="en-GB"/>
        </w:rPr>
        <w:t>ECDS Guidance and Documents</w:t>
      </w:r>
      <w:r w:rsidRPr="006436E9">
        <w:rPr>
          <w:szCs w:val="18"/>
          <w:lang w:val="en-GB"/>
        </w:rPr>
        <w:t xml:space="preserve">. </w:t>
      </w:r>
      <w:bookmarkStart w:id="27" w:name="_Hlk160124568"/>
      <w:r w:rsidRPr="006436E9">
        <w:rPr>
          <w:szCs w:val="18"/>
          <w:lang w:val="en-GB"/>
        </w:rPr>
        <w:t>Available online: https://digital.nhs.uk/data-and-information/data-collections-and-data-sets/data-sets/emergency-care-data-set-ecds/ecds-guidance (accessed on 18 December 2023).</w:t>
      </w:r>
      <w:bookmarkEnd w:id="27"/>
    </w:p>
    <w:p w14:paraId="69DFA6E3"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(NHS England 2015) NHS England. 2015. </w:t>
      </w:r>
      <w:r w:rsidRPr="006436E9">
        <w:rPr>
          <w:i/>
          <w:iCs/>
          <w:szCs w:val="18"/>
          <w:lang w:val="en-GB"/>
        </w:rPr>
        <w:t>ECDS Emergency Care Dataset v. 2.1</w:t>
      </w:r>
      <w:r w:rsidRPr="006436E9">
        <w:rPr>
          <w:szCs w:val="18"/>
          <w:lang w:val="en-GB"/>
        </w:rPr>
        <w:t>. Available online: https://www.england.nhs.uk/wp-content/uploads/2015/12/ecds-v2-1.pdf (accessed on 18 December 2023).</w:t>
      </w:r>
    </w:p>
    <w:p w14:paraId="44123A9E" w14:textId="5A701463" w:rsidR="00FF07A4" w:rsidRPr="006436E9" w:rsidRDefault="00FF07A4" w:rsidP="00E86BBE">
      <w:pPr>
        <w:pStyle w:val="MDPI71References"/>
        <w:numPr>
          <w:ilvl w:val="0"/>
          <w:numId w:val="0"/>
        </w:numPr>
        <w:ind w:left="425" w:hanging="425"/>
        <w:rPr>
          <w:szCs w:val="18"/>
          <w:lang w:val="en-GB"/>
        </w:rPr>
      </w:pPr>
      <w:r w:rsidRPr="007D4577">
        <w:rPr>
          <w:szCs w:val="18"/>
          <w:lang w:val="en-GB"/>
        </w:rPr>
        <w:t>(</w:t>
      </w:r>
      <w:r w:rsidRPr="00837FF5">
        <w:rPr>
          <w:szCs w:val="18"/>
          <w:lang w:val="en-GB"/>
        </w:rPr>
        <w:t>Office for National Statistics 2019</w:t>
      </w:r>
      <w:r w:rsidRPr="007D4577">
        <w:rPr>
          <w:szCs w:val="18"/>
          <w:lang w:val="en-GB"/>
        </w:rPr>
        <w:t>)</w:t>
      </w:r>
      <w:r w:rsidRPr="006436E9">
        <w:rPr>
          <w:szCs w:val="18"/>
          <w:lang w:val="en-GB"/>
        </w:rPr>
        <w:t xml:space="preserve"> Office for National Statistics. 2019. The nature of violent crime in England and Wales: Year ending March 2018.</w:t>
      </w:r>
      <w:r w:rsidR="007D4577">
        <w:t xml:space="preserve"> </w:t>
      </w:r>
      <w:r w:rsidR="008E7C30" w:rsidRPr="008E7C30">
        <w:rPr>
          <w:szCs w:val="18"/>
          <w:lang w:val="en-GB"/>
        </w:rPr>
        <w:t xml:space="preserve">Available online: </w:t>
      </w:r>
      <w:hyperlink r:id="rId18" w:history="1">
        <w:r w:rsidR="00D2349A" w:rsidRPr="00EA06EC">
          <w:rPr>
            <w:rStyle w:val="Hyperlink"/>
            <w:szCs w:val="18"/>
            <w:lang w:val="en-GB"/>
          </w:rPr>
          <w:t>https://www.ons.gov.uk/peoplepopulationandcommunity/crimeandjustice/articles/thenatureofviolentcrimeinenglandandwales/yearendingmarch2018</w:t>
        </w:r>
      </w:hyperlink>
      <w:r w:rsidR="00D2349A">
        <w:rPr>
          <w:szCs w:val="18"/>
          <w:lang w:val="en-GB"/>
        </w:rPr>
        <w:t xml:space="preserve"> </w:t>
      </w:r>
      <w:r w:rsidR="008E7C30" w:rsidRPr="008E7C30">
        <w:rPr>
          <w:szCs w:val="18"/>
          <w:lang w:val="en-GB"/>
        </w:rPr>
        <w:t>(accessed on 18 December 2023).</w:t>
      </w:r>
    </w:p>
    <w:p w14:paraId="0A5F854F" w14:textId="63DC02CA"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(Office for National Statistics 2021) Office for National Statistics. 2021. </w:t>
      </w:r>
      <w:r w:rsidRPr="006436E9">
        <w:rPr>
          <w:i/>
          <w:iCs/>
          <w:szCs w:val="18"/>
          <w:lang w:val="en-GB"/>
        </w:rPr>
        <w:t>Crime in England and Wales: year ending December 2021</w:t>
      </w:r>
      <w:r w:rsidRPr="006436E9">
        <w:rPr>
          <w:szCs w:val="18"/>
          <w:lang w:val="en-GB"/>
        </w:rPr>
        <w:t>. Available online: https://www.ons.gov.uk/peoplepopulationandcommunity/crimeandjustice/bulletins/crimeinenglandandwales/yearendingdecember2021 (accessed on 18 December 2023).</w:t>
      </w:r>
    </w:p>
    <w:p w14:paraId="0D89ED3C"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(Olive 2018) Olive, Philippa. 2018. Intimate partner violence and clinical coding: Issues with the use of the International classification of disease (ICD-10) in England. </w:t>
      </w:r>
      <w:r w:rsidRPr="006436E9">
        <w:rPr>
          <w:i/>
          <w:iCs/>
          <w:szCs w:val="18"/>
          <w:lang w:val="en-GB"/>
        </w:rPr>
        <w:t>Journal of Health Services Research &amp; Policy</w:t>
      </w:r>
      <w:r w:rsidRPr="006436E9">
        <w:rPr>
          <w:szCs w:val="18"/>
          <w:lang w:val="en-GB"/>
        </w:rPr>
        <w:t xml:space="preserve"> 23: 212–21.</w:t>
      </w:r>
    </w:p>
    <w:p w14:paraId="7F5EDFD9" w14:textId="77777777" w:rsidR="00FF07A4" w:rsidRPr="006436E9" w:rsidRDefault="00FF07A4" w:rsidP="00E86BBE">
      <w:pPr>
        <w:pStyle w:val="MDPI71References"/>
        <w:numPr>
          <w:ilvl w:val="0"/>
          <w:numId w:val="0"/>
        </w:numPr>
        <w:ind w:left="425" w:hanging="425"/>
        <w:rPr>
          <w:szCs w:val="18"/>
          <w:lang w:val="en-GB"/>
        </w:rPr>
      </w:pPr>
      <w:r w:rsidRPr="00F52E1A">
        <w:rPr>
          <w:szCs w:val="18"/>
          <w:lang w:val="en-GB"/>
        </w:rPr>
        <w:t>(</w:t>
      </w:r>
      <w:r w:rsidRPr="00837FF5">
        <w:rPr>
          <w:szCs w:val="18"/>
          <w:lang w:val="en-GB"/>
        </w:rPr>
        <w:t>Rakovec-Felser 2014</w:t>
      </w:r>
      <w:r w:rsidRPr="00F52E1A">
        <w:rPr>
          <w:szCs w:val="18"/>
          <w:lang w:val="en-GB"/>
        </w:rPr>
        <w:t>)</w:t>
      </w:r>
      <w:r w:rsidRPr="006436E9">
        <w:rPr>
          <w:szCs w:val="18"/>
          <w:lang w:val="en-GB"/>
        </w:rPr>
        <w:t xml:space="preserve"> </w:t>
      </w:r>
      <w:r w:rsidRPr="006436E9">
        <w:rPr>
          <w:noProof/>
        </w:rPr>
        <w:t>Rakovec-Felser, Zlatka</w:t>
      </w:r>
      <w:r w:rsidRPr="006436E9">
        <w:rPr>
          <w:szCs w:val="18"/>
          <w:lang w:val="en-GB"/>
        </w:rPr>
        <w:t xml:space="preserve">. 2014. Domestic violence and abuse in intimate relationship from public health perspective. </w:t>
      </w:r>
      <w:r w:rsidRPr="006436E9">
        <w:rPr>
          <w:i/>
          <w:iCs/>
          <w:szCs w:val="18"/>
          <w:lang w:val="en-GB"/>
        </w:rPr>
        <w:t>Health Psychology Research</w:t>
      </w:r>
      <w:r w:rsidRPr="006436E9">
        <w:rPr>
          <w:szCs w:val="18"/>
          <w:lang w:val="en-GB"/>
        </w:rPr>
        <w:t xml:space="preserve"> 2: </w:t>
      </w:r>
      <w:proofErr w:type="spellStart"/>
      <w:r w:rsidRPr="006436E9">
        <w:rPr>
          <w:szCs w:val="18"/>
          <w:lang w:val="en-GB"/>
        </w:rPr>
        <w:t>doi</w:t>
      </w:r>
      <w:proofErr w:type="spellEnd"/>
      <w:r w:rsidRPr="006436E9">
        <w:rPr>
          <w:szCs w:val="18"/>
          <w:lang w:val="en-GB"/>
        </w:rPr>
        <w:t>: 10.4081/hpr.2014.1821.</w:t>
      </w:r>
    </w:p>
    <w:p w14:paraId="75BE8BDA"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(Richardson et al. 2002) Richardson, Jo, Jeremy </w:t>
      </w:r>
      <w:proofErr w:type="spellStart"/>
      <w:r w:rsidRPr="006436E9">
        <w:rPr>
          <w:szCs w:val="18"/>
          <w:lang w:val="en-GB"/>
        </w:rPr>
        <w:t>Coid</w:t>
      </w:r>
      <w:proofErr w:type="spellEnd"/>
      <w:r w:rsidRPr="006436E9">
        <w:rPr>
          <w:szCs w:val="18"/>
          <w:lang w:val="en-GB"/>
        </w:rPr>
        <w:t xml:space="preserve">, Ann </w:t>
      </w:r>
      <w:proofErr w:type="spellStart"/>
      <w:r w:rsidRPr="006436E9">
        <w:rPr>
          <w:szCs w:val="18"/>
          <w:lang w:val="en-GB"/>
        </w:rPr>
        <w:t>Petruckevitch</w:t>
      </w:r>
      <w:proofErr w:type="spellEnd"/>
      <w:r w:rsidRPr="006436E9">
        <w:rPr>
          <w:szCs w:val="18"/>
          <w:lang w:val="en-GB"/>
        </w:rPr>
        <w:t xml:space="preserve">, Wai Shan Chung, Stirling Moorey, and Gene Feder. 2002. Identifying domestic violence: cross sectional study in primary care. </w:t>
      </w:r>
      <w:r w:rsidRPr="006436E9">
        <w:rPr>
          <w:i/>
          <w:iCs/>
          <w:szCs w:val="18"/>
          <w:lang w:val="en-GB"/>
        </w:rPr>
        <w:t>BMJ</w:t>
      </w:r>
      <w:r w:rsidRPr="006436E9">
        <w:rPr>
          <w:szCs w:val="18"/>
          <w:lang w:val="en-GB"/>
        </w:rPr>
        <w:t xml:space="preserve"> 324: 274.</w:t>
      </w:r>
    </w:p>
    <w:p w14:paraId="2A082C7F"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(Rosen et al. 2019) Rosen, Tony, Lena K </w:t>
      </w:r>
      <w:proofErr w:type="spellStart"/>
      <w:r w:rsidRPr="006436E9">
        <w:rPr>
          <w:szCs w:val="18"/>
          <w:lang w:val="en-GB"/>
        </w:rPr>
        <w:t>Makaroun</w:t>
      </w:r>
      <w:proofErr w:type="spellEnd"/>
      <w:r w:rsidRPr="006436E9">
        <w:rPr>
          <w:szCs w:val="18"/>
          <w:lang w:val="en-GB"/>
        </w:rPr>
        <w:t xml:space="preserve">, Yeates Conwell, and Marian Betz. Violence in older adults: Scope, impact, challenges, and strategies for prevention. </w:t>
      </w:r>
      <w:r w:rsidRPr="006436E9">
        <w:rPr>
          <w:i/>
          <w:iCs/>
          <w:szCs w:val="18"/>
          <w:lang w:val="en-GB"/>
        </w:rPr>
        <w:t>Health Affairs</w:t>
      </w:r>
      <w:r w:rsidRPr="006436E9">
        <w:rPr>
          <w:szCs w:val="18"/>
          <w:lang w:val="en-GB"/>
        </w:rPr>
        <w:t xml:space="preserve"> 38: 1630–37.</w:t>
      </w:r>
    </w:p>
    <w:p w14:paraId="169FD92F"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w:t>
      </w:r>
      <w:proofErr w:type="spellStart"/>
      <w:r w:rsidRPr="006436E9">
        <w:rPr>
          <w:szCs w:val="18"/>
          <w:lang w:val="en-GB"/>
        </w:rPr>
        <w:t>Sivarajasingam</w:t>
      </w:r>
      <w:proofErr w:type="spellEnd"/>
      <w:r w:rsidRPr="006436E9">
        <w:rPr>
          <w:szCs w:val="18"/>
          <w:lang w:val="en-GB"/>
        </w:rPr>
        <w:t xml:space="preserve"> and Shepherd 1995) </w:t>
      </w:r>
      <w:proofErr w:type="spellStart"/>
      <w:r w:rsidRPr="006436E9">
        <w:rPr>
          <w:szCs w:val="18"/>
          <w:lang w:val="en-GB"/>
        </w:rPr>
        <w:t>Sivarajasingam</w:t>
      </w:r>
      <w:proofErr w:type="spellEnd"/>
      <w:r w:rsidRPr="006436E9">
        <w:rPr>
          <w:szCs w:val="18"/>
          <w:lang w:val="en-GB"/>
        </w:rPr>
        <w:t xml:space="preserve">, V, and Jonathan P Shepherd. 2001. Trends in community violence in England and Wales 1995–1998: an accident and emergency department perspective. </w:t>
      </w:r>
      <w:r w:rsidRPr="006436E9">
        <w:rPr>
          <w:i/>
          <w:iCs/>
          <w:szCs w:val="18"/>
          <w:lang w:val="en-GB"/>
        </w:rPr>
        <w:t>Emergency Medicine Journal</w:t>
      </w:r>
      <w:r w:rsidRPr="006436E9">
        <w:rPr>
          <w:szCs w:val="18"/>
          <w:lang w:val="en-GB"/>
        </w:rPr>
        <w:t xml:space="preserve"> 18: 105–9.</w:t>
      </w:r>
    </w:p>
    <w:p w14:paraId="0D5B99C6" w14:textId="77777777" w:rsidR="00FF07A4" w:rsidRPr="006436E9" w:rsidRDefault="00FF07A4" w:rsidP="00E86BBE">
      <w:pPr>
        <w:pStyle w:val="MDPI71References"/>
        <w:numPr>
          <w:ilvl w:val="0"/>
          <w:numId w:val="0"/>
        </w:numPr>
        <w:ind w:left="425" w:hanging="425"/>
        <w:rPr>
          <w:szCs w:val="18"/>
          <w:lang w:val="en-GB"/>
        </w:rPr>
      </w:pPr>
      <w:r w:rsidRPr="00865C5F">
        <w:rPr>
          <w:szCs w:val="18"/>
          <w:lang w:val="en-GB"/>
        </w:rPr>
        <w:t>(</w:t>
      </w:r>
      <w:r w:rsidRPr="00837FF5">
        <w:rPr>
          <w:szCs w:val="18"/>
          <w:lang w:val="en-GB"/>
        </w:rPr>
        <w:t>Stockman et al. 2015</w:t>
      </w:r>
      <w:r w:rsidRPr="00865C5F">
        <w:rPr>
          <w:szCs w:val="18"/>
          <w:lang w:val="en-GB"/>
        </w:rPr>
        <w:t>)</w:t>
      </w:r>
      <w:r w:rsidRPr="006436E9">
        <w:rPr>
          <w:szCs w:val="18"/>
          <w:lang w:val="en-GB"/>
        </w:rPr>
        <w:t xml:space="preserve"> Stockman, Jamila K, Hitomi Hayashi, and Jacquelyn C Campbell. 2015. Intimate partner violence and its health impact on ethnic minority women. </w:t>
      </w:r>
      <w:r w:rsidRPr="006436E9">
        <w:rPr>
          <w:i/>
          <w:iCs/>
          <w:szCs w:val="18"/>
          <w:lang w:val="en-GB"/>
        </w:rPr>
        <w:t>Journal of Women’s Health</w:t>
      </w:r>
      <w:r w:rsidRPr="006436E9">
        <w:rPr>
          <w:szCs w:val="18"/>
          <w:lang w:val="en-GB"/>
        </w:rPr>
        <w:t xml:space="preserve"> 24: 62–79.</w:t>
      </w:r>
    </w:p>
    <w:p w14:paraId="0E26EF2A"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(Sutherland et al. 2021) Sutherland, Alex, Lucy Strang, Martin Stepanek, Chris Giacomantonio, Adrian Boyle, and Heather Strang. 2021. Tracking violent crime with ambulance data: how much crime goes uncounted? </w:t>
      </w:r>
      <w:r w:rsidRPr="006436E9">
        <w:rPr>
          <w:i/>
          <w:iCs/>
          <w:szCs w:val="18"/>
          <w:lang w:val="en-GB"/>
        </w:rPr>
        <w:t>Cambridge Journal of Evidence-Based Policing</w:t>
      </w:r>
      <w:r w:rsidRPr="006436E9">
        <w:rPr>
          <w:szCs w:val="18"/>
          <w:lang w:val="en-GB"/>
        </w:rPr>
        <w:t xml:space="preserve"> 5: 20–39.</w:t>
      </w:r>
    </w:p>
    <w:p w14:paraId="06B1D482" w14:textId="77777777" w:rsidR="00FF07A4" w:rsidRPr="006436E9" w:rsidRDefault="00FF07A4" w:rsidP="00E86BBE">
      <w:pPr>
        <w:pStyle w:val="MDPI71References"/>
        <w:numPr>
          <w:ilvl w:val="0"/>
          <w:numId w:val="0"/>
        </w:numPr>
        <w:ind w:left="425" w:hanging="425"/>
        <w:rPr>
          <w:szCs w:val="18"/>
          <w:lang w:val="en-GB"/>
        </w:rPr>
      </w:pPr>
      <w:r w:rsidRPr="008C2D43">
        <w:rPr>
          <w:szCs w:val="18"/>
          <w:lang w:val="en-GB"/>
        </w:rPr>
        <w:t>(</w:t>
      </w:r>
      <w:r w:rsidRPr="00837FF5">
        <w:rPr>
          <w:szCs w:val="18"/>
          <w:lang w:val="en-GB"/>
        </w:rPr>
        <w:t>Syed et al. 2021</w:t>
      </w:r>
      <w:r w:rsidRPr="008C2D43">
        <w:rPr>
          <w:szCs w:val="18"/>
          <w:lang w:val="en-GB"/>
        </w:rPr>
        <w:t>)</w:t>
      </w:r>
      <w:r w:rsidRPr="006436E9">
        <w:rPr>
          <w:szCs w:val="18"/>
          <w:lang w:val="en-GB"/>
        </w:rPr>
        <w:t xml:space="preserve"> Syed, Shabeer, Rachel </w:t>
      </w:r>
      <w:proofErr w:type="spellStart"/>
      <w:r w:rsidRPr="006436E9">
        <w:rPr>
          <w:szCs w:val="18"/>
          <w:lang w:val="en-GB"/>
        </w:rPr>
        <w:t>Ashwick</w:t>
      </w:r>
      <w:proofErr w:type="spellEnd"/>
      <w:r w:rsidRPr="006436E9">
        <w:rPr>
          <w:szCs w:val="18"/>
          <w:lang w:val="en-GB"/>
        </w:rPr>
        <w:t xml:space="preserve">, Marco Schlosser, Arturo Gonzalez-Izquierdo, Leah Li, and Ruth Gilbert. 2021. Predictive value of indicators for identifying child maltreatment and intimate partner violence in coded electronic health records: A systematic review and meta-analysis. </w:t>
      </w:r>
      <w:r w:rsidRPr="006436E9">
        <w:rPr>
          <w:i/>
          <w:iCs/>
          <w:szCs w:val="18"/>
          <w:lang w:val="en-GB"/>
        </w:rPr>
        <w:t>Archives of Disease in Childhood</w:t>
      </w:r>
      <w:r w:rsidRPr="006436E9">
        <w:rPr>
          <w:szCs w:val="18"/>
          <w:lang w:val="en-GB"/>
        </w:rPr>
        <w:t xml:space="preserve"> 106: 44–53.</w:t>
      </w:r>
    </w:p>
    <w:p w14:paraId="76BB536F" w14:textId="77777777" w:rsidR="00FF07A4" w:rsidRPr="006436E9" w:rsidRDefault="00FF07A4" w:rsidP="00E86BBE">
      <w:pPr>
        <w:pStyle w:val="MDPI71References"/>
        <w:numPr>
          <w:ilvl w:val="0"/>
          <w:numId w:val="0"/>
        </w:numPr>
        <w:ind w:left="425" w:hanging="425"/>
        <w:rPr>
          <w:szCs w:val="18"/>
          <w:lang w:val="en-GB"/>
        </w:rPr>
      </w:pPr>
      <w:r w:rsidRPr="008C2D43">
        <w:rPr>
          <w:szCs w:val="18"/>
          <w:lang w:val="en-GB"/>
        </w:rPr>
        <w:t>(</w:t>
      </w:r>
      <w:r w:rsidRPr="00837FF5">
        <w:rPr>
          <w:szCs w:val="18"/>
          <w:lang w:val="en-GB"/>
        </w:rPr>
        <w:t>Syed et al. 2023</w:t>
      </w:r>
      <w:r w:rsidRPr="008C2D43">
        <w:rPr>
          <w:szCs w:val="18"/>
          <w:lang w:val="en-GB"/>
        </w:rPr>
        <w:t>)</w:t>
      </w:r>
      <w:r w:rsidRPr="006436E9">
        <w:rPr>
          <w:szCs w:val="18"/>
          <w:lang w:val="en-GB"/>
        </w:rPr>
        <w:t xml:space="preserve"> Syed, Shabeer, Ruth Gilbert, Gene Feder, Laura D. Howe, Claire Powell, Emma Howarth, Jessica Deighton, and Rebecca E. Lacey. 2023. Family adversity and health characteristics associated with intimate partner violence in children and parents presenting to health care: A population-based birth cohort study in England. </w:t>
      </w:r>
      <w:r w:rsidRPr="006436E9">
        <w:rPr>
          <w:i/>
          <w:iCs/>
          <w:szCs w:val="18"/>
          <w:lang w:val="en-GB"/>
        </w:rPr>
        <w:t>The Lancet Public Health</w:t>
      </w:r>
      <w:r w:rsidRPr="006436E9">
        <w:rPr>
          <w:szCs w:val="18"/>
          <w:lang w:val="en-GB"/>
        </w:rPr>
        <w:t xml:space="preserve"> 8: e520–e34.</w:t>
      </w:r>
    </w:p>
    <w:p w14:paraId="0B7CCBEE"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(Usta and Taleb 2014) </w:t>
      </w:r>
      <w:r w:rsidRPr="006436E9">
        <w:rPr>
          <w:noProof/>
        </w:rPr>
        <w:t>Usta, Jinan, and Rim Taleb</w:t>
      </w:r>
      <w:r w:rsidRPr="006436E9">
        <w:rPr>
          <w:szCs w:val="18"/>
          <w:lang w:val="en-GB"/>
        </w:rPr>
        <w:t xml:space="preserve">. Addressing domestic violence in primary care: what the physician needs to know. </w:t>
      </w:r>
      <w:r w:rsidRPr="006436E9">
        <w:rPr>
          <w:i/>
          <w:iCs/>
          <w:szCs w:val="18"/>
          <w:lang w:val="en-GB"/>
        </w:rPr>
        <w:t>Libyan Journal of Medicine</w:t>
      </w:r>
      <w:r w:rsidRPr="006436E9">
        <w:rPr>
          <w:szCs w:val="18"/>
          <w:lang w:val="en-GB"/>
        </w:rPr>
        <w:t xml:space="preserve"> 9</w:t>
      </w:r>
      <w:r>
        <w:rPr>
          <w:szCs w:val="18"/>
          <w:lang w:val="en-GB"/>
        </w:rPr>
        <w:t>.</w:t>
      </w:r>
      <w:r w:rsidRPr="006436E9">
        <w:t xml:space="preserve"> </w:t>
      </w:r>
      <w:r w:rsidRPr="006436E9">
        <w:rPr>
          <w:szCs w:val="18"/>
          <w:lang w:val="en-GB"/>
        </w:rPr>
        <w:t>10.3402/ljm.v9.23527 .</w:t>
      </w:r>
    </w:p>
    <w:p w14:paraId="4DA80DA7"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(Wilkinson 2004) Wilkinson, Richard. 2004. Why is violence more common where inequality is greater? </w:t>
      </w:r>
      <w:r w:rsidRPr="006436E9">
        <w:rPr>
          <w:i/>
          <w:iCs/>
          <w:szCs w:val="18"/>
          <w:lang w:val="en-GB"/>
        </w:rPr>
        <w:t>Annals of the New York Academy of Sciences</w:t>
      </w:r>
      <w:r w:rsidRPr="006436E9">
        <w:rPr>
          <w:szCs w:val="18"/>
          <w:lang w:val="en-GB"/>
        </w:rPr>
        <w:t xml:space="preserve"> 1036: 1–12.</w:t>
      </w:r>
    </w:p>
    <w:p w14:paraId="43208F3E"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(Wood et al. 2014) </w:t>
      </w:r>
      <w:r w:rsidRPr="006436E9">
        <w:rPr>
          <w:noProof/>
        </w:rPr>
        <w:t>Wood, Sara, Kat Ford, Zara Quigg, and Karen Hughes</w:t>
      </w:r>
      <w:r w:rsidRPr="006436E9">
        <w:rPr>
          <w:szCs w:val="18"/>
          <w:lang w:val="en-GB"/>
        </w:rPr>
        <w:t xml:space="preserve">. 2014. </w:t>
      </w:r>
      <w:r w:rsidRPr="006436E9">
        <w:rPr>
          <w:i/>
          <w:iCs/>
          <w:szCs w:val="18"/>
          <w:lang w:val="en-GB"/>
        </w:rPr>
        <w:t>A Guide to Using Health Data to Inform Local Violence Prevention</w:t>
      </w:r>
      <w:r w:rsidRPr="006436E9">
        <w:rPr>
          <w:szCs w:val="18"/>
          <w:lang w:val="en-GB"/>
        </w:rPr>
        <w:t xml:space="preserve">. Liverpool: Centre for Public health, Liverpool John </w:t>
      </w:r>
      <w:proofErr w:type="spellStart"/>
      <w:r w:rsidRPr="006436E9">
        <w:rPr>
          <w:szCs w:val="18"/>
          <w:lang w:val="en-GB"/>
        </w:rPr>
        <w:t>Moores</w:t>
      </w:r>
      <w:proofErr w:type="spellEnd"/>
      <w:r w:rsidRPr="006436E9">
        <w:rPr>
          <w:szCs w:val="18"/>
          <w:lang w:val="en-GB"/>
        </w:rPr>
        <w:t xml:space="preserve"> University.</w:t>
      </w:r>
    </w:p>
    <w:p w14:paraId="5324139D"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(World Health Organization 2014) World Health Organization. </w:t>
      </w:r>
      <w:r w:rsidRPr="006436E9">
        <w:rPr>
          <w:i/>
          <w:iCs/>
          <w:szCs w:val="18"/>
          <w:lang w:val="en-GB"/>
        </w:rPr>
        <w:t>Global Status Report on Violence Prevention 2014</w:t>
      </w:r>
      <w:r w:rsidRPr="006436E9">
        <w:rPr>
          <w:szCs w:val="18"/>
          <w:lang w:val="en-GB"/>
        </w:rPr>
        <w:t>. Geneva: World Health Organization.</w:t>
      </w:r>
    </w:p>
    <w:p w14:paraId="2A1162ED" w14:textId="77777777" w:rsidR="00FF07A4" w:rsidRPr="006436E9" w:rsidRDefault="00FF07A4" w:rsidP="00E86BBE">
      <w:pPr>
        <w:pStyle w:val="MDPI71References"/>
        <w:numPr>
          <w:ilvl w:val="0"/>
          <w:numId w:val="0"/>
        </w:numPr>
        <w:ind w:left="425" w:hanging="425"/>
        <w:rPr>
          <w:szCs w:val="18"/>
          <w:lang w:val="en-GB"/>
        </w:rPr>
      </w:pPr>
      <w:r w:rsidRPr="006436E9">
        <w:rPr>
          <w:szCs w:val="18"/>
          <w:lang w:val="en-GB"/>
        </w:rPr>
        <w:t xml:space="preserve">(Wrightington and Leigh 2014) Wrightington, W., and N. Leigh. 2014. </w:t>
      </w:r>
      <w:r w:rsidRPr="006436E9">
        <w:rPr>
          <w:i/>
          <w:iCs/>
          <w:szCs w:val="18"/>
          <w:lang w:val="en-GB"/>
        </w:rPr>
        <w:t>Accident and Emergency Department Data Sharing to Support Violence Prevention in Wigan</w:t>
      </w:r>
      <w:r w:rsidRPr="006436E9">
        <w:rPr>
          <w:szCs w:val="18"/>
          <w:lang w:val="en-GB"/>
        </w:rPr>
        <w:t xml:space="preserve">. Liverpool: Centre for Public Health, Liverpool John </w:t>
      </w:r>
      <w:proofErr w:type="spellStart"/>
      <w:r w:rsidRPr="006436E9">
        <w:rPr>
          <w:szCs w:val="18"/>
          <w:lang w:val="en-GB"/>
        </w:rPr>
        <w:t>Moores</w:t>
      </w:r>
      <w:proofErr w:type="spellEnd"/>
      <w:r w:rsidRPr="006436E9">
        <w:rPr>
          <w:szCs w:val="18"/>
          <w:lang w:val="en-GB"/>
        </w:rPr>
        <w:t xml:space="preserve"> University.</w:t>
      </w:r>
    </w:p>
    <w:p w14:paraId="5A4A1306" w14:textId="77777777" w:rsidR="00510B5C" w:rsidRDefault="00EF6C1C" w:rsidP="00EF6C1C">
      <w:pPr>
        <w:pStyle w:val="MDPI63Notes"/>
        <w:rPr>
          <w:lang w:val="en-GB"/>
        </w:rPr>
      </w:pPr>
      <w:r w:rsidRPr="006436E9">
        <w:rPr>
          <w:b/>
          <w:lang w:val="en-GB"/>
        </w:rPr>
        <w:t>Disclaimer/Publisher’s Note:</w:t>
      </w:r>
      <w:r w:rsidRPr="006436E9">
        <w:rPr>
          <w:lang w:val="en-GB"/>
        </w:rPr>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bookmarkEnd w:id="22"/>
    <w:p w14:paraId="20FDEA0C" w14:textId="3E40AF98" w:rsidR="000420B5" w:rsidRPr="0024060B" w:rsidRDefault="000420B5" w:rsidP="00EF6C1C">
      <w:pPr>
        <w:pStyle w:val="MDPI63Notes"/>
        <w:rPr>
          <w:lang w:val="en-GB"/>
        </w:rPr>
      </w:pPr>
    </w:p>
    <w:sectPr w:rsidR="000420B5" w:rsidRPr="0024060B" w:rsidSect="00B22474">
      <w:pgSz w:w="11906" w:h="16838" w:code="9"/>
      <w:pgMar w:top="1417" w:right="720" w:bottom="1077" w:left="720" w:header="1020" w:footer="340" w:gutter="0"/>
      <w:cols w:space="425"/>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A62F" w14:textId="77777777" w:rsidR="00B22474" w:rsidRDefault="00B22474">
      <w:pPr>
        <w:spacing w:line="240" w:lineRule="auto"/>
      </w:pPr>
      <w:r>
        <w:separator/>
      </w:r>
    </w:p>
  </w:endnote>
  <w:endnote w:type="continuationSeparator" w:id="0">
    <w:p w14:paraId="03CACA6A" w14:textId="77777777" w:rsidR="00B22474" w:rsidRDefault="00B22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µÈÏß"/>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1B1F" w14:textId="77777777" w:rsidR="001B03A4" w:rsidRDefault="001B0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BEE0" w14:textId="77777777" w:rsidR="001B03A4" w:rsidRPr="005773E8" w:rsidRDefault="001B03A4" w:rsidP="001947B6">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2612" w14:textId="77777777" w:rsidR="001B03A4" w:rsidRDefault="001B03A4" w:rsidP="008928A4">
    <w:pPr>
      <w:pBdr>
        <w:top w:val="single" w:sz="4" w:space="0" w:color="000000"/>
      </w:pBdr>
      <w:tabs>
        <w:tab w:val="right" w:pos="8844"/>
      </w:tabs>
      <w:adjustRightInd w:val="0"/>
      <w:snapToGrid w:val="0"/>
      <w:spacing w:before="480" w:line="100" w:lineRule="exact"/>
      <w:jc w:val="left"/>
      <w:rPr>
        <w:i/>
        <w:sz w:val="16"/>
        <w:szCs w:val="16"/>
        <w:lang w:val="it-IT"/>
      </w:rPr>
    </w:pPr>
  </w:p>
  <w:p w14:paraId="2C793537" w14:textId="77777777" w:rsidR="001B03A4" w:rsidRPr="00372FCD" w:rsidRDefault="001B03A4" w:rsidP="005B6297">
    <w:pPr>
      <w:tabs>
        <w:tab w:val="right" w:pos="10466"/>
      </w:tabs>
      <w:adjustRightInd w:val="0"/>
      <w:snapToGrid w:val="0"/>
      <w:spacing w:line="240" w:lineRule="auto"/>
      <w:rPr>
        <w:sz w:val="16"/>
        <w:szCs w:val="16"/>
        <w:lang w:val="fr-CH"/>
      </w:rPr>
    </w:pPr>
    <w:r w:rsidRPr="00CD316F">
      <w:rPr>
        <w:i/>
        <w:sz w:val="16"/>
        <w:szCs w:val="16"/>
        <w:lang w:val="it-IT"/>
      </w:rPr>
      <w:t xml:space="preserve">Soc. Sci. </w:t>
    </w:r>
    <w:r>
      <w:rPr>
        <w:b/>
        <w:bCs/>
        <w:iCs/>
        <w:sz w:val="16"/>
        <w:szCs w:val="16"/>
        <w:lang w:val="it-IT"/>
      </w:rPr>
      <w:t>2024</w:t>
    </w:r>
    <w:r w:rsidRPr="004A70F7">
      <w:rPr>
        <w:bCs/>
        <w:iCs/>
        <w:sz w:val="16"/>
        <w:szCs w:val="16"/>
        <w:lang w:val="it-IT"/>
      </w:rPr>
      <w:t>,</w:t>
    </w:r>
    <w:r>
      <w:rPr>
        <w:bCs/>
        <w:i/>
        <w:iCs/>
        <w:sz w:val="16"/>
        <w:szCs w:val="16"/>
        <w:lang w:val="it-IT"/>
      </w:rPr>
      <w:t xml:space="preserve"> 13</w:t>
    </w:r>
    <w:r w:rsidRPr="004A70F7">
      <w:rPr>
        <w:bCs/>
        <w:iCs/>
        <w:sz w:val="16"/>
        <w:szCs w:val="16"/>
        <w:lang w:val="it-IT"/>
      </w:rPr>
      <w:t xml:space="preserve">, </w:t>
    </w:r>
    <w:r>
      <w:rPr>
        <w:bCs/>
        <w:iCs/>
        <w:sz w:val="16"/>
        <w:szCs w:val="16"/>
        <w:lang w:val="it-IT"/>
      </w:rPr>
      <w:t>x. https://doi.org/10.3390/xxxxx</w:t>
    </w:r>
    <w:r w:rsidRPr="00372FCD">
      <w:rPr>
        <w:sz w:val="16"/>
        <w:szCs w:val="16"/>
        <w:lang w:val="fr-CH"/>
      </w:rPr>
      <w:tab/>
      <w:t>www.mdpi.com/journal/</w:t>
    </w:r>
    <w:r w:rsidRPr="00CD316F">
      <w:rPr>
        <w:sz w:val="16"/>
        <w:szCs w:val="16"/>
        <w:lang w:val="it-IT"/>
      </w:rPr>
      <w:t>socsci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67E9" w14:textId="77777777" w:rsidR="00B22474" w:rsidRDefault="00B22474">
      <w:pPr>
        <w:spacing w:line="240" w:lineRule="auto"/>
      </w:pPr>
      <w:r>
        <w:separator/>
      </w:r>
    </w:p>
  </w:footnote>
  <w:footnote w:type="continuationSeparator" w:id="0">
    <w:p w14:paraId="02733B89" w14:textId="77777777" w:rsidR="00B22474" w:rsidRDefault="00B22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C672" w14:textId="77777777" w:rsidR="001B03A4" w:rsidRDefault="001B03A4" w:rsidP="001947B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19B5" w14:textId="0C5BA92D" w:rsidR="001B03A4" w:rsidRDefault="001B03A4" w:rsidP="005B6297">
    <w:pPr>
      <w:tabs>
        <w:tab w:val="right" w:pos="10466"/>
      </w:tabs>
      <w:adjustRightInd w:val="0"/>
      <w:snapToGrid w:val="0"/>
      <w:spacing w:line="240" w:lineRule="auto"/>
      <w:rPr>
        <w:sz w:val="16"/>
      </w:rPr>
    </w:pPr>
    <w:r>
      <w:rPr>
        <w:i/>
        <w:sz w:val="16"/>
      </w:rPr>
      <w:t xml:space="preserve">Soc. Sci. </w:t>
    </w:r>
    <w:r>
      <w:rPr>
        <w:b/>
        <w:sz w:val="16"/>
      </w:rPr>
      <w:t>2024</w:t>
    </w:r>
    <w:r w:rsidRPr="004A70F7">
      <w:rPr>
        <w:sz w:val="16"/>
      </w:rPr>
      <w:t>,</w:t>
    </w:r>
    <w:r>
      <w:rPr>
        <w:i/>
        <w:sz w:val="16"/>
      </w:rPr>
      <w:t xml:space="preserve"> 13</w:t>
    </w:r>
    <w:r>
      <w:rPr>
        <w:sz w:val="16"/>
      </w:rPr>
      <w:t>, x FOR PEER REVIEW</w:t>
    </w:r>
    <w:r>
      <w:rPr>
        <w:sz w:val="16"/>
      </w:rPr>
      <w:ptab w:relativeTo="margin" w:alignment="right" w:leader="none"/>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74910E24" w14:textId="77777777" w:rsidR="001B03A4" w:rsidRPr="00FB3B38" w:rsidRDefault="001B03A4" w:rsidP="008928A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02" w:type="dxa"/>
      <w:tblCellMar>
        <w:left w:w="0" w:type="dxa"/>
        <w:right w:w="0" w:type="dxa"/>
      </w:tblCellMar>
      <w:tblLook w:val="04A0" w:firstRow="1" w:lastRow="0" w:firstColumn="1" w:lastColumn="0" w:noHBand="0" w:noVBand="1"/>
    </w:tblPr>
    <w:tblGrid>
      <w:gridCol w:w="3796"/>
      <w:gridCol w:w="4533"/>
      <w:gridCol w:w="2273"/>
    </w:tblGrid>
    <w:tr w:rsidR="001B03A4" w:rsidRPr="005B6297" w14:paraId="159A11B5" w14:textId="77777777" w:rsidTr="00052280">
      <w:trPr>
        <w:trHeight w:val="686"/>
      </w:trPr>
      <w:tc>
        <w:tcPr>
          <w:tcW w:w="3794" w:type="dxa"/>
          <w:shd w:val="clear" w:color="auto" w:fill="auto"/>
          <w:vAlign w:val="center"/>
        </w:tcPr>
        <w:p w14:paraId="5EDE3472" w14:textId="77777777" w:rsidR="001B03A4" w:rsidRPr="00FB4B9F" w:rsidRDefault="001B03A4" w:rsidP="005B6297">
          <w:pPr>
            <w:pStyle w:val="Header"/>
            <w:pBdr>
              <w:bottom w:val="none" w:sz="0" w:space="0" w:color="auto"/>
            </w:pBdr>
            <w:jc w:val="left"/>
            <w:rPr>
              <w:rFonts w:eastAsia="DengXian"/>
              <w:b/>
              <w:bCs/>
            </w:rPr>
          </w:pPr>
          <w:r w:rsidRPr="00FB4B9F">
            <w:rPr>
              <w:rFonts w:eastAsia="DengXian"/>
              <w:b/>
              <w:bCs/>
            </w:rPr>
            <w:drawing>
              <wp:inline distT="0" distB="0" distL="0" distR="0" wp14:anchorId="293F62ED" wp14:editId="7FC2D7DD">
                <wp:extent cx="2410460" cy="429260"/>
                <wp:effectExtent l="0" t="0" r="0" b="0"/>
                <wp:docPr id="2" name="Picture 2" descr="C:\Users\home\AppData\Local\Temp\HZ$D.661.3548\socsc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661.3548\socsc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0460" cy="429260"/>
                        </a:xfrm>
                        <a:prstGeom prst="rect">
                          <a:avLst/>
                        </a:prstGeom>
                        <a:noFill/>
                        <a:ln>
                          <a:noFill/>
                        </a:ln>
                      </pic:spPr>
                    </pic:pic>
                  </a:graphicData>
                </a:graphic>
              </wp:inline>
            </w:drawing>
          </w:r>
        </w:p>
      </w:tc>
      <w:tc>
        <w:tcPr>
          <w:tcW w:w="4535" w:type="dxa"/>
          <w:shd w:val="clear" w:color="auto" w:fill="auto"/>
          <w:vAlign w:val="center"/>
        </w:tcPr>
        <w:p w14:paraId="0D8EF02E" w14:textId="77777777" w:rsidR="001B03A4" w:rsidRPr="00FB4B9F" w:rsidRDefault="001B03A4" w:rsidP="005B6297">
          <w:pPr>
            <w:pStyle w:val="Header"/>
            <w:pBdr>
              <w:bottom w:val="none" w:sz="0" w:space="0" w:color="auto"/>
            </w:pBdr>
            <w:rPr>
              <w:rFonts w:eastAsia="DengXian"/>
              <w:b/>
              <w:bCs/>
            </w:rPr>
          </w:pPr>
        </w:p>
      </w:tc>
      <w:tc>
        <w:tcPr>
          <w:tcW w:w="2273" w:type="dxa"/>
          <w:shd w:val="clear" w:color="auto" w:fill="auto"/>
          <w:vAlign w:val="center"/>
        </w:tcPr>
        <w:p w14:paraId="3FA0C45E" w14:textId="77777777" w:rsidR="001B03A4" w:rsidRPr="00FB4B9F" w:rsidRDefault="001B03A4" w:rsidP="00052280">
          <w:pPr>
            <w:pStyle w:val="Header"/>
            <w:pBdr>
              <w:bottom w:val="none" w:sz="0" w:space="0" w:color="auto"/>
            </w:pBdr>
            <w:jc w:val="right"/>
            <w:rPr>
              <w:rFonts w:eastAsia="DengXian"/>
              <w:b/>
              <w:bCs/>
            </w:rPr>
          </w:pPr>
          <w:r>
            <w:rPr>
              <w:rFonts w:eastAsia="DengXian"/>
              <w:b/>
              <w:bCs/>
            </w:rPr>
            <w:drawing>
              <wp:inline distT="0" distB="0" distL="0" distR="0" wp14:anchorId="70E03B35" wp14:editId="654C5F41">
                <wp:extent cx="540000" cy="360000"/>
                <wp:effectExtent l="0" t="0" r="0" b="2540"/>
                <wp:docPr id="3" name="Picture 3"/>
                <wp:cNvGraphicFramePr/>
                <a:graphic xmlns:a="http://schemas.openxmlformats.org/drawingml/2006/main">
                  <a:graphicData uri="http://schemas.openxmlformats.org/drawingml/2006/picture">
                    <pic:pic xmlns:pic="http://schemas.openxmlformats.org/drawingml/2006/picture">
                      <pic:nvPicPr>
                        <pic:cNvPr id="1445268479" name=""/>
                        <pic:cNvPicPr/>
                      </pic:nvPicPr>
                      <pic:blipFill>
                        <a:blip r:embed="rId2"/>
                        <a:stretch>
                          <a:fillRect/>
                        </a:stretch>
                      </pic:blipFill>
                      <pic:spPr>
                        <a:xfrm>
                          <a:off x="0" y="0"/>
                          <a:ext cx="540000" cy="360000"/>
                        </a:xfrm>
                        <a:prstGeom prst="rect">
                          <a:avLst/>
                        </a:prstGeom>
                      </pic:spPr>
                    </pic:pic>
                  </a:graphicData>
                </a:graphic>
              </wp:inline>
            </w:drawing>
          </w:r>
        </w:p>
      </w:tc>
    </w:tr>
  </w:tbl>
  <w:p w14:paraId="52A61223" w14:textId="77777777" w:rsidR="001B03A4" w:rsidRPr="00AB7CDB" w:rsidRDefault="001B03A4" w:rsidP="008928A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D39CBE2A"/>
    <w:lvl w:ilvl="0" w:tplc="8674AE5A">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76E86"/>
    <w:multiLevelType w:val="hybridMultilevel"/>
    <w:tmpl w:val="5E3823D0"/>
    <w:lvl w:ilvl="0" w:tplc="F9525806">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D7E0B"/>
    <w:multiLevelType w:val="hybridMultilevel"/>
    <w:tmpl w:val="88DA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468F5"/>
    <w:multiLevelType w:val="hybridMultilevel"/>
    <w:tmpl w:val="1C4CEEB0"/>
    <w:lvl w:ilvl="0" w:tplc="A9D00658">
      <w:start w:val="1"/>
      <w:numFmt w:val="decimal"/>
      <w:lvlRestart w:val="0"/>
      <w:pStyle w:val="MDPI7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884C54F6"/>
    <w:lvl w:ilvl="0" w:tplc="49E67CE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36470BD"/>
    <w:multiLevelType w:val="multilevel"/>
    <w:tmpl w:val="C3F4E5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4C4E3F"/>
    <w:multiLevelType w:val="hybridMultilevel"/>
    <w:tmpl w:val="11043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55DFC"/>
    <w:multiLevelType w:val="multilevel"/>
    <w:tmpl w:val="CF0EC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E421836"/>
    <w:multiLevelType w:val="multilevel"/>
    <w:tmpl w:val="1C3C9B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EB14310"/>
    <w:multiLevelType w:val="multilevel"/>
    <w:tmpl w:val="E744E3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1B32D60"/>
    <w:multiLevelType w:val="hybridMultilevel"/>
    <w:tmpl w:val="65A0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5B53"/>
    <w:multiLevelType w:val="hybridMultilevel"/>
    <w:tmpl w:val="D0503A32"/>
    <w:lvl w:ilvl="0" w:tplc="B7D846AE">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7" w15:restartNumberingAfterBreak="0">
    <w:nsid w:val="56BD4ABB"/>
    <w:multiLevelType w:val="multilevel"/>
    <w:tmpl w:val="4EE4D1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591B03"/>
    <w:multiLevelType w:val="multilevel"/>
    <w:tmpl w:val="F8D221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27B59D2"/>
    <w:multiLevelType w:val="multilevel"/>
    <w:tmpl w:val="30EE8F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3D05CB5"/>
    <w:multiLevelType w:val="hybridMultilevel"/>
    <w:tmpl w:val="925C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72825"/>
    <w:multiLevelType w:val="hybridMultilevel"/>
    <w:tmpl w:val="EED88E3C"/>
    <w:lvl w:ilvl="0" w:tplc="68D2DD1A">
      <w:start w:val="1"/>
      <w:numFmt w:val="bullet"/>
      <w:lvlRestart w:val="0"/>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4" w15:restartNumberingAfterBreak="0">
    <w:nsid w:val="7AAD1EC6"/>
    <w:multiLevelType w:val="hybridMultilevel"/>
    <w:tmpl w:val="C212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A2594"/>
    <w:multiLevelType w:val="multilevel"/>
    <w:tmpl w:val="CC5EB3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D7C4768"/>
    <w:multiLevelType w:val="multilevel"/>
    <w:tmpl w:val="465CAA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98335803">
    <w:abstractNumId w:val="8"/>
  </w:num>
  <w:num w:numId="2" w16cid:durableId="8718870">
    <w:abstractNumId w:val="11"/>
  </w:num>
  <w:num w:numId="3" w16cid:durableId="36976462">
    <w:abstractNumId w:val="6"/>
  </w:num>
  <w:num w:numId="4" w16cid:durableId="239682481">
    <w:abstractNumId w:val="9"/>
  </w:num>
  <w:num w:numId="5" w16cid:durableId="509376761">
    <w:abstractNumId w:val="16"/>
  </w:num>
  <w:num w:numId="6" w16cid:durableId="1902253186">
    <w:abstractNumId w:val="4"/>
  </w:num>
  <w:num w:numId="7" w16cid:durableId="1834100651">
    <w:abstractNumId w:val="16"/>
  </w:num>
  <w:num w:numId="8" w16cid:durableId="1914510713">
    <w:abstractNumId w:val="4"/>
  </w:num>
  <w:num w:numId="9" w16cid:durableId="291446004">
    <w:abstractNumId w:val="16"/>
  </w:num>
  <w:num w:numId="10" w16cid:durableId="159195508">
    <w:abstractNumId w:val="4"/>
  </w:num>
  <w:num w:numId="11" w16cid:durableId="793670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799450">
    <w:abstractNumId w:val="18"/>
  </w:num>
  <w:num w:numId="13" w16cid:durableId="805896849">
    <w:abstractNumId w:val="22"/>
  </w:num>
  <w:num w:numId="14" w16cid:durableId="591399213">
    <w:abstractNumId w:val="16"/>
  </w:num>
  <w:num w:numId="15" w16cid:durableId="600138574">
    <w:abstractNumId w:val="4"/>
  </w:num>
  <w:num w:numId="16" w16cid:durableId="1913274595">
    <w:abstractNumId w:val="3"/>
  </w:num>
  <w:num w:numId="17" w16cid:durableId="1029187710">
    <w:abstractNumId w:val="15"/>
  </w:num>
  <w:num w:numId="18" w16cid:durableId="755056488">
    <w:abstractNumId w:val="1"/>
  </w:num>
  <w:num w:numId="19" w16cid:durableId="1640919597">
    <w:abstractNumId w:val="16"/>
  </w:num>
  <w:num w:numId="20" w16cid:durableId="281692258">
    <w:abstractNumId w:val="4"/>
  </w:num>
  <w:num w:numId="21" w16cid:durableId="1882135591">
    <w:abstractNumId w:val="3"/>
  </w:num>
  <w:num w:numId="22" w16cid:durableId="2906392">
    <w:abstractNumId w:val="23"/>
  </w:num>
  <w:num w:numId="23" w16cid:durableId="1908301879">
    <w:abstractNumId w:val="1"/>
  </w:num>
  <w:num w:numId="24" w16cid:durableId="2007515232">
    <w:abstractNumId w:val="20"/>
  </w:num>
  <w:num w:numId="25" w16cid:durableId="1760056580">
    <w:abstractNumId w:val="17"/>
  </w:num>
  <w:num w:numId="26" w16cid:durableId="804657661">
    <w:abstractNumId w:val="25"/>
  </w:num>
  <w:num w:numId="27" w16cid:durableId="609167094">
    <w:abstractNumId w:val="19"/>
  </w:num>
  <w:num w:numId="28" w16cid:durableId="1255898868">
    <w:abstractNumId w:val="13"/>
  </w:num>
  <w:num w:numId="29" w16cid:durableId="1081022406">
    <w:abstractNumId w:val="5"/>
  </w:num>
  <w:num w:numId="30" w16cid:durableId="115949463">
    <w:abstractNumId w:val="12"/>
  </w:num>
  <w:num w:numId="31" w16cid:durableId="120921707">
    <w:abstractNumId w:val="26"/>
  </w:num>
  <w:num w:numId="32" w16cid:durableId="157424899">
    <w:abstractNumId w:val="10"/>
  </w:num>
  <w:num w:numId="33" w16cid:durableId="394015124">
    <w:abstractNumId w:val="14"/>
  </w:num>
  <w:num w:numId="34" w16cid:durableId="1003363457">
    <w:abstractNumId w:val="24"/>
  </w:num>
  <w:num w:numId="35" w16cid:durableId="675963020">
    <w:abstractNumId w:val="2"/>
  </w:num>
  <w:num w:numId="36" w16cid:durableId="387266685">
    <w:abstractNumId w:val="7"/>
  </w:num>
  <w:num w:numId="37" w16cid:durableId="590235055">
    <w:abstractNumId w:val="21"/>
  </w:num>
  <w:num w:numId="38" w16cid:durableId="422608396">
    <w:abstractNumId w:val="16"/>
  </w:num>
  <w:num w:numId="39" w16cid:durableId="805900303">
    <w:abstractNumId w:val="4"/>
  </w:num>
  <w:num w:numId="40" w16cid:durableId="471145165">
    <w:abstractNumId w:val="0"/>
  </w:num>
  <w:num w:numId="41" w16cid:durableId="1768965364">
    <w:abstractNumId w:val="3"/>
  </w:num>
  <w:num w:numId="42" w16cid:durableId="36401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Chicago 17th Footnote&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20aprfuxefvgeet96vdtfxv90eesr9t5tt&quot;&gt;Violence, Health and Society-Converted&lt;record-ids&gt;&lt;item&gt;1&lt;/item&gt;&lt;item&gt;83&lt;/item&gt;&lt;item&gt;84&lt;/item&gt;&lt;item&gt;99&lt;/item&gt;&lt;item&gt;102&lt;/item&gt;&lt;item&gt;105&lt;/item&gt;&lt;item&gt;107&lt;/item&gt;&lt;item&gt;108&lt;/item&gt;&lt;item&gt;109&lt;/item&gt;&lt;item&gt;114&lt;/item&gt;&lt;item&gt;116&lt;/item&gt;&lt;item&gt;117&lt;/item&gt;&lt;item&gt;120&lt;/item&gt;&lt;item&gt;147&lt;/item&gt;&lt;item&gt;148&lt;/item&gt;&lt;item&gt;201&lt;/item&gt;&lt;item&gt;231&lt;/item&gt;&lt;item&gt;233&lt;/item&gt;&lt;/record-ids&gt;&lt;/item&gt;&lt;/Libraries&gt;"/>
  </w:docVars>
  <w:rsids>
    <w:rsidRoot w:val="000420B5"/>
    <w:rsid w:val="0002041C"/>
    <w:rsid w:val="0002394F"/>
    <w:rsid w:val="000278AE"/>
    <w:rsid w:val="00041DBB"/>
    <w:rsid w:val="000420B5"/>
    <w:rsid w:val="0004763E"/>
    <w:rsid w:val="00052280"/>
    <w:rsid w:val="0006258B"/>
    <w:rsid w:val="00062A71"/>
    <w:rsid w:val="0006746A"/>
    <w:rsid w:val="00076C89"/>
    <w:rsid w:val="00080DE7"/>
    <w:rsid w:val="000863B2"/>
    <w:rsid w:val="00086861"/>
    <w:rsid w:val="00096DC7"/>
    <w:rsid w:val="000B5AA6"/>
    <w:rsid w:val="000B7C8D"/>
    <w:rsid w:val="000C09BD"/>
    <w:rsid w:val="000D5F17"/>
    <w:rsid w:val="000E4435"/>
    <w:rsid w:val="00104578"/>
    <w:rsid w:val="00111780"/>
    <w:rsid w:val="00112FE0"/>
    <w:rsid w:val="001230EC"/>
    <w:rsid w:val="00150D17"/>
    <w:rsid w:val="001518C9"/>
    <w:rsid w:val="0015472D"/>
    <w:rsid w:val="001625E0"/>
    <w:rsid w:val="00164B93"/>
    <w:rsid w:val="00171795"/>
    <w:rsid w:val="0017209E"/>
    <w:rsid w:val="00181897"/>
    <w:rsid w:val="00181B99"/>
    <w:rsid w:val="001947B6"/>
    <w:rsid w:val="00197B6C"/>
    <w:rsid w:val="001B03A4"/>
    <w:rsid w:val="001B064C"/>
    <w:rsid w:val="001D350C"/>
    <w:rsid w:val="001D77CE"/>
    <w:rsid w:val="001E1C26"/>
    <w:rsid w:val="001E2AEB"/>
    <w:rsid w:val="001E56E5"/>
    <w:rsid w:val="001E635B"/>
    <w:rsid w:val="001F29C0"/>
    <w:rsid w:val="002004E7"/>
    <w:rsid w:val="002178B3"/>
    <w:rsid w:val="0023145B"/>
    <w:rsid w:val="00235275"/>
    <w:rsid w:val="0024060B"/>
    <w:rsid w:val="00255BB1"/>
    <w:rsid w:val="00286437"/>
    <w:rsid w:val="00287FD9"/>
    <w:rsid w:val="0029296B"/>
    <w:rsid w:val="0029773E"/>
    <w:rsid w:val="00297B14"/>
    <w:rsid w:val="002B5565"/>
    <w:rsid w:val="002C2D4B"/>
    <w:rsid w:val="002D42CD"/>
    <w:rsid w:val="002D69F0"/>
    <w:rsid w:val="002E3496"/>
    <w:rsid w:val="00303391"/>
    <w:rsid w:val="00305108"/>
    <w:rsid w:val="0030689B"/>
    <w:rsid w:val="00311D1A"/>
    <w:rsid w:val="003212CB"/>
    <w:rsid w:val="00326141"/>
    <w:rsid w:val="00331738"/>
    <w:rsid w:val="00341C8E"/>
    <w:rsid w:val="00351901"/>
    <w:rsid w:val="003533D6"/>
    <w:rsid w:val="00354609"/>
    <w:rsid w:val="00354DFD"/>
    <w:rsid w:val="0036281A"/>
    <w:rsid w:val="00364AEC"/>
    <w:rsid w:val="0036644F"/>
    <w:rsid w:val="003B0035"/>
    <w:rsid w:val="003C4281"/>
    <w:rsid w:val="003D2418"/>
    <w:rsid w:val="003E0C33"/>
    <w:rsid w:val="003E3F2D"/>
    <w:rsid w:val="003E5665"/>
    <w:rsid w:val="003E6F1B"/>
    <w:rsid w:val="003F1579"/>
    <w:rsid w:val="003F34C2"/>
    <w:rsid w:val="00400346"/>
    <w:rsid w:val="00401D30"/>
    <w:rsid w:val="00404180"/>
    <w:rsid w:val="00413456"/>
    <w:rsid w:val="004217FF"/>
    <w:rsid w:val="00422BE0"/>
    <w:rsid w:val="004346E9"/>
    <w:rsid w:val="00436D8F"/>
    <w:rsid w:val="004422F3"/>
    <w:rsid w:val="00451533"/>
    <w:rsid w:val="004565CB"/>
    <w:rsid w:val="00460A49"/>
    <w:rsid w:val="00474DB4"/>
    <w:rsid w:val="00483807"/>
    <w:rsid w:val="004863A4"/>
    <w:rsid w:val="004941F3"/>
    <w:rsid w:val="004A0BB8"/>
    <w:rsid w:val="004A29D3"/>
    <w:rsid w:val="004A70F7"/>
    <w:rsid w:val="004C02B9"/>
    <w:rsid w:val="004C0E69"/>
    <w:rsid w:val="004C44A1"/>
    <w:rsid w:val="004E2F0F"/>
    <w:rsid w:val="004E7981"/>
    <w:rsid w:val="004F3899"/>
    <w:rsid w:val="004F54A7"/>
    <w:rsid w:val="005014D5"/>
    <w:rsid w:val="005027B4"/>
    <w:rsid w:val="00505134"/>
    <w:rsid w:val="00510B5C"/>
    <w:rsid w:val="00516F6F"/>
    <w:rsid w:val="00521AB9"/>
    <w:rsid w:val="00524A5F"/>
    <w:rsid w:val="00537457"/>
    <w:rsid w:val="0054070A"/>
    <w:rsid w:val="00550645"/>
    <w:rsid w:val="005506C6"/>
    <w:rsid w:val="00563711"/>
    <w:rsid w:val="005663E2"/>
    <w:rsid w:val="00566E5E"/>
    <w:rsid w:val="00582951"/>
    <w:rsid w:val="00595756"/>
    <w:rsid w:val="005A2484"/>
    <w:rsid w:val="005A5EBA"/>
    <w:rsid w:val="005A6B56"/>
    <w:rsid w:val="005B6297"/>
    <w:rsid w:val="005C03EF"/>
    <w:rsid w:val="005C166E"/>
    <w:rsid w:val="005C3C03"/>
    <w:rsid w:val="005C6CBA"/>
    <w:rsid w:val="005D447A"/>
    <w:rsid w:val="005D6B46"/>
    <w:rsid w:val="005F0D97"/>
    <w:rsid w:val="00604B99"/>
    <w:rsid w:val="006213AF"/>
    <w:rsid w:val="006348E4"/>
    <w:rsid w:val="00635B26"/>
    <w:rsid w:val="006436E9"/>
    <w:rsid w:val="006456FC"/>
    <w:rsid w:val="006764B8"/>
    <w:rsid w:val="00681195"/>
    <w:rsid w:val="00692393"/>
    <w:rsid w:val="00697C6C"/>
    <w:rsid w:val="006A50B1"/>
    <w:rsid w:val="006A5CE4"/>
    <w:rsid w:val="006A66B7"/>
    <w:rsid w:val="006C61B3"/>
    <w:rsid w:val="006D350B"/>
    <w:rsid w:val="006E40F1"/>
    <w:rsid w:val="006F17F2"/>
    <w:rsid w:val="006F316A"/>
    <w:rsid w:val="006F64E4"/>
    <w:rsid w:val="00702A8C"/>
    <w:rsid w:val="00703D5D"/>
    <w:rsid w:val="00706769"/>
    <w:rsid w:val="00710735"/>
    <w:rsid w:val="00723381"/>
    <w:rsid w:val="007308F4"/>
    <w:rsid w:val="00735517"/>
    <w:rsid w:val="00744C00"/>
    <w:rsid w:val="00747FBE"/>
    <w:rsid w:val="0075102B"/>
    <w:rsid w:val="0075386B"/>
    <w:rsid w:val="00760A52"/>
    <w:rsid w:val="007615F0"/>
    <w:rsid w:val="007815DA"/>
    <w:rsid w:val="0078375B"/>
    <w:rsid w:val="00783F84"/>
    <w:rsid w:val="00796424"/>
    <w:rsid w:val="007A360C"/>
    <w:rsid w:val="007A5297"/>
    <w:rsid w:val="007B08E0"/>
    <w:rsid w:val="007B3A4D"/>
    <w:rsid w:val="007B54D1"/>
    <w:rsid w:val="007B740E"/>
    <w:rsid w:val="007D03D3"/>
    <w:rsid w:val="007D048F"/>
    <w:rsid w:val="007D220D"/>
    <w:rsid w:val="007D3950"/>
    <w:rsid w:val="007D3F56"/>
    <w:rsid w:val="007D4577"/>
    <w:rsid w:val="007F3857"/>
    <w:rsid w:val="00802F94"/>
    <w:rsid w:val="0080424A"/>
    <w:rsid w:val="00807D56"/>
    <w:rsid w:val="00814E81"/>
    <w:rsid w:val="008173F2"/>
    <w:rsid w:val="00836B1E"/>
    <w:rsid w:val="00837FF5"/>
    <w:rsid w:val="00850CCB"/>
    <w:rsid w:val="00857691"/>
    <w:rsid w:val="00864AFD"/>
    <w:rsid w:val="00865C5F"/>
    <w:rsid w:val="0087168E"/>
    <w:rsid w:val="0088664E"/>
    <w:rsid w:val="00886C4B"/>
    <w:rsid w:val="00887B0D"/>
    <w:rsid w:val="008928A4"/>
    <w:rsid w:val="008933FC"/>
    <w:rsid w:val="00896741"/>
    <w:rsid w:val="00897B3F"/>
    <w:rsid w:val="008A3120"/>
    <w:rsid w:val="008A64EE"/>
    <w:rsid w:val="008A672B"/>
    <w:rsid w:val="008B7EC8"/>
    <w:rsid w:val="008C2D43"/>
    <w:rsid w:val="008C2F3F"/>
    <w:rsid w:val="008C4949"/>
    <w:rsid w:val="008E1500"/>
    <w:rsid w:val="008E23E8"/>
    <w:rsid w:val="008E5870"/>
    <w:rsid w:val="008E7C30"/>
    <w:rsid w:val="008F3740"/>
    <w:rsid w:val="00906A7E"/>
    <w:rsid w:val="009077BD"/>
    <w:rsid w:val="00927882"/>
    <w:rsid w:val="0093017E"/>
    <w:rsid w:val="0093170E"/>
    <w:rsid w:val="0093418B"/>
    <w:rsid w:val="00936B8A"/>
    <w:rsid w:val="009450AE"/>
    <w:rsid w:val="0095275C"/>
    <w:rsid w:val="00954646"/>
    <w:rsid w:val="00956A3A"/>
    <w:rsid w:val="009671F7"/>
    <w:rsid w:val="00974CB0"/>
    <w:rsid w:val="009911D2"/>
    <w:rsid w:val="00994411"/>
    <w:rsid w:val="009B35DD"/>
    <w:rsid w:val="009B3C0E"/>
    <w:rsid w:val="009B5096"/>
    <w:rsid w:val="009B67FD"/>
    <w:rsid w:val="009C19FC"/>
    <w:rsid w:val="009C3AA5"/>
    <w:rsid w:val="009E1A1C"/>
    <w:rsid w:val="009E41BB"/>
    <w:rsid w:val="009F70E6"/>
    <w:rsid w:val="00A122BD"/>
    <w:rsid w:val="00A1361C"/>
    <w:rsid w:val="00A17717"/>
    <w:rsid w:val="00A30E4F"/>
    <w:rsid w:val="00A35B83"/>
    <w:rsid w:val="00A4743E"/>
    <w:rsid w:val="00A5580C"/>
    <w:rsid w:val="00A64F66"/>
    <w:rsid w:val="00A80F7A"/>
    <w:rsid w:val="00A85FDF"/>
    <w:rsid w:val="00AA7EDC"/>
    <w:rsid w:val="00AB1203"/>
    <w:rsid w:val="00AB5D7F"/>
    <w:rsid w:val="00AB7CDB"/>
    <w:rsid w:val="00AC6DC0"/>
    <w:rsid w:val="00AC75B3"/>
    <w:rsid w:val="00AD6BF8"/>
    <w:rsid w:val="00AD7B9C"/>
    <w:rsid w:val="00AE0235"/>
    <w:rsid w:val="00AF38E9"/>
    <w:rsid w:val="00B00B8A"/>
    <w:rsid w:val="00B0749B"/>
    <w:rsid w:val="00B13925"/>
    <w:rsid w:val="00B15757"/>
    <w:rsid w:val="00B16AB2"/>
    <w:rsid w:val="00B16E2D"/>
    <w:rsid w:val="00B22099"/>
    <w:rsid w:val="00B22474"/>
    <w:rsid w:val="00B227FD"/>
    <w:rsid w:val="00B231DA"/>
    <w:rsid w:val="00B26623"/>
    <w:rsid w:val="00B3422F"/>
    <w:rsid w:val="00B40588"/>
    <w:rsid w:val="00B41201"/>
    <w:rsid w:val="00B56191"/>
    <w:rsid w:val="00B6151E"/>
    <w:rsid w:val="00B6240D"/>
    <w:rsid w:val="00B631B4"/>
    <w:rsid w:val="00B658EB"/>
    <w:rsid w:val="00B74DE5"/>
    <w:rsid w:val="00B77701"/>
    <w:rsid w:val="00B81135"/>
    <w:rsid w:val="00B81F12"/>
    <w:rsid w:val="00B87787"/>
    <w:rsid w:val="00B93506"/>
    <w:rsid w:val="00B94801"/>
    <w:rsid w:val="00BA0164"/>
    <w:rsid w:val="00BB5F58"/>
    <w:rsid w:val="00BB6F75"/>
    <w:rsid w:val="00BF0910"/>
    <w:rsid w:val="00C0060B"/>
    <w:rsid w:val="00C0357C"/>
    <w:rsid w:val="00C24D68"/>
    <w:rsid w:val="00C33084"/>
    <w:rsid w:val="00C33BA6"/>
    <w:rsid w:val="00C53145"/>
    <w:rsid w:val="00C61B6E"/>
    <w:rsid w:val="00C6672F"/>
    <w:rsid w:val="00C70EEB"/>
    <w:rsid w:val="00C734CD"/>
    <w:rsid w:val="00C8397D"/>
    <w:rsid w:val="00C90E18"/>
    <w:rsid w:val="00CA0733"/>
    <w:rsid w:val="00CA1193"/>
    <w:rsid w:val="00CB217A"/>
    <w:rsid w:val="00CC0005"/>
    <w:rsid w:val="00CD2462"/>
    <w:rsid w:val="00CE158B"/>
    <w:rsid w:val="00CE2618"/>
    <w:rsid w:val="00CF3A41"/>
    <w:rsid w:val="00CF70F6"/>
    <w:rsid w:val="00D01F3B"/>
    <w:rsid w:val="00D03D2D"/>
    <w:rsid w:val="00D057D4"/>
    <w:rsid w:val="00D10107"/>
    <w:rsid w:val="00D1093B"/>
    <w:rsid w:val="00D211C2"/>
    <w:rsid w:val="00D2349A"/>
    <w:rsid w:val="00D27133"/>
    <w:rsid w:val="00D31051"/>
    <w:rsid w:val="00D36B3E"/>
    <w:rsid w:val="00D43A11"/>
    <w:rsid w:val="00D44911"/>
    <w:rsid w:val="00D4651F"/>
    <w:rsid w:val="00D47457"/>
    <w:rsid w:val="00D50F48"/>
    <w:rsid w:val="00D5275E"/>
    <w:rsid w:val="00D60CA3"/>
    <w:rsid w:val="00D61838"/>
    <w:rsid w:val="00D61BC8"/>
    <w:rsid w:val="00D722ED"/>
    <w:rsid w:val="00D75B10"/>
    <w:rsid w:val="00D82712"/>
    <w:rsid w:val="00D839C8"/>
    <w:rsid w:val="00D86256"/>
    <w:rsid w:val="00DA13B0"/>
    <w:rsid w:val="00DA17FD"/>
    <w:rsid w:val="00DA7F2D"/>
    <w:rsid w:val="00DB55B2"/>
    <w:rsid w:val="00DB6FBE"/>
    <w:rsid w:val="00DE018F"/>
    <w:rsid w:val="00DE2959"/>
    <w:rsid w:val="00DE2D92"/>
    <w:rsid w:val="00DE4AB6"/>
    <w:rsid w:val="00DE60EA"/>
    <w:rsid w:val="00E0048E"/>
    <w:rsid w:val="00E03A4A"/>
    <w:rsid w:val="00E043BF"/>
    <w:rsid w:val="00E15F8F"/>
    <w:rsid w:val="00E309EF"/>
    <w:rsid w:val="00E415DA"/>
    <w:rsid w:val="00E56B69"/>
    <w:rsid w:val="00E57D3C"/>
    <w:rsid w:val="00E6137D"/>
    <w:rsid w:val="00E675C6"/>
    <w:rsid w:val="00E742D1"/>
    <w:rsid w:val="00E86BBE"/>
    <w:rsid w:val="00E86F3D"/>
    <w:rsid w:val="00E90616"/>
    <w:rsid w:val="00E91D45"/>
    <w:rsid w:val="00E93DFC"/>
    <w:rsid w:val="00E979C8"/>
    <w:rsid w:val="00EA1C61"/>
    <w:rsid w:val="00EA6451"/>
    <w:rsid w:val="00EB1A23"/>
    <w:rsid w:val="00EB64D6"/>
    <w:rsid w:val="00EC0336"/>
    <w:rsid w:val="00EC1E9F"/>
    <w:rsid w:val="00EC2D4B"/>
    <w:rsid w:val="00EC2D73"/>
    <w:rsid w:val="00ED24BF"/>
    <w:rsid w:val="00ED3C30"/>
    <w:rsid w:val="00ED47F7"/>
    <w:rsid w:val="00EF4BAA"/>
    <w:rsid w:val="00EF6C1C"/>
    <w:rsid w:val="00EF7C86"/>
    <w:rsid w:val="00F024A4"/>
    <w:rsid w:val="00F1209A"/>
    <w:rsid w:val="00F1475E"/>
    <w:rsid w:val="00F20F85"/>
    <w:rsid w:val="00F32AA1"/>
    <w:rsid w:val="00F52E1A"/>
    <w:rsid w:val="00F62565"/>
    <w:rsid w:val="00F7095C"/>
    <w:rsid w:val="00F71BA8"/>
    <w:rsid w:val="00FA4CA0"/>
    <w:rsid w:val="00FB3E7B"/>
    <w:rsid w:val="00FB4B9F"/>
    <w:rsid w:val="00FC0F80"/>
    <w:rsid w:val="00FC3DAD"/>
    <w:rsid w:val="00FC50D9"/>
    <w:rsid w:val="00FD1627"/>
    <w:rsid w:val="00FD1E4B"/>
    <w:rsid w:val="00FE0321"/>
    <w:rsid w:val="00FE5990"/>
    <w:rsid w:val="00FF07A4"/>
    <w:rsid w:val="00FF121C"/>
    <w:rsid w:val="00FF2629"/>
    <w:rsid w:val="00FF61B1"/>
    <w:rsid w:val="00FF6B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9EB5C"/>
  <w15:chartTrackingRefBased/>
  <w15:docId w15:val="{481EAAD9-2450-41A2-8E12-5D02BABB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145"/>
    <w:pPr>
      <w:spacing w:line="260" w:lineRule="atLeast"/>
      <w:jc w:val="both"/>
    </w:pPr>
    <w:rPr>
      <w:rFonts w:ascii="Palatino Linotype" w:hAnsi="Palatino Linotype"/>
      <w:noProof/>
      <w:color w:val="000000"/>
    </w:rPr>
  </w:style>
  <w:style w:type="paragraph" w:styleId="Heading1">
    <w:name w:val="heading 1"/>
    <w:basedOn w:val="Normal"/>
    <w:next w:val="Normal"/>
    <w:link w:val="Heading1Char"/>
    <w:uiPriority w:val="9"/>
    <w:qFormat/>
    <w:rsid w:val="000420B5"/>
    <w:pPr>
      <w:keepNext/>
      <w:keepLines/>
      <w:spacing w:before="480" w:after="240" w:line="259" w:lineRule="auto"/>
      <w:jc w:val="left"/>
      <w:outlineLvl w:val="0"/>
    </w:pPr>
    <w:rPr>
      <w:rFonts w:ascii="Times New Roman" w:eastAsiaTheme="majorEastAsia" w:hAnsi="Times New Roman" w:cstheme="majorBidi"/>
      <w:noProof w:val="0"/>
      <w:color w:val="auto"/>
      <w:sz w:val="28"/>
      <w:szCs w:val="32"/>
      <w:lang w:val="en-GB" w:eastAsia="en-US"/>
    </w:rPr>
  </w:style>
  <w:style w:type="paragraph" w:styleId="Heading2">
    <w:name w:val="heading 2"/>
    <w:basedOn w:val="Normal"/>
    <w:next w:val="Normal"/>
    <w:link w:val="Heading2Char"/>
    <w:uiPriority w:val="9"/>
    <w:unhideWhenUsed/>
    <w:qFormat/>
    <w:rsid w:val="000420B5"/>
    <w:pPr>
      <w:keepNext/>
      <w:keepLines/>
      <w:spacing w:before="280" w:after="240" w:line="259" w:lineRule="auto"/>
      <w:jc w:val="left"/>
      <w:outlineLvl w:val="1"/>
    </w:pPr>
    <w:rPr>
      <w:rFonts w:ascii="Times New Roman" w:eastAsiaTheme="majorEastAsia" w:hAnsi="Times New Roman" w:cstheme="majorBidi"/>
      <w:i/>
      <w:noProof w:val="0"/>
      <w:color w:val="auto"/>
      <w:sz w:val="24"/>
      <w:szCs w:val="26"/>
      <w:lang w:val="en-GB" w:eastAsia="en-US"/>
    </w:rPr>
  </w:style>
  <w:style w:type="paragraph" w:styleId="Heading3">
    <w:name w:val="heading 3"/>
    <w:basedOn w:val="Normal"/>
    <w:next w:val="Normal"/>
    <w:link w:val="Heading3Char"/>
    <w:uiPriority w:val="9"/>
    <w:unhideWhenUsed/>
    <w:qFormat/>
    <w:rsid w:val="000420B5"/>
    <w:pPr>
      <w:keepNext/>
      <w:keepLines/>
      <w:spacing w:before="40" w:line="259" w:lineRule="auto"/>
      <w:jc w:val="left"/>
      <w:outlineLvl w:val="2"/>
    </w:pPr>
    <w:rPr>
      <w:rFonts w:asciiTheme="majorHAnsi" w:eastAsiaTheme="majorEastAsia" w:hAnsiTheme="majorHAnsi" w:cstheme="majorBidi"/>
      <w:noProof w:val="0"/>
      <w:color w:val="1F3763" w:themeColor="accent1" w:themeShade="7F"/>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483807"/>
    <w:pPr>
      <w:adjustRightInd w:val="0"/>
      <w:snapToGrid w:val="0"/>
      <w:spacing w:before="240"/>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12title">
    <w:name w:val="MDPI_1.2_title"/>
    <w:next w:val="Normal"/>
    <w:qFormat/>
    <w:rsid w:val="00483807"/>
    <w:pPr>
      <w:adjustRightInd w:val="0"/>
      <w:snapToGrid w:val="0"/>
      <w:spacing w:after="240" w:line="240" w:lineRule="atLeast"/>
    </w:pPr>
    <w:rPr>
      <w:rFonts w:ascii="Palatino Linotype" w:eastAsia="Times New Roman" w:hAnsi="Palatino Linotype"/>
      <w:b/>
      <w:snapToGrid w:val="0"/>
      <w:color w:val="000000"/>
      <w:kern w:val="2"/>
      <w:sz w:val="36"/>
      <w:lang w:eastAsia="de-DE" w:bidi="en-US"/>
      <w14:ligatures w14:val="standardContextual"/>
    </w:rPr>
  </w:style>
  <w:style w:type="paragraph" w:customStyle="1" w:styleId="MDPI13authornames">
    <w:name w:val="MDPI_1.3_authornames"/>
    <w:next w:val="Normal"/>
    <w:qFormat/>
    <w:rsid w:val="00483807"/>
    <w:pPr>
      <w:adjustRightInd w:val="0"/>
      <w:snapToGrid w:val="0"/>
      <w:spacing w:after="360" w:line="260" w:lineRule="atLeast"/>
    </w:pPr>
    <w:rPr>
      <w:rFonts w:ascii="Palatino Linotype" w:eastAsia="Times New Roman" w:hAnsi="Palatino Linotype"/>
      <w:b/>
      <w:color w:val="000000"/>
      <w:kern w:val="2"/>
      <w:szCs w:val="22"/>
      <w:lang w:eastAsia="de-DE" w:bidi="en-US"/>
      <w14:ligatures w14:val="standardContextual"/>
    </w:rPr>
  </w:style>
  <w:style w:type="paragraph" w:customStyle="1" w:styleId="MDPI14history">
    <w:name w:val="MDPI_1.4_history"/>
    <w:basedOn w:val="Normal"/>
    <w:next w:val="Normal"/>
    <w:qFormat/>
    <w:rsid w:val="00483807"/>
    <w:pPr>
      <w:adjustRightInd w:val="0"/>
      <w:snapToGrid w:val="0"/>
      <w:spacing w:line="240" w:lineRule="atLeast"/>
      <w:ind w:right="113"/>
      <w:jc w:val="left"/>
    </w:pPr>
    <w:rPr>
      <w:rFonts w:eastAsia="Times New Roman"/>
      <w:noProof w:val="0"/>
      <w:kern w:val="2"/>
      <w:sz w:val="14"/>
      <w:lang w:eastAsia="de-DE" w:bidi="en-US"/>
      <w14:ligatures w14:val="standardContextual"/>
    </w:rPr>
  </w:style>
  <w:style w:type="paragraph" w:customStyle="1" w:styleId="MDPI16affiliation">
    <w:name w:val="MDPI_1.6_affiliation"/>
    <w:qFormat/>
    <w:rsid w:val="00483807"/>
    <w:pPr>
      <w:adjustRightInd w:val="0"/>
      <w:snapToGrid w:val="0"/>
      <w:spacing w:line="200" w:lineRule="atLeast"/>
      <w:ind w:left="2806" w:hanging="198"/>
    </w:pPr>
    <w:rPr>
      <w:rFonts w:ascii="Palatino Linotype" w:eastAsia="Times New Roman" w:hAnsi="Palatino Linotype"/>
      <w:color w:val="000000"/>
      <w:kern w:val="2"/>
      <w:sz w:val="16"/>
      <w:szCs w:val="18"/>
      <w:lang w:eastAsia="de-DE" w:bidi="en-US"/>
      <w14:ligatures w14:val="standardContextual"/>
    </w:rPr>
  </w:style>
  <w:style w:type="paragraph" w:customStyle="1" w:styleId="MDPI17abstract">
    <w:name w:val="MDPI_1.7_abstract"/>
    <w:next w:val="Normal"/>
    <w:qFormat/>
    <w:rsid w:val="00483807"/>
    <w:pPr>
      <w:adjustRightInd w:val="0"/>
      <w:snapToGrid w:val="0"/>
      <w:spacing w:before="240" w:line="260" w:lineRule="atLeast"/>
      <w:ind w:left="2608"/>
      <w:jc w:val="both"/>
    </w:pPr>
    <w:rPr>
      <w:rFonts w:ascii="Palatino Linotype" w:eastAsia="Times New Roman" w:hAnsi="Palatino Linotype"/>
      <w:color w:val="000000"/>
      <w:kern w:val="2"/>
      <w:sz w:val="18"/>
      <w:szCs w:val="22"/>
      <w:lang w:eastAsia="de-DE" w:bidi="en-US"/>
      <w14:ligatures w14:val="standardContextual"/>
    </w:rPr>
  </w:style>
  <w:style w:type="paragraph" w:customStyle="1" w:styleId="MDPI18keywords">
    <w:name w:val="MDPI_1.8_keywords"/>
    <w:next w:val="Normal"/>
    <w:qFormat/>
    <w:rsid w:val="00483807"/>
    <w:pPr>
      <w:adjustRightInd w:val="0"/>
      <w:snapToGrid w:val="0"/>
      <w:spacing w:before="240" w:line="260" w:lineRule="atLeast"/>
      <w:ind w:left="2608"/>
      <w:jc w:val="both"/>
    </w:pPr>
    <w:rPr>
      <w:rFonts w:ascii="Palatino Linotype" w:eastAsia="Times New Roman" w:hAnsi="Palatino Linotype"/>
      <w:snapToGrid w:val="0"/>
      <w:color w:val="000000"/>
      <w:kern w:val="2"/>
      <w:sz w:val="18"/>
      <w:szCs w:val="22"/>
      <w:lang w:eastAsia="de-DE" w:bidi="en-US"/>
      <w14:ligatures w14:val="standardContextual"/>
    </w:rPr>
  </w:style>
  <w:style w:type="paragraph" w:customStyle="1" w:styleId="MDPI19line">
    <w:name w:val="MDPI_1.9_line"/>
    <w:qFormat/>
    <w:rsid w:val="00CE2618"/>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kern w:val="2"/>
      <w:szCs w:val="24"/>
      <w:lang w:eastAsia="de-DE" w:bidi="en-US"/>
      <w14:ligatures w14:val="standardContextual"/>
    </w:rPr>
  </w:style>
  <w:style w:type="paragraph" w:customStyle="1" w:styleId="Mdeck2authorcorrespondence">
    <w:name w:val="M_deck_2_author_correspondence"/>
    <w:qFormat/>
    <w:rsid w:val="009450AE"/>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sz w:val="18"/>
      <w:lang w:eastAsia="de-DE" w:bidi="en-US"/>
    </w:rPr>
  </w:style>
  <w:style w:type="paragraph" w:styleId="Footer">
    <w:name w:val="footer"/>
    <w:basedOn w:val="Normal"/>
    <w:link w:val="FooterChar"/>
    <w:rsid w:val="00C5314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53145"/>
    <w:rPr>
      <w:rFonts w:ascii="Palatino Linotype" w:hAnsi="Palatino Linotype"/>
      <w:noProof/>
      <w:color w:val="000000"/>
      <w:szCs w:val="18"/>
    </w:rPr>
  </w:style>
  <w:style w:type="paragraph" w:styleId="Header">
    <w:name w:val="header"/>
    <w:basedOn w:val="Normal"/>
    <w:link w:val="HeaderChar"/>
    <w:rsid w:val="00C5314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53145"/>
    <w:rPr>
      <w:rFonts w:ascii="Palatino Linotype" w:hAnsi="Palatino Linotype"/>
      <w:noProof/>
      <w:color w:val="000000"/>
      <w:szCs w:val="18"/>
    </w:rPr>
  </w:style>
  <w:style w:type="paragraph" w:customStyle="1" w:styleId="MDPIheaderjournallogo">
    <w:name w:val="MDPI_header_journal_logo"/>
    <w:qFormat/>
    <w:rsid w:val="00483807"/>
    <w:pPr>
      <w:adjustRightInd w:val="0"/>
      <w:snapToGrid w:val="0"/>
      <w:spacing w:line="260" w:lineRule="atLeast"/>
      <w:jc w:val="both"/>
    </w:pPr>
    <w:rPr>
      <w:rFonts w:ascii="Palatino Linotype" w:eastAsia="Times New Roman" w:hAnsi="Palatino Linotype"/>
      <w:i/>
      <w:color w:val="000000"/>
      <w:kern w:val="2"/>
      <w:sz w:val="24"/>
      <w:szCs w:val="22"/>
      <w:lang w:eastAsia="de-CH"/>
      <w14:ligatures w14:val="standardContextual"/>
    </w:rPr>
  </w:style>
  <w:style w:type="paragraph" w:customStyle="1" w:styleId="MDPI32textnoindent">
    <w:name w:val="MDPI_3.2_text_no_indent"/>
    <w:basedOn w:val="MDPI31text"/>
    <w:qFormat/>
    <w:rsid w:val="00483807"/>
    <w:pPr>
      <w:ind w:firstLine="0"/>
    </w:pPr>
  </w:style>
  <w:style w:type="paragraph" w:customStyle="1" w:styleId="MDPI31text">
    <w:name w:val="MDPI_3.1_text"/>
    <w:qFormat/>
    <w:rsid w:val="00483807"/>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3textspaceafter">
    <w:name w:val="MDPI_3.3_text_space_after"/>
    <w:qFormat/>
    <w:rsid w:val="00483807"/>
    <w:pPr>
      <w:adjustRightInd w:val="0"/>
      <w:snapToGrid w:val="0"/>
      <w:spacing w:after="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4textspacebefore">
    <w:name w:val="MDPI_3.4_text_space_before"/>
    <w:qFormat/>
    <w:rsid w:val="00483807"/>
    <w:pPr>
      <w:adjustRightInd w:val="0"/>
      <w:snapToGrid w:val="0"/>
      <w:spacing w:before="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5textbeforelist">
    <w:name w:val="MDPI_3.5_text_before_list"/>
    <w:qFormat/>
    <w:rsid w:val="00483807"/>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6textafterlist">
    <w:name w:val="MDPI_3.6_text_after_list"/>
    <w:qFormat/>
    <w:rsid w:val="00483807"/>
    <w:pPr>
      <w:adjustRightInd w:val="0"/>
      <w:snapToGrid w:val="0"/>
      <w:spacing w:before="12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7itemize">
    <w:name w:val="MDPI_3.7_itemize"/>
    <w:qFormat/>
    <w:rsid w:val="00483807"/>
    <w:pPr>
      <w:numPr>
        <w:numId w:val="38"/>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8bullet">
    <w:name w:val="MDPI_3.8_bullet"/>
    <w:qFormat/>
    <w:rsid w:val="00483807"/>
    <w:pPr>
      <w:numPr>
        <w:numId w:val="39"/>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9equation">
    <w:name w:val="MDPI_3.9_equation"/>
    <w:qFormat/>
    <w:rsid w:val="00483807"/>
    <w:pPr>
      <w:adjustRightInd w:val="0"/>
      <w:snapToGrid w:val="0"/>
      <w:spacing w:before="120" w:after="120" w:line="260" w:lineRule="atLeast"/>
      <w:ind w:left="709"/>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aequationnumber">
    <w:name w:val="MDPI_3.a_equation_number"/>
    <w:qFormat/>
    <w:rsid w:val="00483807"/>
    <w:pPr>
      <w:spacing w:before="120" w:after="120"/>
      <w:jc w:val="right"/>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41tablecaption">
    <w:name w:val="MDPI_4.1_table_caption"/>
    <w:qFormat/>
    <w:rsid w:val="00483807"/>
    <w:pPr>
      <w:adjustRightInd w:val="0"/>
      <w:snapToGrid w:val="0"/>
      <w:spacing w:before="240" w:after="120" w:line="228" w:lineRule="auto"/>
      <w:ind w:left="2608"/>
    </w:pPr>
    <w:rPr>
      <w:rFonts w:ascii="Palatino Linotype" w:eastAsia="Times New Roman" w:hAnsi="Palatino Linotype" w:cstheme="minorBidi"/>
      <w:color w:val="000000"/>
      <w:kern w:val="2"/>
      <w:sz w:val="18"/>
      <w:szCs w:val="22"/>
      <w:lang w:eastAsia="de-DE" w:bidi="en-US"/>
      <w14:ligatures w14:val="standardContextual"/>
    </w:rPr>
  </w:style>
  <w:style w:type="paragraph" w:customStyle="1" w:styleId="MDPI42tablebody">
    <w:name w:val="MDPI_4.2_table_body"/>
    <w:qFormat/>
    <w:rsid w:val="00483807"/>
    <w:pPr>
      <w:adjustRightInd w:val="0"/>
      <w:snapToGrid w:val="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43tablefooter">
    <w:name w:val="MDPI_4.3_table_footer"/>
    <w:next w:val="MDPI31text"/>
    <w:qFormat/>
    <w:rsid w:val="00483807"/>
    <w:pPr>
      <w:adjustRightInd w:val="0"/>
      <w:snapToGrid w:val="0"/>
      <w:spacing w:line="228" w:lineRule="auto"/>
      <w:ind w:left="2608"/>
      <w:jc w:val="both"/>
    </w:pPr>
    <w:rPr>
      <w:rFonts w:ascii="Palatino Linotype" w:eastAsia="Times New Roman" w:hAnsi="Palatino Linotype" w:cs="Cordia New"/>
      <w:color w:val="000000"/>
      <w:kern w:val="2"/>
      <w:sz w:val="18"/>
      <w:szCs w:val="22"/>
      <w:lang w:eastAsia="de-DE" w:bidi="en-US"/>
      <w14:ligatures w14:val="standardContextual"/>
    </w:rPr>
  </w:style>
  <w:style w:type="paragraph" w:customStyle="1" w:styleId="MDPI51figurecaption">
    <w:name w:val="MDPI_5.1_figure_caption"/>
    <w:qFormat/>
    <w:rsid w:val="00483807"/>
    <w:pPr>
      <w:adjustRightInd w:val="0"/>
      <w:snapToGrid w:val="0"/>
      <w:spacing w:before="120" w:after="240" w:line="228" w:lineRule="auto"/>
      <w:ind w:left="2608"/>
    </w:pPr>
    <w:rPr>
      <w:rFonts w:ascii="Palatino Linotype" w:eastAsia="Times New Roman" w:hAnsi="Palatino Linotype"/>
      <w:color w:val="000000"/>
      <w:kern w:val="2"/>
      <w:sz w:val="18"/>
      <w:lang w:eastAsia="de-DE" w:bidi="en-US"/>
      <w14:ligatures w14:val="standardContextual"/>
    </w:rPr>
  </w:style>
  <w:style w:type="paragraph" w:customStyle="1" w:styleId="MDPI52figure">
    <w:name w:val="MDPI_5.2_figure"/>
    <w:qFormat/>
    <w:rsid w:val="00483807"/>
    <w:pPr>
      <w:adjustRightInd w:val="0"/>
      <w:snapToGrid w:val="0"/>
      <w:spacing w:before="240" w:after="12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81theorem">
    <w:name w:val="MDPI_8.1_theorem"/>
    <w:qFormat/>
    <w:rsid w:val="00483807"/>
    <w:pPr>
      <w:adjustRightInd w:val="0"/>
      <w:snapToGrid w:val="0"/>
      <w:spacing w:line="228" w:lineRule="auto"/>
      <w:ind w:left="2608"/>
      <w:jc w:val="both"/>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82proof">
    <w:name w:val="MDPI_8.2_proof"/>
    <w:qFormat/>
    <w:rsid w:val="00483807"/>
    <w:pPr>
      <w:adjustRightInd w:val="0"/>
      <w:snapToGrid w:val="0"/>
      <w:spacing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23heading3">
    <w:name w:val="MDPI_2.3_heading3"/>
    <w:qFormat/>
    <w:rsid w:val="00483807"/>
    <w:pPr>
      <w:adjustRightInd w:val="0"/>
      <w:snapToGrid w:val="0"/>
      <w:spacing w:before="60" w:after="60" w:line="228" w:lineRule="auto"/>
      <w:ind w:left="2608"/>
      <w:outlineLvl w:val="2"/>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21heading1">
    <w:name w:val="MDPI_2.1_heading1"/>
    <w:qFormat/>
    <w:rsid w:val="00483807"/>
    <w:pPr>
      <w:adjustRightInd w:val="0"/>
      <w:snapToGrid w:val="0"/>
      <w:spacing w:before="240" w:after="60" w:line="228" w:lineRule="auto"/>
      <w:ind w:left="2608"/>
      <w:outlineLvl w:val="0"/>
    </w:pPr>
    <w:rPr>
      <w:rFonts w:ascii="Palatino Linotype" w:eastAsia="Times New Roman" w:hAnsi="Palatino Linotype"/>
      <w:b/>
      <w:snapToGrid w:val="0"/>
      <w:color w:val="000000"/>
      <w:kern w:val="2"/>
      <w:szCs w:val="22"/>
      <w:lang w:eastAsia="de-DE" w:bidi="en-US"/>
      <w14:ligatures w14:val="standardContextual"/>
    </w:rPr>
  </w:style>
  <w:style w:type="paragraph" w:customStyle="1" w:styleId="MDPI22heading2">
    <w:name w:val="MDPI_2.2_heading2"/>
    <w:qFormat/>
    <w:rsid w:val="00483807"/>
    <w:pPr>
      <w:adjustRightInd w:val="0"/>
      <w:snapToGrid w:val="0"/>
      <w:spacing w:before="60" w:after="60" w:line="228" w:lineRule="auto"/>
      <w:ind w:left="2608"/>
      <w:outlineLvl w:val="1"/>
    </w:pPr>
    <w:rPr>
      <w:rFonts w:ascii="Palatino Linotype" w:eastAsia="Times New Roman" w:hAnsi="Palatino Linotype"/>
      <w:i/>
      <w:noProof/>
      <w:snapToGrid w:val="0"/>
      <w:color w:val="000000"/>
      <w:kern w:val="2"/>
      <w:szCs w:val="22"/>
      <w:lang w:eastAsia="de-DE" w:bidi="en-US"/>
      <w14:ligatures w14:val="standardContextual"/>
    </w:rPr>
  </w:style>
  <w:style w:type="paragraph" w:customStyle="1" w:styleId="MDPI71References">
    <w:name w:val="MDPI_7.1_References"/>
    <w:qFormat/>
    <w:rsid w:val="00483807"/>
    <w:pPr>
      <w:numPr>
        <w:numId w:val="41"/>
      </w:numPr>
      <w:adjustRightInd w:val="0"/>
      <w:snapToGrid w:val="0"/>
      <w:spacing w:line="228" w:lineRule="auto"/>
      <w:jc w:val="both"/>
    </w:pPr>
    <w:rPr>
      <w:rFonts w:ascii="Palatino Linotype" w:eastAsia="Times New Roman" w:hAnsi="Palatino Linotype"/>
      <w:color w:val="000000"/>
      <w:kern w:val="2"/>
      <w:sz w:val="18"/>
      <w:lang w:eastAsia="de-DE" w:bidi="en-US"/>
      <w14:ligatures w14:val="standardContextual"/>
    </w:rPr>
  </w:style>
  <w:style w:type="paragraph" w:styleId="BalloonText">
    <w:name w:val="Balloon Text"/>
    <w:basedOn w:val="Normal"/>
    <w:link w:val="BalloonTextChar"/>
    <w:uiPriority w:val="99"/>
    <w:rsid w:val="00C53145"/>
    <w:rPr>
      <w:rFonts w:cs="Tahoma"/>
      <w:szCs w:val="18"/>
    </w:rPr>
  </w:style>
  <w:style w:type="character" w:customStyle="1" w:styleId="BalloonTextChar">
    <w:name w:val="Balloon Text Char"/>
    <w:link w:val="BalloonText"/>
    <w:uiPriority w:val="99"/>
    <w:rsid w:val="00C53145"/>
    <w:rPr>
      <w:rFonts w:ascii="Palatino Linotype" w:hAnsi="Palatino Linotype" w:cs="Tahoma"/>
      <w:noProof/>
      <w:color w:val="000000"/>
      <w:szCs w:val="18"/>
    </w:rPr>
  </w:style>
  <w:style w:type="character" w:styleId="LineNumber">
    <w:name w:val="line number"/>
    <w:uiPriority w:val="99"/>
    <w:rsid w:val="0006746A"/>
    <w:rPr>
      <w:rFonts w:ascii="Palatino Linotype" w:hAnsi="Palatino Linotype"/>
      <w:sz w:val="16"/>
    </w:rPr>
  </w:style>
  <w:style w:type="table" w:customStyle="1" w:styleId="MDPI41threelinetable">
    <w:name w:val="MDPI_4.1_three_line_table"/>
    <w:basedOn w:val="TableNormal"/>
    <w:uiPriority w:val="99"/>
    <w:rsid w:val="00483807"/>
    <w:pPr>
      <w:adjustRightInd w:val="0"/>
      <w:snapToGrid w:val="0"/>
      <w:jc w:val="center"/>
    </w:pPr>
    <w:rPr>
      <w:rFonts w:ascii="Palatino Linotype" w:eastAsiaTheme="minorEastAsia" w:hAnsi="Palatino Linotype"/>
      <w:color w:val="000000"/>
      <w:kern w:val="2"/>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53145"/>
    <w:rPr>
      <w:color w:val="0000FF"/>
      <w:u w:val="single"/>
    </w:rPr>
  </w:style>
  <w:style w:type="character" w:styleId="UnresolvedMention">
    <w:name w:val="Unresolved Mention"/>
    <w:uiPriority w:val="99"/>
    <w:semiHidden/>
    <w:unhideWhenUsed/>
    <w:rsid w:val="007A360C"/>
    <w:rPr>
      <w:color w:val="605E5C"/>
      <w:shd w:val="clear" w:color="auto" w:fill="E1DFDD"/>
    </w:rPr>
  </w:style>
  <w:style w:type="table" w:styleId="TableGrid">
    <w:name w:val="Table Grid"/>
    <w:basedOn w:val="TableNormal"/>
    <w:uiPriority w:val="39"/>
    <w:rsid w:val="00C5314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A7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483807"/>
    <w:pPr>
      <w:adjustRightInd w:val="0"/>
      <w:snapToGrid w:val="0"/>
      <w:spacing w:line="240" w:lineRule="atLeast"/>
      <w:ind w:right="113"/>
    </w:pPr>
    <w:rPr>
      <w:rFonts w:ascii="Palatino Linotype" w:hAnsi="Palatino Linotype" w:cs="Cordia New"/>
      <w:kern w:val="2"/>
      <w:sz w:val="14"/>
      <w:szCs w:val="22"/>
      <w14:ligatures w14:val="standardContextual"/>
    </w:rPr>
  </w:style>
  <w:style w:type="paragraph" w:customStyle="1" w:styleId="MDPI62BackMatter">
    <w:name w:val="MDPI_6.2_BackMatter"/>
    <w:qFormat/>
    <w:rsid w:val="00483807"/>
    <w:pPr>
      <w:adjustRightInd w:val="0"/>
      <w:snapToGrid w:val="0"/>
      <w:spacing w:after="120" w:line="228" w:lineRule="auto"/>
      <w:ind w:left="2608"/>
      <w:jc w:val="both"/>
    </w:pPr>
    <w:rPr>
      <w:rFonts w:ascii="Palatino Linotype" w:eastAsia="Times New Roman" w:hAnsi="Palatino Linotype"/>
      <w:snapToGrid w:val="0"/>
      <w:color w:val="000000"/>
      <w:kern w:val="2"/>
      <w:sz w:val="18"/>
      <w:lang w:bidi="en-US"/>
      <w14:ligatures w14:val="standardContextual"/>
    </w:rPr>
  </w:style>
  <w:style w:type="paragraph" w:customStyle="1" w:styleId="MDPI63Notes">
    <w:name w:val="MDPI_6.3_Notes"/>
    <w:qFormat/>
    <w:rsid w:val="00483807"/>
    <w:pPr>
      <w:adjustRightInd w:val="0"/>
      <w:snapToGrid w:val="0"/>
      <w:spacing w:before="240" w:line="228" w:lineRule="auto"/>
      <w:jc w:val="both"/>
    </w:pPr>
    <w:rPr>
      <w:rFonts w:ascii="Palatino Linotype" w:hAnsi="Palatino Linotype"/>
      <w:snapToGrid w:val="0"/>
      <w:color w:val="000000"/>
      <w:kern w:val="2"/>
      <w:sz w:val="18"/>
      <w:lang w:bidi="en-US"/>
      <w14:ligatures w14:val="standardContextual"/>
    </w:rPr>
  </w:style>
  <w:style w:type="paragraph" w:customStyle="1" w:styleId="MDPI15academiceditor">
    <w:name w:val="MDPI_1.5_academic_editor"/>
    <w:qFormat/>
    <w:rsid w:val="00483807"/>
    <w:pPr>
      <w:adjustRightInd w:val="0"/>
      <w:snapToGrid w:val="0"/>
      <w:spacing w:before="120" w:line="240" w:lineRule="atLeast"/>
      <w:ind w:right="113"/>
    </w:pPr>
    <w:rPr>
      <w:rFonts w:ascii="Palatino Linotype" w:eastAsia="Times New Roman" w:hAnsi="Palatino Linotype"/>
      <w:color w:val="000000"/>
      <w:kern w:val="2"/>
      <w:sz w:val="14"/>
      <w:szCs w:val="22"/>
      <w:lang w:eastAsia="de-DE" w:bidi="en-US"/>
      <w14:ligatures w14:val="standardContextual"/>
    </w:rPr>
  </w:style>
  <w:style w:type="paragraph" w:customStyle="1" w:styleId="MDPI19classification">
    <w:name w:val="MDPI_1.9_classification"/>
    <w:qFormat/>
    <w:rsid w:val="00483807"/>
    <w:pPr>
      <w:spacing w:before="240" w:line="260" w:lineRule="atLeast"/>
      <w:ind w:left="113"/>
      <w:jc w:val="both"/>
    </w:pPr>
    <w:rPr>
      <w:rFonts w:ascii="Palatino Linotype" w:eastAsia="Times New Roman" w:hAnsi="Palatino Linotype"/>
      <w:b/>
      <w:color w:val="000000"/>
      <w:kern w:val="2"/>
      <w:szCs w:val="22"/>
      <w:lang w:eastAsia="de-DE" w:bidi="en-US"/>
      <w14:ligatures w14:val="standardContextual"/>
    </w:rPr>
  </w:style>
  <w:style w:type="paragraph" w:customStyle="1" w:styleId="MDPI411onetablecaption">
    <w:name w:val="MDPI_4.1.1_one_table_caption"/>
    <w:qFormat/>
    <w:rsid w:val="00483807"/>
    <w:pPr>
      <w:adjustRightInd w:val="0"/>
      <w:snapToGrid w:val="0"/>
      <w:spacing w:before="240" w:after="120" w:line="260" w:lineRule="atLeast"/>
      <w:jc w:val="center"/>
    </w:pPr>
    <w:rPr>
      <w:rFonts w:ascii="Palatino Linotype" w:eastAsiaTheme="minorEastAsia" w:hAnsi="Palatino Linotype" w:cstheme="minorBidi"/>
      <w:noProof/>
      <w:color w:val="000000"/>
      <w:kern w:val="2"/>
      <w:sz w:val="18"/>
      <w:szCs w:val="22"/>
      <w:lang w:bidi="en-US"/>
      <w14:ligatures w14:val="standardContextual"/>
    </w:rPr>
  </w:style>
  <w:style w:type="paragraph" w:customStyle="1" w:styleId="MDPI511onefigurecaption">
    <w:name w:val="MDPI_5.1.1_one_figure_caption"/>
    <w:qFormat/>
    <w:rsid w:val="00483807"/>
    <w:pPr>
      <w:adjustRightInd w:val="0"/>
      <w:snapToGrid w:val="0"/>
      <w:spacing w:before="240" w:after="120" w:line="260" w:lineRule="atLeast"/>
      <w:jc w:val="center"/>
    </w:pPr>
    <w:rPr>
      <w:rFonts w:ascii="Palatino Linotype" w:eastAsiaTheme="minorEastAsia" w:hAnsi="Palatino Linotype"/>
      <w:noProof/>
      <w:color w:val="000000"/>
      <w:kern w:val="2"/>
      <w:sz w:val="18"/>
      <w:lang w:bidi="en-US"/>
      <w14:ligatures w14:val="standardContextual"/>
    </w:rPr>
  </w:style>
  <w:style w:type="paragraph" w:customStyle="1" w:styleId="MDPI72Copyright">
    <w:name w:val="MDPI_7.2_Copyright"/>
    <w:qFormat/>
    <w:rsid w:val="00483807"/>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483807"/>
    <w:pPr>
      <w:adjustRightInd w:val="0"/>
      <w:snapToGrid w:val="0"/>
      <w:spacing w:after="100" w:line="260" w:lineRule="atLeast"/>
      <w:jc w:val="right"/>
    </w:pPr>
    <w:rPr>
      <w:rFonts w:ascii="Palatino Linotype" w:eastAsia="Times New Roman" w:hAnsi="Palatino Linotype"/>
      <w:color w:val="000000"/>
      <w:kern w:val="2"/>
      <w:lang w:eastAsia="de-CH"/>
      <w14:ligatures w14:val="standardContextual"/>
    </w:rPr>
  </w:style>
  <w:style w:type="paragraph" w:customStyle="1" w:styleId="MDPIequationFram">
    <w:name w:val="MDPI_equationFram"/>
    <w:qFormat/>
    <w:rsid w:val="00483807"/>
    <w:pPr>
      <w:adjustRightInd w:val="0"/>
      <w:snapToGrid w:val="0"/>
      <w:spacing w:before="120" w:after="120"/>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footer">
    <w:name w:val="MDPI_footer"/>
    <w:qFormat/>
    <w:rsid w:val="00483807"/>
    <w:pPr>
      <w:adjustRightInd w:val="0"/>
      <w:snapToGrid w:val="0"/>
      <w:spacing w:before="120" w:line="260" w:lineRule="atLeast"/>
      <w:jc w:val="center"/>
    </w:pPr>
    <w:rPr>
      <w:rFonts w:ascii="Palatino Linotype" w:eastAsia="Times New Roman" w:hAnsi="Palatino Linotype"/>
      <w:color w:val="000000"/>
      <w:kern w:val="2"/>
      <w:lang w:eastAsia="de-DE"/>
      <w14:ligatures w14:val="standardContextual"/>
    </w:rPr>
  </w:style>
  <w:style w:type="paragraph" w:customStyle="1" w:styleId="MDPIfooterfirstpage">
    <w:name w:val="MDPI_footer_firstpage"/>
    <w:qFormat/>
    <w:rsid w:val="00483807"/>
    <w:pPr>
      <w:tabs>
        <w:tab w:val="right" w:pos="8845"/>
      </w:tabs>
      <w:spacing w:line="160" w:lineRule="exact"/>
    </w:pPr>
    <w:rPr>
      <w:rFonts w:ascii="Palatino Linotype" w:eastAsia="Times New Roman" w:hAnsi="Palatino Linotype"/>
      <w:color w:val="000000"/>
      <w:kern w:val="2"/>
      <w:sz w:val="16"/>
      <w:lang w:eastAsia="de-DE"/>
      <w14:ligatures w14:val="standardContextual"/>
    </w:rPr>
  </w:style>
  <w:style w:type="paragraph" w:customStyle="1" w:styleId="MDPIheader">
    <w:name w:val="MDPI_header"/>
    <w:qFormat/>
    <w:rsid w:val="00483807"/>
    <w:pPr>
      <w:adjustRightInd w:val="0"/>
      <w:snapToGrid w:val="0"/>
      <w:spacing w:after="240" w:line="260" w:lineRule="atLeast"/>
      <w:jc w:val="both"/>
    </w:pPr>
    <w:rPr>
      <w:rFonts w:ascii="Palatino Linotype" w:eastAsia="Times New Roman" w:hAnsi="Palatino Linotype"/>
      <w:iCs/>
      <w:color w:val="000000"/>
      <w:kern w:val="2"/>
      <w:sz w:val="16"/>
      <w:lang w:eastAsia="de-DE"/>
      <w14:ligatures w14:val="standardContextual"/>
    </w:rPr>
  </w:style>
  <w:style w:type="paragraph" w:customStyle="1" w:styleId="MDPIheadercitation">
    <w:name w:val="MDPI_header_citation"/>
    <w:rsid w:val="00483807"/>
    <w:pPr>
      <w:spacing w:after="240"/>
    </w:pPr>
    <w:rPr>
      <w:rFonts w:ascii="Palatino Linotype" w:eastAsia="Times New Roman" w:hAnsi="Palatino Linotype"/>
      <w:snapToGrid w:val="0"/>
      <w:color w:val="000000"/>
      <w:kern w:val="2"/>
      <w:sz w:val="18"/>
      <w:lang w:eastAsia="de-DE" w:bidi="en-US"/>
      <w14:ligatures w14:val="standardContextual"/>
    </w:rPr>
  </w:style>
  <w:style w:type="paragraph" w:customStyle="1" w:styleId="MDPIheadermdpilogo">
    <w:name w:val="MDPI_header_mdpi_logo"/>
    <w:qFormat/>
    <w:rsid w:val="00483807"/>
    <w:pPr>
      <w:adjustRightInd w:val="0"/>
      <w:snapToGrid w:val="0"/>
      <w:spacing w:line="260" w:lineRule="atLeast"/>
      <w:jc w:val="right"/>
    </w:pPr>
    <w:rPr>
      <w:rFonts w:ascii="Palatino Linotype" w:eastAsia="Times New Roman" w:hAnsi="Palatino Linotype"/>
      <w:color w:val="000000"/>
      <w:kern w:val="2"/>
      <w:sz w:val="24"/>
      <w:szCs w:val="22"/>
      <w:lang w:eastAsia="de-CH"/>
      <w14:ligatures w14:val="standardContextual"/>
    </w:rPr>
  </w:style>
  <w:style w:type="table" w:customStyle="1" w:styleId="MDPITable">
    <w:name w:val="MDPI_Table"/>
    <w:basedOn w:val="TableNormal"/>
    <w:uiPriority w:val="99"/>
    <w:rsid w:val="00483807"/>
    <w:rPr>
      <w:rFonts w:ascii="Palatino Linotype" w:hAnsi="Palatino Linotype"/>
      <w:color w:val="000000" w:themeColor="text1"/>
      <w:kern w:val="2"/>
      <w:lang w:val="en-CA"/>
      <w14:ligatures w14:val="standardContextual"/>
    </w:rPr>
    <w:tblPr>
      <w:tblCellMar>
        <w:left w:w="0" w:type="dxa"/>
        <w:right w:w="0" w:type="dxa"/>
      </w:tblCellMar>
    </w:tblPr>
  </w:style>
  <w:style w:type="paragraph" w:customStyle="1" w:styleId="MDPItext">
    <w:name w:val="MDPI_text"/>
    <w:qFormat/>
    <w:rsid w:val="00483807"/>
    <w:pPr>
      <w:spacing w:line="260" w:lineRule="atLeast"/>
      <w:ind w:left="425" w:right="425" w:firstLine="284"/>
      <w:jc w:val="both"/>
    </w:pPr>
    <w:rPr>
      <w:rFonts w:ascii="Times New Roman" w:eastAsia="Times New Roman" w:hAnsi="Times New Roman"/>
      <w:noProof/>
      <w:snapToGrid w:val="0"/>
      <w:color w:val="000000"/>
      <w:kern w:val="2"/>
      <w:sz w:val="22"/>
      <w:szCs w:val="22"/>
      <w:lang w:eastAsia="de-DE" w:bidi="en-US"/>
      <w14:ligatures w14:val="standardContextual"/>
    </w:rPr>
  </w:style>
  <w:style w:type="paragraph" w:customStyle="1" w:styleId="MDPItitle">
    <w:name w:val="MDPI_title"/>
    <w:qFormat/>
    <w:rsid w:val="00483807"/>
    <w:pPr>
      <w:adjustRightInd w:val="0"/>
      <w:snapToGrid w:val="0"/>
      <w:spacing w:after="240" w:line="260" w:lineRule="atLeast"/>
      <w:jc w:val="both"/>
    </w:pPr>
    <w:rPr>
      <w:rFonts w:ascii="Palatino Linotype" w:eastAsia="Times New Roman" w:hAnsi="Palatino Linotype"/>
      <w:b/>
      <w:snapToGrid w:val="0"/>
      <w:color w:val="000000"/>
      <w:kern w:val="2"/>
      <w:sz w:val="36"/>
      <w:lang w:eastAsia="de-DE" w:bidi="en-US"/>
      <w14:ligatures w14:val="standardContextual"/>
    </w:rPr>
  </w:style>
  <w:style w:type="character" w:customStyle="1" w:styleId="apple-converted-space">
    <w:name w:val="apple-converted-space"/>
    <w:rsid w:val="00C53145"/>
  </w:style>
  <w:style w:type="paragraph" w:styleId="Bibliography">
    <w:name w:val="Bibliography"/>
    <w:basedOn w:val="Normal"/>
    <w:next w:val="Normal"/>
    <w:uiPriority w:val="37"/>
    <w:semiHidden/>
    <w:unhideWhenUsed/>
    <w:rsid w:val="00C53145"/>
  </w:style>
  <w:style w:type="paragraph" w:styleId="BodyText">
    <w:name w:val="Body Text"/>
    <w:link w:val="BodyTextChar"/>
    <w:rsid w:val="00C5314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53145"/>
    <w:rPr>
      <w:rFonts w:ascii="Palatino Linotype" w:hAnsi="Palatino Linotype"/>
      <w:color w:val="000000"/>
      <w:sz w:val="24"/>
      <w:lang w:eastAsia="de-DE"/>
    </w:rPr>
  </w:style>
  <w:style w:type="character" w:styleId="CommentReference">
    <w:name w:val="annotation reference"/>
    <w:uiPriority w:val="99"/>
    <w:rsid w:val="00C53145"/>
    <w:rPr>
      <w:sz w:val="21"/>
      <w:szCs w:val="21"/>
    </w:rPr>
  </w:style>
  <w:style w:type="paragraph" w:styleId="CommentText">
    <w:name w:val="annotation text"/>
    <w:basedOn w:val="Normal"/>
    <w:link w:val="CommentTextChar"/>
    <w:uiPriority w:val="99"/>
    <w:rsid w:val="00C53145"/>
  </w:style>
  <w:style w:type="character" w:customStyle="1" w:styleId="CommentTextChar">
    <w:name w:val="Comment Text Char"/>
    <w:link w:val="CommentText"/>
    <w:uiPriority w:val="99"/>
    <w:rsid w:val="00C53145"/>
    <w:rPr>
      <w:rFonts w:ascii="Palatino Linotype" w:hAnsi="Palatino Linotype"/>
      <w:noProof/>
      <w:color w:val="000000"/>
    </w:rPr>
  </w:style>
  <w:style w:type="paragraph" w:styleId="CommentSubject">
    <w:name w:val="annotation subject"/>
    <w:basedOn w:val="CommentText"/>
    <w:next w:val="CommentText"/>
    <w:link w:val="CommentSubjectChar"/>
    <w:uiPriority w:val="99"/>
    <w:rsid w:val="00C53145"/>
    <w:rPr>
      <w:b/>
      <w:bCs/>
    </w:rPr>
  </w:style>
  <w:style w:type="character" w:customStyle="1" w:styleId="CommentSubjectChar">
    <w:name w:val="Comment Subject Char"/>
    <w:link w:val="CommentSubject"/>
    <w:uiPriority w:val="99"/>
    <w:rsid w:val="00C53145"/>
    <w:rPr>
      <w:rFonts w:ascii="Palatino Linotype" w:hAnsi="Palatino Linotype"/>
      <w:b/>
      <w:bCs/>
      <w:noProof/>
      <w:color w:val="000000"/>
    </w:rPr>
  </w:style>
  <w:style w:type="character" w:styleId="EndnoteReference">
    <w:name w:val="endnote reference"/>
    <w:rsid w:val="00C53145"/>
    <w:rPr>
      <w:vertAlign w:val="superscript"/>
    </w:rPr>
  </w:style>
  <w:style w:type="paragraph" w:styleId="EndnoteText">
    <w:name w:val="endnote text"/>
    <w:basedOn w:val="Normal"/>
    <w:link w:val="EndnoteTextChar"/>
    <w:semiHidden/>
    <w:unhideWhenUsed/>
    <w:rsid w:val="00C53145"/>
    <w:pPr>
      <w:spacing w:line="240" w:lineRule="auto"/>
    </w:pPr>
  </w:style>
  <w:style w:type="character" w:customStyle="1" w:styleId="EndnoteTextChar">
    <w:name w:val="Endnote Text Char"/>
    <w:link w:val="EndnoteText"/>
    <w:semiHidden/>
    <w:rsid w:val="00C53145"/>
    <w:rPr>
      <w:rFonts w:ascii="Palatino Linotype" w:hAnsi="Palatino Linotype"/>
      <w:noProof/>
      <w:color w:val="000000"/>
    </w:rPr>
  </w:style>
  <w:style w:type="character" w:styleId="FollowedHyperlink">
    <w:name w:val="FollowedHyperlink"/>
    <w:uiPriority w:val="99"/>
    <w:rsid w:val="00C53145"/>
    <w:rPr>
      <w:color w:val="954F72"/>
      <w:u w:val="single"/>
    </w:rPr>
  </w:style>
  <w:style w:type="paragraph" w:styleId="FootnoteText">
    <w:name w:val="footnote text"/>
    <w:basedOn w:val="Normal"/>
    <w:link w:val="FootnoteTextChar"/>
    <w:semiHidden/>
    <w:unhideWhenUsed/>
    <w:rsid w:val="00C53145"/>
    <w:pPr>
      <w:spacing w:line="240" w:lineRule="auto"/>
    </w:pPr>
  </w:style>
  <w:style w:type="character" w:customStyle="1" w:styleId="FootnoteTextChar">
    <w:name w:val="Footnote Text Char"/>
    <w:link w:val="FootnoteText"/>
    <w:semiHidden/>
    <w:rsid w:val="00C53145"/>
    <w:rPr>
      <w:rFonts w:ascii="Palatino Linotype" w:hAnsi="Palatino Linotype"/>
      <w:noProof/>
      <w:color w:val="000000"/>
    </w:rPr>
  </w:style>
  <w:style w:type="paragraph" w:styleId="NormalWeb">
    <w:name w:val="Normal (Web)"/>
    <w:basedOn w:val="Normal"/>
    <w:uiPriority w:val="99"/>
    <w:rsid w:val="00C53145"/>
    <w:rPr>
      <w:szCs w:val="24"/>
    </w:rPr>
  </w:style>
  <w:style w:type="paragraph" w:customStyle="1" w:styleId="MsoFootnoteText0">
    <w:name w:val="MsoFootnoteText"/>
    <w:basedOn w:val="NormalWeb"/>
    <w:qFormat/>
    <w:rsid w:val="00C53145"/>
    <w:rPr>
      <w:rFonts w:ascii="Times New Roman" w:hAnsi="Times New Roman"/>
    </w:rPr>
  </w:style>
  <w:style w:type="character" w:styleId="PageNumber">
    <w:name w:val="page number"/>
    <w:uiPriority w:val="99"/>
    <w:rsid w:val="00C53145"/>
  </w:style>
  <w:style w:type="character" w:styleId="PlaceholderText">
    <w:name w:val="Placeholder Text"/>
    <w:uiPriority w:val="99"/>
    <w:semiHidden/>
    <w:rsid w:val="00C53145"/>
    <w:rPr>
      <w:color w:val="808080"/>
    </w:rPr>
  </w:style>
  <w:style w:type="paragraph" w:customStyle="1" w:styleId="MDPI71FootNotes">
    <w:name w:val="MDPI_7.1_FootNotes"/>
    <w:qFormat/>
    <w:rsid w:val="00483807"/>
    <w:pPr>
      <w:numPr>
        <w:numId w:val="42"/>
      </w:numPr>
      <w:adjustRightInd w:val="0"/>
      <w:snapToGrid w:val="0"/>
      <w:spacing w:line="228" w:lineRule="auto"/>
      <w:jc w:val="both"/>
    </w:pPr>
    <w:rPr>
      <w:rFonts w:ascii="Palatino Linotype" w:eastAsiaTheme="minorEastAsia" w:hAnsi="Palatino Linotype"/>
      <w:noProof/>
      <w:color w:val="000000"/>
      <w:kern w:val="2"/>
      <w:sz w:val="18"/>
      <w14:ligatures w14:val="standardContextual"/>
    </w:rPr>
  </w:style>
  <w:style w:type="character" w:customStyle="1" w:styleId="Heading1Char">
    <w:name w:val="Heading 1 Char"/>
    <w:basedOn w:val="DefaultParagraphFont"/>
    <w:link w:val="Heading1"/>
    <w:uiPriority w:val="9"/>
    <w:rsid w:val="000420B5"/>
    <w:rPr>
      <w:rFonts w:ascii="Times New Roman" w:eastAsiaTheme="majorEastAsia" w:hAnsi="Times New Roman" w:cstheme="majorBidi"/>
      <w:sz w:val="28"/>
      <w:szCs w:val="32"/>
      <w:lang w:val="en-GB" w:eastAsia="en-US"/>
    </w:rPr>
  </w:style>
  <w:style w:type="character" w:customStyle="1" w:styleId="Heading2Char">
    <w:name w:val="Heading 2 Char"/>
    <w:basedOn w:val="DefaultParagraphFont"/>
    <w:link w:val="Heading2"/>
    <w:uiPriority w:val="9"/>
    <w:rsid w:val="000420B5"/>
    <w:rPr>
      <w:rFonts w:ascii="Times New Roman" w:eastAsiaTheme="majorEastAsia" w:hAnsi="Times New Roman" w:cstheme="majorBidi"/>
      <w:i/>
      <w:sz w:val="24"/>
      <w:szCs w:val="26"/>
      <w:lang w:val="en-GB" w:eastAsia="en-US"/>
    </w:rPr>
  </w:style>
  <w:style w:type="character" w:customStyle="1" w:styleId="Heading3Char">
    <w:name w:val="Heading 3 Char"/>
    <w:basedOn w:val="DefaultParagraphFont"/>
    <w:link w:val="Heading3"/>
    <w:uiPriority w:val="9"/>
    <w:rsid w:val="000420B5"/>
    <w:rPr>
      <w:rFonts w:asciiTheme="majorHAnsi" w:eastAsiaTheme="majorEastAsia" w:hAnsiTheme="majorHAnsi" w:cstheme="majorBidi"/>
      <w:color w:val="1F3763"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0420B5"/>
    <w:rPr>
      <w:color w:val="605E5C"/>
      <w:shd w:val="clear" w:color="auto" w:fill="E1DFDD"/>
    </w:rPr>
  </w:style>
  <w:style w:type="paragraph" w:customStyle="1" w:styleId="EndNoteBibliographyTitle">
    <w:name w:val="EndNote Bibliography Title"/>
    <w:basedOn w:val="Normal"/>
    <w:link w:val="EndNoteBibliographyTitleChar"/>
    <w:rsid w:val="000420B5"/>
    <w:pPr>
      <w:spacing w:line="259" w:lineRule="auto"/>
      <w:jc w:val="center"/>
    </w:pPr>
    <w:rPr>
      <w:rFonts w:eastAsiaTheme="minorHAnsi" w:cs="Calibri"/>
      <w:color w:val="auto"/>
      <w:sz w:val="18"/>
      <w:szCs w:val="22"/>
      <w:lang w:eastAsia="en-US"/>
    </w:rPr>
  </w:style>
  <w:style w:type="character" w:customStyle="1" w:styleId="EndNoteBibliographyTitleChar">
    <w:name w:val="EndNote Bibliography Title Char"/>
    <w:basedOn w:val="DefaultParagraphFont"/>
    <w:link w:val="EndNoteBibliographyTitle"/>
    <w:rsid w:val="000420B5"/>
    <w:rPr>
      <w:rFonts w:ascii="Palatino Linotype" w:eastAsiaTheme="minorHAnsi" w:hAnsi="Palatino Linotype" w:cs="Calibri"/>
      <w:noProof/>
      <w:sz w:val="18"/>
      <w:szCs w:val="22"/>
      <w:lang w:eastAsia="en-US"/>
    </w:rPr>
  </w:style>
  <w:style w:type="paragraph" w:customStyle="1" w:styleId="EndNoteBibliography">
    <w:name w:val="EndNote Bibliography"/>
    <w:basedOn w:val="Normal"/>
    <w:link w:val="EndNoteBibliographyChar"/>
    <w:rsid w:val="000420B5"/>
    <w:pPr>
      <w:spacing w:after="160" w:line="240" w:lineRule="auto"/>
      <w:jc w:val="left"/>
    </w:pPr>
    <w:rPr>
      <w:rFonts w:eastAsiaTheme="minorHAnsi" w:cs="Calibri"/>
      <w:color w:val="auto"/>
      <w:sz w:val="18"/>
      <w:szCs w:val="22"/>
      <w:lang w:eastAsia="en-US"/>
    </w:rPr>
  </w:style>
  <w:style w:type="character" w:customStyle="1" w:styleId="EndNoteBibliographyChar">
    <w:name w:val="EndNote Bibliography Char"/>
    <w:basedOn w:val="DefaultParagraphFont"/>
    <w:link w:val="EndNoteBibliography"/>
    <w:rsid w:val="000420B5"/>
    <w:rPr>
      <w:rFonts w:ascii="Palatino Linotype" w:eastAsiaTheme="minorHAnsi" w:hAnsi="Palatino Linotype" w:cs="Calibri"/>
      <w:noProof/>
      <w:sz w:val="18"/>
      <w:szCs w:val="22"/>
      <w:lang w:eastAsia="en-US"/>
    </w:rPr>
  </w:style>
  <w:style w:type="paragraph" w:styleId="Revision">
    <w:name w:val="Revision"/>
    <w:hidden/>
    <w:uiPriority w:val="99"/>
    <w:semiHidden/>
    <w:rsid w:val="000420B5"/>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0420B5"/>
    <w:rPr>
      <w:color w:val="605E5C"/>
      <w:shd w:val="clear" w:color="auto" w:fill="E1DFDD"/>
    </w:rPr>
  </w:style>
  <w:style w:type="paragraph" w:styleId="NoSpacing">
    <w:name w:val="No Spacing"/>
    <w:uiPriority w:val="1"/>
    <w:qFormat/>
    <w:rsid w:val="000420B5"/>
    <w:rPr>
      <w:rFonts w:ascii="Times New Roman" w:eastAsiaTheme="minorHAnsi" w:hAnsi="Times New Roman" w:cstheme="minorBidi"/>
      <w:sz w:val="24"/>
      <w:szCs w:val="22"/>
      <w:lang w:val="en-GB" w:eastAsia="en-US"/>
    </w:rPr>
  </w:style>
  <w:style w:type="paragraph" w:styleId="ListParagraph">
    <w:name w:val="List Paragraph"/>
    <w:basedOn w:val="Normal"/>
    <w:rsid w:val="000420B5"/>
    <w:pPr>
      <w:suppressAutoHyphens/>
      <w:autoSpaceDN w:val="0"/>
      <w:spacing w:after="160" w:line="240" w:lineRule="auto"/>
      <w:ind w:left="720"/>
      <w:jc w:val="left"/>
      <w:textAlignment w:val="baseline"/>
    </w:pPr>
    <w:rPr>
      <w:rFonts w:ascii="Calibri" w:eastAsia="Calibri" w:hAnsi="Calibri"/>
      <w:noProof w:val="0"/>
      <w:color w:val="auto"/>
      <w:kern w:val="3"/>
      <w:sz w:val="22"/>
      <w:szCs w:val="22"/>
      <w:lang w:val="en-GB" w:eastAsia="en-US"/>
    </w:rPr>
  </w:style>
  <w:style w:type="table" w:styleId="PlainTable1">
    <w:name w:val="Plain Table 1"/>
    <w:basedOn w:val="TableNormal"/>
    <w:uiPriority w:val="41"/>
    <w:rsid w:val="000420B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B1A2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D31051"/>
    <w:rPr>
      <w:b/>
      <w:bCs/>
    </w:rPr>
  </w:style>
  <w:style w:type="character" w:customStyle="1" w:styleId="ui-provider">
    <w:name w:val="ui-provider"/>
    <w:basedOn w:val="DefaultParagraphFont"/>
    <w:rsid w:val="00A30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94515">
      <w:bodyDiv w:val="1"/>
      <w:marLeft w:val="0"/>
      <w:marRight w:val="0"/>
      <w:marTop w:val="0"/>
      <w:marBottom w:val="0"/>
      <w:divBdr>
        <w:top w:val="none" w:sz="0" w:space="0" w:color="auto"/>
        <w:left w:val="none" w:sz="0" w:space="0" w:color="auto"/>
        <w:bottom w:val="none" w:sz="0" w:space="0" w:color="auto"/>
        <w:right w:val="none" w:sz="0" w:space="0" w:color="auto"/>
      </w:divBdr>
    </w:div>
    <w:div w:id="1528063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ons.gov.uk/peoplepopulationandcommunity/crimeandjustice/articles/thenatureofviolentcrimeinenglandandwales/yearendingmarch201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Word%20templates\soc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61857088EA24FB5E4A9AFEC8DDB8A" ma:contentTypeVersion="17" ma:contentTypeDescription="Create a new document." ma:contentTypeScope="" ma:versionID="4bf35014fe9a0e20a7e479af93ddcdda">
  <xsd:schema xmlns:xsd="http://www.w3.org/2001/XMLSchema" xmlns:xs="http://www.w3.org/2001/XMLSchema" xmlns:p="http://schemas.microsoft.com/office/2006/metadata/properties" xmlns:ns3="a60f5152-d8ec-489c-aa53-50b7280868fe" xmlns:ns4="5c3e25e6-27b4-41ac-862d-3e2cf80ba744" targetNamespace="http://schemas.microsoft.com/office/2006/metadata/properties" ma:root="true" ma:fieldsID="f19a8c76d407c26895a794e5b6ffa070" ns3:_="" ns4:_="">
    <xsd:import namespace="a60f5152-d8ec-489c-aa53-50b7280868fe"/>
    <xsd:import namespace="5c3e25e6-27b4-41ac-862d-3e2cf80ba7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f5152-d8ec-489c-aa53-50b728086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3e25e6-27b4-41ac-862d-3e2cf80ba7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0f5152-d8ec-489c-aa53-50b7280868f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987FD-BE8A-4251-B2C0-394D3DD9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f5152-d8ec-489c-aa53-50b7280868fe"/>
    <ds:schemaRef ds:uri="5c3e25e6-27b4-41ac-862d-3e2cf80ba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49933-C173-44E5-ABDA-DFE404F846A1}">
  <ds:schemaRefs>
    <ds:schemaRef ds:uri="http://schemas.microsoft.com/office/2006/metadata/properties"/>
    <ds:schemaRef ds:uri="http://schemas.microsoft.com/office/infopath/2007/PartnerControls"/>
    <ds:schemaRef ds:uri="a60f5152-d8ec-489c-aa53-50b7280868fe"/>
  </ds:schemaRefs>
</ds:datastoreItem>
</file>

<file path=customXml/itemProps3.xml><?xml version="1.0" encoding="utf-8"?>
<ds:datastoreItem xmlns:ds="http://schemas.openxmlformats.org/officeDocument/2006/customXml" ds:itemID="{E75452E8-03D4-4494-B078-7DE721BDE032}">
  <ds:schemaRefs>
    <ds:schemaRef ds:uri="http://schemas.openxmlformats.org/officeDocument/2006/bibliography"/>
  </ds:schemaRefs>
</ds:datastoreItem>
</file>

<file path=customXml/itemProps4.xml><?xml version="1.0" encoding="utf-8"?>
<ds:datastoreItem xmlns:ds="http://schemas.openxmlformats.org/officeDocument/2006/customXml" ds:itemID="{D3DFAE73-5805-4C31-AE66-D6275FDF7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socsci-template</Template>
  <TotalTime>0</TotalTime>
  <Pages>21</Pages>
  <Words>13692</Words>
  <Characters>78047</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91556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Fadeeva, Anastasia</cp:lastModifiedBy>
  <cp:revision>3</cp:revision>
  <cp:lastPrinted>2024-02-29T01:17:00Z</cp:lastPrinted>
  <dcterms:created xsi:type="dcterms:W3CDTF">2024-03-03T21:49:00Z</dcterms:created>
  <dcterms:modified xsi:type="dcterms:W3CDTF">2024-03-03T21:50:00Z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2024-02-29T14:15:04Z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1b733d68-4b6d-415c-b494-f30435feff33</vt:lpwstr>
  </property>
  <property fmtid="{D5CDD505-2E9C-101B-9397-08002B2CF9AE}" pid="8" name="MSIP_Label_06c24981-b6df-48f8-949b-0896357b9b03_ContentBits">
    <vt:lpwstr>0</vt:lpwstr>
  </property>
  <property fmtid="{D5CDD505-2E9C-101B-9397-08002B2CF9AE}" pid="9" name="GrammarlyDocumentId">
    <vt:lpwstr>5e78ca6e17e2f9fba6896307a6a6722f382cde522afaed64573851dabfb88117</vt:lpwstr>
  </property>
  <property fmtid="{D5CDD505-2E9C-101B-9397-08002B2CF9AE}" pid="10" name="ContentTypeId">
    <vt:lpwstr>0x01010016861857088EA24FB5E4A9AFEC8DDB8A</vt:lpwstr>
  </property>
</Properties>
</file>