
<file path=[Content_Types].xml><?xml version="1.0" encoding="utf-8"?>
<Types xmlns="http://schemas.openxmlformats.org/package/2006/content-types">
  <Default Extension="ICO" ContentType="image/.ico"/>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2f9a12ed56c04698"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89F43" w14:textId="3A1FDFE9" w:rsidR="00720971" w:rsidRDefault="00720971" w:rsidP="00F344B1">
      <w:pPr>
        <w:pStyle w:val="papersubtitle"/>
        <w:rPr>
          <w:sz w:val="28"/>
        </w:rPr>
      </w:pPr>
      <w:r w:rsidRPr="00720971">
        <w:rPr>
          <w:sz w:val="28"/>
        </w:rPr>
        <w:t>Introducing live briefs in marketing education</w:t>
      </w:r>
    </w:p>
    <w:p w14:paraId="07EBAF54" w14:textId="78032162" w:rsidR="00720971" w:rsidRDefault="00720971" w:rsidP="00EE426C">
      <w:pPr>
        <w:pStyle w:val="author"/>
        <w:rPr>
          <w:b/>
          <w:sz w:val="24"/>
        </w:rPr>
      </w:pPr>
      <w:r>
        <w:rPr>
          <w:b/>
          <w:sz w:val="24"/>
        </w:rPr>
        <w:t>I</w:t>
      </w:r>
      <w:r w:rsidRPr="00720971">
        <w:rPr>
          <w:b/>
          <w:sz w:val="24"/>
        </w:rPr>
        <w:t xml:space="preserve">ncreasing student employability by blending sustainability and internationalization </w:t>
      </w:r>
    </w:p>
    <w:p w14:paraId="7D1EB1F3" w14:textId="77777777" w:rsidR="00720971" w:rsidRDefault="00720971" w:rsidP="00EE426C">
      <w:pPr>
        <w:pStyle w:val="author"/>
        <w:rPr>
          <w:b/>
          <w:sz w:val="24"/>
        </w:rPr>
      </w:pPr>
    </w:p>
    <w:p w14:paraId="165E8026" w14:textId="3715F610" w:rsidR="001265AE" w:rsidRPr="00EE426C" w:rsidRDefault="00720971" w:rsidP="00EE426C">
      <w:pPr>
        <w:pStyle w:val="author"/>
      </w:pPr>
      <w:r>
        <w:t>Hyunsun Yoon</w:t>
      </w:r>
      <w:r w:rsidR="009B2539" w:rsidRPr="00EE426C">
        <w:rPr>
          <w:vertAlign w:val="superscript"/>
        </w:rPr>
        <w:t>1</w:t>
      </w:r>
      <w:r w:rsidR="00B75B1E" w:rsidRPr="00B75B1E">
        <w:t xml:space="preserve"> </w:t>
      </w:r>
      <w:r w:rsidR="00B75B1E" w:rsidRPr="00B75B1E">
        <w:rPr>
          <w:vertAlign w:val="superscript"/>
        </w:rPr>
        <w:t>[0000-0001-5679-3335</w:t>
      </w:r>
      <w:proofErr w:type="gramStart"/>
      <w:r w:rsidR="00B75B1E" w:rsidRPr="00B75B1E">
        <w:rPr>
          <w:vertAlign w:val="superscript"/>
        </w:rPr>
        <w:t xml:space="preserve">] </w:t>
      </w:r>
      <w:r w:rsidR="009B2539" w:rsidRPr="00EE426C">
        <w:t xml:space="preserve"> and</w:t>
      </w:r>
      <w:proofErr w:type="gramEnd"/>
      <w:r w:rsidR="009B2539" w:rsidRPr="00EE426C">
        <w:t xml:space="preserve"> </w:t>
      </w:r>
      <w:r>
        <w:t>Tina Šegota</w:t>
      </w:r>
      <w:r w:rsidRPr="00720971">
        <w:rPr>
          <w:vertAlign w:val="superscript"/>
        </w:rPr>
        <w:t>1</w:t>
      </w:r>
      <w:r w:rsidR="00B75B1E" w:rsidRPr="00B75B1E">
        <w:t xml:space="preserve"> </w:t>
      </w:r>
      <w:r w:rsidR="00B75B1E">
        <w:rPr>
          <w:rStyle w:val="ORCID"/>
        </w:rPr>
        <w:t>[</w:t>
      </w:r>
      <w:r w:rsidR="00B75B1E" w:rsidRPr="00B75B1E">
        <w:rPr>
          <w:rStyle w:val="ORCID"/>
        </w:rPr>
        <w:t>0000-0001-7994-1396</w:t>
      </w:r>
      <w:r w:rsidR="00B75B1E">
        <w:rPr>
          <w:rStyle w:val="ORCID"/>
        </w:rPr>
        <w:t>]</w:t>
      </w:r>
    </w:p>
    <w:p w14:paraId="4266EF2C" w14:textId="7D4F789E" w:rsidR="001265AE" w:rsidRPr="00EE426C" w:rsidRDefault="009B2539" w:rsidP="00EE426C">
      <w:pPr>
        <w:pStyle w:val="address"/>
      </w:pPr>
      <w:r w:rsidRPr="00EE426C">
        <w:rPr>
          <w:vertAlign w:val="superscript"/>
        </w:rPr>
        <w:t>1</w:t>
      </w:r>
      <w:r w:rsidRPr="00EE426C">
        <w:t xml:space="preserve"> </w:t>
      </w:r>
      <w:r w:rsidR="00720971">
        <w:t>University of Greenwich</w:t>
      </w:r>
      <w:r w:rsidRPr="00EE426C">
        <w:t xml:space="preserve">, </w:t>
      </w:r>
      <w:r w:rsidR="00720971">
        <w:t>SE10 9LS London</w:t>
      </w:r>
      <w:r w:rsidRPr="00EE426C">
        <w:t xml:space="preserve">, </w:t>
      </w:r>
      <w:r w:rsidR="00720971">
        <w:t>UK</w:t>
      </w:r>
    </w:p>
    <w:p w14:paraId="42D25E74" w14:textId="23CF3B76" w:rsidR="00720971" w:rsidRDefault="009B2539" w:rsidP="00720971">
      <w:pPr>
        <w:pStyle w:val="abstract"/>
        <w:ind w:firstLine="0"/>
      </w:pPr>
      <w:r w:rsidRPr="00EE426C">
        <w:rPr>
          <w:b/>
          <w:bCs/>
        </w:rPr>
        <w:t xml:space="preserve">Abstract. </w:t>
      </w:r>
      <w:r w:rsidR="00720971">
        <w:t xml:space="preserve">Postgraduate students in marketing needed more first-hand learning experiences by addressing live briefs set by clients. The existing curriculum relied on a pedagogical framework using traditional case studies. Furthermore, students did not have many opportunities to work with non-domestic, sustainable brands in a real-life setting. While topics such as sustainable consumption, ethics and corporate social responsibility were covered theoretically in the existing modules, students needed to learn how to apply theory into practice. </w:t>
      </w:r>
      <w:r w:rsidR="00720971" w:rsidRPr="00720971">
        <w:t xml:space="preserve">This </w:t>
      </w:r>
      <w:r w:rsidR="00865105">
        <w:t>chapter</w:t>
      </w:r>
      <w:r w:rsidR="00720971" w:rsidRPr="00720971">
        <w:t xml:space="preserve"> describes, examines, and analyses the benefits and challenges of introducing live briefs in marketing education, the challenges faced throughout teaching and group work, and how live briefs had to be implemented in the curriculum to help improve the postgraduate student’s employability skills. Changing consumer </w:t>
      </w:r>
      <w:proofErr w:type="spellStart"/>
      <w:r w:rsidR="00720971" w:rsidRPr="00720971">
        <w:t>behavio</w:t>
      </w:r>
      <w:r w:rsidR="004A236F">
        <w:t>u</w:t>
      </w:r>
      <w:r w:rsidR="00720971" w:rsidRPr="00720971">
        <w:t>r</w:t>
      </w:r>
      <w:proofErr w:type="spellEnd"/>
      <w:r w:rsidR="00720971" w:rsidRPr="00720971">
        <w:t xml:space="preserve"> towards more sustainable consumption remains an ongoing concern for existing and prospective marketing professionals, and some employability skills are directly connected to this ongoing concern. </w:t>
      </w:r>
      <w:r w:rsidR="004A236F">
        <w:t>Practical</w:t>
      </w:r>
      <w:r w:rsidR="00720971" w:rsidRPr="00720971">
        <w:t xml:space="preserve"> introduction of live briefs, supported by domestic and international brands with substantial sustainability agenda, is one solution to enrich pedagogy and learning practices with real-life experiences.</w:t>
      </w:r>
    </w:p>
    <w:p w14:paraId="53A8BB77" w14:textId="77777777" w:rsidR="00F344B1" w:rsidRPr="00EE426C" w:rsidRDefault="00F344B1" w:rsidP="00EE426C">
      <w:pPr>
        <w:pStyle w:val="abstract"/>
        <w:spacing w:after="0"/>
        <w:ind w:firstLine="0"/>
      </w:pPr>
    </w:p>
    <w:p w14:paraId="130150C7" w14:textId="33723DA4" w:rsidR="001265AE" w:rsidRDefault="009B2539" w:rsidP="00EE426C">
      <w:pPr>
        <w:pStyle w:val="keywords"/>
      </w:pPr>
      <w:r w:rsidRPr="00EE426C">
        <w:rPr>
          <w:b/>
          <w:bCs/>
        </w:rPr>
        <w:t>Keywords:</w:t>
      </w:r>
      <w:r w:rsidRPr="00EE426C">
        <w:t xml:space="preserve"> </w:t>
      </w:r>
      <w:r w:rsidR="00720971">
        <w:t>Higher Education</w:t>
      </w:r>
      <w:r w:rsidRPr="00EE426C">
        <w:t xml:space="preserve">, </w:t>
      </w:r>
      <w:r w:rsidR="00720971">
        <w:t>Employability</w:t>
      </w:r>
      <w:r>
        <w:t>,</w:t>
      </w:r>
      <w:r w:rsidR="00720971">
        <w:t xml:space="preserve"> Sustainability, Marketing, Students</w:t>
      </w:r>
      <w:r>
        <w:t>.</w:t>
      </w:r>
    </w:p>
    <w:p w14:paraId="77EE7022" w14:textId="1150AD95" w:rsidR="00F344B1" w:rsidRDefault="00F344B1" w:rsidP="00F344B1">
      <w:pPr>
        <w:pStyle w:val="p1a"/>
      </w:pPr>
    </w:p>
    <w:p w14:paraId="5F1FEFE3" w14:textId="77777777" w:rsidR="00F344B1" w:rsidRPr="00F344B1" w:rsidRDefault="00F344B1" w:rsidP="00F344B1"/>
    <w:p w14:paraId="21F1B532" w14:textId="4FE2CC6D" w:rsidR="005706E9" w:rsidRDefault="005706E9" w:rsidP="00C24DEF">
      <w:pPr>
        <w:pStyle w:val="heading1"/>
      </w:pPr>
      <w:r>
        <w:t>Learning objectives</w:t>
      </w:r>
    </w:p>
    <w:p w14:paraId="4AC95208" w14:textId="3E5349C8" w:rsidR="00FB575F" w:rsidRDefault="00FB575F" w:rsidP="00FB575F">
      <w:pPr>
        <w:pStyle w:val="p1a"/>
      </w:pPr>
      <w:r>
        <w:t xml:space="preserve">This chapter presents the pedagogy case </w:t>
      </w:r>
      <w:r w:rsidR="006B5640">
        <w:t xml:space="preserve">study </w:t>
      </w:r>
      <w:r>
        <w:t xml:space="preserve">of introducing live briefs in </w:t>
      </w:r>
      <w:r w:rsidR="006B5640">
        <w:t>a master marketing course curriculum</w:t>
      </w:r>
      <w:r>
        <w:t xml:space="preserve">. The learning objectives are </w:t>
      </w:r>
      <w:r w:rsidR="00CA4927">
        <w:t>as follows</w:t>
      </w:r>
      <w:r>
        <w:t>:</w:t>
      </w:r>
    </w:p>
    <w:p w14:paraId="1C425699" w14:textId="77777777" w:rsidR="00CA4927" w:rsidRPr="00CA4927" w:rsidRDefault="00CA4927" w:rsidP="00CA4927"/>
    <w:p w14:paraId="20D2A254" w14:textId="10031820" w:rsidR="00FB575F" w:rsidRDefault="00FB575F" w:rsidP="00FB575F">
      <w:pPr>
        <w:pStyle w:val="ListParagraph"/>
        <w:numPr>
          <w:ilvl w:val="0"/>
          <w:numId w:val="20"/>
        </w:numPr>
      </w:pPr>
      <w:r>
        <w:lastRenderedPageBreak/>
        <w:t xml:space="preserve">Recognize the benefits and challenges of introducing live briefs in the </w:t>
      </w:r>
      <w:r w:rsidR="00CA4927">
        <w:t xml:space="preserve">marketing </w:t>
      </w:r>
      <w:r>
        <w:t xml:space="preserve">curriculum. </w:t>
      </w:r>
    </w:p>
    <w:p w14:paraId="58EDC4F8" w14:textId="41B98E0C" w:rsidR="00FB575F" w:rsidRDefault="00FB575F" w:rsidP="00FB575F">
      <w:pPr>
        <w:pStyle w:val="ListParagraph"/>
        <w:numPr>
          <w:ilvl w:val="0"/>
          <w:numId w:val="20"/>
        </w:numPr>
      </w:pPr>
      <w:r>
        <w:t>Identify and enhance the development of student employability skills by using live briefs.</w:t>
      </w:r>
    </w:p>
    <w:p w14:paraId="068B45CB" w14:textId="61C14662" w:rsidR="00FB575F" w:rsidRDefault="00FB575F" w:rsidP="00FB575F">
      <w:pPr>
        <w:pStyle w:val="ListParagraph"/>
        <w:numPr>
          <w:ilvl w:val="0"/>
          <w:numId w:val="20"/>
        </w:numPr>
      </w:pPr>
      <w:r>
        <w:t xml:space="preserve">Plan more engaging, </w:t>
      </w:r>
      <w:proofErr w:type="gramStart"/>
      <w:r>
        <w:t>enriching</w:t>
      </w:r>
      <w:proofErr w:type="gramEnd"/>
      <w:r>
        <w:t xml:space="preserve"> and elevated learning and teaching experiences with live briefs.</w:t>
      </w:r>
    </w:p>
    <w:p w14:paraId="4EB617BC" w14:textId="3BE341A8" w:rsidR="00CA4927" w:rsidRDefault="00CA4927" w:rsidP="00FB575F">
      <w:pPr>
        <w:pStyle w:val="ListParagraph"/>
        <w:numPr>
          <w:ilvl w:val="0"/>
          <w:numId w:val="20"/>
        </w:numPr>
      </w:pPr>
      <w:r>
        <w:t>Critically reflect on current marketing education practices by considering live brief-based module design</w:t>
      </w:r>
    </w:p>
    <w:p w14:paraId="185AA67F" w14:textId="28ED483F" w:rsidR="00CA4927" w:rsidRPr="00FB575F" w:rsidRDefault="00CA4927" w:rsidP="00FB575F">
      <w:pPr>
        <w:pStyle w:val="ListParagraph"/>
        <w:numPr>
          <w:ilvl w:val="0"/>
          <w:numId w:val="20"/>
        </w:numPr>
      </w:pPr>
      <w:r>
        <w:t xml:space="preserve">Critically </w:t>
      </w:r>
      <w:proofErr w:type="spellStart"/>
      <w:r>
        <w:t>analyse</w:t>
      </w:r>
      <w:proofErr w:type="spellEnd"/>
      <w:r>
        <w:t xml:space="preserve"> the module delivery surrounding campaign strategy development for international, sustainable brands </w:t>
      </w:r>
    </w:p>
    <w:p w14:paraId="34849A31" w14:textId="04789B7D" w:rsidR="001265AE" w:rsidRDefault="00720971" w:rsidP="00C24DEF">
      <w:pPr>
        <w:pStyle w:val="heading1"/>
      </w:pPr>
      <w:r>
        <w:t>Introduction</w:t>
      </w:r>
    </w:p>
    <w:p w14:paraId="22207A7E" w14:textId="0C86E0A0" w:rsidR="00720971" w:rsidRDefault="00720971" w:rsidP="00720971">
      <w:pPr>
        <w:ind w:firstLine="0"/>
      </w:pPr>
      <w:r>
        <w:t>This chapter critically reflects on a postgraduate module’s pedagogy and learning practices in which international sustainable brands provided live briefs for the students to work on integrated marketing communications (IMC) strategy. It draws on the 30-credit module called Developing Advertising and Promotional Strategies that the authors have re-designed and delivered since September 2018. To date, over 200 students in MA Strategic Marketing and MA in Strategic Advertising and Marketing Communications (University of Greenwich, UK) took this module.</w:t>
      </w:r>
    </w:p>
    <w:p w14:paraId="731C89F4" w14:textId="28852C1C" w:rsidR="00720971" w:rsidRDefault="00720971" w:rsidP="00720971">
      <w:r>
        <w:t xml:space="preserve">Marketing is defined as “the activity, set of institutions, and processes for creating, communicating, delivering, and exchanging offerings that have value for customers, clients, partners, and society at large” (American Marketing Association, 2017). Therefore, when theoretical approaches to the teaching of marketing are used, they are invariably designed to meet intrinsically practical ends (Bove and Davis, 2009). The University of Greenwich is one of the first universities to offer a specialist degree in marketing communications, of which postgraduate degree courses provide a wide range of modules such as Digital Marketing, Creative Content and Data Analytics. </w:t>
      </w:r>
    </w:p>
    <w:p w14:paraId="7E71CFF0" w14:textId="085B4E43" w:rsidR="00720971" w:rsidRDefault="00720971" w:rsidP="00720971">
      <w:r>
        <w:t xml:space="preserve">However, teaching and learning methods may not have been as diverse as the range of modules. </w:t>
      </w:r>
      <w:r w:rsidR="004A236F">
        <w:t>For example, c</w:t>
      </w:r>
      <w:r>
        <w:t>ase studies were most frequently used to bridge the gap between theory and practice in the extant curriculum. However, traditional case studies are often seen as one-dimensional, static, and inadequate simulations of real-world problems in the marketing profession (Burns, 1990). On the other hand, the benefits of live case studies and client-sponsored projects in the context of marketing education have been well established from the perspective of a student, educator, and client (i.e., Elam and Spotts, 2004; Gremler et al., 2000; Kennedy et al., 2001; Lopez and Lee, 2005; Razzouk et al., 2003). The authors, therefore, aimed to diversify teaching and learning methods by introducing live briefs set by real-life clients.</w:t>
      </w:r>
    </w:p>
    <w:p w14:paraId="7DA73CB1" w14:textId="2261B8F7" w:rsidR="00720971" w:rsidRDefault="00720971" w:rsidP="00720971">
      <w:r>
        <w:t>When we pursued potential clients to collaborate in this module, we focused on identifying sustainable companies, ideally with a non-UK brand origin. This also aligned with the University of Greenwich’s strategic values on sustainability, inclusivity, and diversity. The University of Greenwich won first place in People and Plan</w:t>
      </w:r>
      <w:r w:rsidR="004A236F">
        <w:t>et’</w:t>
      </w:r>
      <w:r>
        <w:t xml:space="preserve">s University Green League (2012) and the Times Higher Award for Outstanding Contribution to Sustainable Development (2013). The University’s commitment to sustainability </w:t>
      </w:r>
      <w:r>
        <w:lastRenderedPageBreak/>
        <w:t xml:space="preserve">was at the core of our module re-design process. In addition, the increasingly diverse and international student body in our MA marketing division is expected to find it easier to identify with international brands. </w:t>
      </w:r>
    </w:p>
    <w:p w14:paraId="38AC7F9D" w14:textId="7F18DE84" w:rsidR="00720971" w:rsidRDefault="00720971" w:rsidP="00720971">
      <w:r>
        <w:t>From the outset of the module development, our aim was threefold: first, to bring sustainable consumption to the core of marketing education; second, to develop graduate employability by facilitating real-life learning experiences involving clients; and third, to diversity and internationalize curriculum by introducing non-domestic, sustainable brands as clients.</w:t>
      </w:r>
    </w:p>
    <w:p w14:paraId="75B8B27D" w14:textId="1A01A5C3" w:rsidR="00720971" w:rsidRDefault="00720971" w:rsidP="00720971">
      <w:r>
        <w:t>In the years 2018 and 2019, we worked with the brand EQUA. Originated from Slovenia, EQUA quickly became a synonym for eco-friendly, reusable products (</w:t>
      </w:r>
      <w:proofErr w:type="spellStart"/>
      <w:r>
        <w:t>Novčić</w:t>
      </w:r>
      <w:proofErr w:type="spellEnd"/>
      <w:r>
        <w:t xml:space="preserve"> and </w:t>
      </w:r>
      <w:proofErr w:type="spellStart"/>
      <w:r>
        <w:t>Šegota</w:t>
      </w:r>
      <w:proofErr w:type="spellEnd"/>
      <w:r>
        <w:t xml:space="preserve">, 2012, 2014). The brand’s mission is to change consumer </w:t>
      </w:r>
      <w:proofErr w:type="spellStart"/>
      <w:r>
        <w:t>behaviour</w:t>
      </w:r>
      <w:proofErr w:type="spellEnd"/>
      <w:r>
        <w:t xml:space="preserve"> towards environmentally friendly sustainable consumption since its establishment in 2010. The mission is reflected in the brand’s slogan, “For your health and nature’s wealth”, and more than 4 million sold products worldwide so far (</w:t>
      </w:r>
      <w:proofErr w:type="spellStart"/>
      <w:r>
        <w:t>MyEQUA</w:t>
      </w:r>
      <w:proofErr w:type="spellEnd"/>
      <w:r>
        <w:t xml:space="preserve">, 2018). </w:t>
      </w:r>
    </w:p>
    <w:p w14:paraId="49A44A6A" w14:textId="5CDE9F15" w:rsidR="00720971" w:rsidRDefault="00720971" w:rsidP="00720971">
      <w:r>
        <w:t xml:space="preserve">In 2020, the brief was provided by the Serbian brand </w:t>
      </w:r>
      <w:proofErr w:type="spellStart"/>
      <w:r>
        <w:t>Koozmetik</w:t>
      </w:r>
      <w:proofErr w:type="spellEnd"/>
      <w:r>
        <w:t xml:space="preserve">. Established in 2012, the brand represents all-natural handmade cosmetics. All products are made from top-quality natural ingredients, following unique recipes and the highest production standards. Depending on the application, production technology, and product stability, all products belong to one of the three categories of natural products: 100% natural, 99% natural and 89% natural. These categories testify to the brand’s mission of “less is more”, i.e., making cosmetics significantly simplified in terms of the number of products, designs, and ingredients. </w:t>
      </w:r>
    </w:p>
    <w:p w14:paraId="3EC798A7" w14:textId="77777777" w:rsidR="00720971" w:rsidRDefault="00720971" w:rsidP="00720971"/>
    <w:p w14:paraId="0A3817D6" w14:textId="19B76F3C" w:rsidR="00720971" w:rsidRDefault="00720971" w:rsidP="00720971">
      <w:pPr>
        <w:pStyle w:val="heading1"/>
      </w:pPr>
      <w:r>
        <w:t>Employability discourse in higher education</w:t>
      </w:r>
    </w:p>
    <w:p w14:paraId="24F72610" w14:textId="77777777" w:rsidR="00720971" w:rsidRDefault="00720971" w:rsidP="00720971"/>
    <w:p w14:paraId="09E27451" w14:textId="721D9F93" w:rsidR="00720971" w:rsidRDefault="00720971" w:rsidP="00720971">
      <w:pPr>
        <w:ind w:firstLine="0"/>
      </w:pPr>
      <w:r>
        <w:t xml:space="preserve">Extant literature on employability in higher education (HE) has focused on how different disciplines face a considerable challenge in terms of responding to the increasingly prevalent employability agenda in HE (Chadha and Toner, 2017; Clarke, 2018; Lee, Foster and Snaith, 2016; Turner, 2014). Marketing degree courses are not an exception to this. Employability is not a new issue for higher education. As long as 1963, the Robbins Report highlighted the need for graduates to make an effective contribution to the </w:t>
      </w:r>
      <w:proofErr w:type="spellStart"/>
      <w:r>
        <w:t>labour</w:t>
      </w:r>
      <w:proofErr w:type="spellEnd"/>
      <w:r>
        <w:t xml:space="preserve"> market (Yoon, 2019). </w:t>
      </w:r>
      <w:r w:rsidR="004A236F">
        <w:t>However, s</w:t>
      </w:r>
      <w:r>
        <w:t>ince the 1990s, there has been an unprecedented level of external pressure for HE to prove their graduates add value to the economy (Dearing, 1997).</w:t>
      </w:r>
    </w:p>
    <w:p w14:paraId="240DC333" w14:textId="7B967614" w:rsidR="00720971" w:rsidRDefault="00720971" w:rsidP="00720971">
      <w:r>
        <w:t xml:space="preserve">The definition and the model of employability have shifted throughout history and continue to be contested. Initial employability models focused on developing knowledge and skills for a student to gain graduate-level employment and meet employers’ needs (Turner, 2014). However, Holmes (2001) argued that the focus should be on action rather than skills. Indeed, many within the HE </w:t>
      </w:r>
      <w:proofErr w:type="gramStart"/>
      <w:r>
        <w:t>sector</w:t>
      </w:r>
      <w:proofErr w:type="gramEnd"/>
      <w:r>
        <w:t xml:space="preserve"> increasingly see the ‘skills agenda’ as narrowly conceived, relatively mechanical, and inimical to HE purposes (Yorke and Knight, 2006). For example, the 2006 Leitch Review of Skills pos-its more focused attention on employability while identifying the need to develop the </w:t>
      </w:r>
      <w:r>
        <w:lastRenderedPageBreak/>
        <w:t xml:space="preserve">so-called ‘high skills’ in graduates to facilitate businesses to compete in the global economy (Lee et al., 2016). </w:t>
      </w:r>
    </w:p>
    <w:p w14:paraId="6F8D39C2" w14:textId="0B023F4A" w:rsidR="00720971" w:rsidRDefault="00720971" w:rsidP="00720971">
      <w:r>
        <w:t xml:space="preserve">The </w:t>
      </w:r>
      <w:proofErr w:type="gramStart"/>
      <w:r>
        <w:t>most commonly accepted</w:t>
      </w:r>
      <w:proofErr w:type="gramEnd"/>
      <w:r>
        <w:t xml:space="preserve"> definition of employability is as follows: “a set of achievements, understanding and personal attributed that make individuals more likely to gain employment and be successful in their chosen occupation” (Yorke and Knight, 2007: 158). The term ‘chosen occupation’ indicates that employability is a wide-ranging and evolving narrative. According to Helyer and Lee (2014), today’s graduates need to hone their profiles and evolve to suit changing circumstances because it has become increasingly difficult for many graduates to enter their ‘chosen occupation’ in recent years.</w:t>
      </w:r>
    </w:p>
    <w:p w14:paraId="186B4C07" w14:textId="32A6E3F7" w:rsidR="00720971" w:rsidRDefault="00720971" w:rsidP="00720971">
      <w:r>
        <w:t xml:space="preserve">Currently, UK HEs need to publish data on graduates’ employment rates, which shows how the employability agenda in HE is focused on the result of job realization (Lee et al., 2016). It indicates that the current employability agenda seems less concerned with developing employable graduates than employed graduates (Italics are the authors’ emphasis). Here, what is undoubtedly clear is that employability is an ongoing debate that must develop with the market, society, and the global situation (Heyler and Lee, 2014). Employability thus concerns the government, graduate employers, higher education providers, students, and graduates alike. </w:t>
      </w:r>
    </w:p>
    <w:p w14:paraId="67505CD7" w14:textId="00EA8A9A" w:rsidR="00720971" w:rsidRPr="00D000D8" w:rsidRDefault="00720971" w:rsidP="00720971">
      <w:r>
        <w:t xml:space="preserve">In terms of the employability framework, the USEM account of employability (Knight and Yorke, 2004) is one of the most well-known and </w:t>
      </w:r>
      <w:proofErr w:type="gramStart"/>
      <w:r>
        <w:t>widely-used</w:t>
      </w:r>
      <w:proofErr w:type="gramEnd"/>
      <w:r>
        <w:t xml:space="preserve"> models in this field (Pool and Sewell, 2007: 278). USEM stands for the following inter-related employability components: understanding, skills, efficacy, beliefs, and metacognition </w:t>
      </w:r>
    </w:p>
    <w:p w14:paraId="25705056" w14:textId="4C147466" w:rsidR="00720971" w:rsidRPr="00D000D8" w:rsidRDefault="00720971" w:rsidP="00720971">
      <w:pPr>
        <w:pStyle w:val="p1a"/>
        <w:tabs>
          <w:tab w:val="left" w:pos="1929"/>
        </w:tabs>
      </w:pPr>
      <w:r w:rsidRPr="00D000D8">
        <w:t xml:space="preserve">(see </w:t>
      </w:r>
      <w:r w:rsidRPr="00D000D8">
        <w:fldChar w:fldCharType="begin"/>
      </w:r>
      <w:r w:rsidRPr="00D000D8">
        <w:instrText xml:space="preserve"> REF _Ref467515387 \h  \* MERGEFORMAT </w:instrText>
      </w:r>
      <w:r w:rsidRPr="00D000D8">
        <w:fldChar w:fldCharType="separate"/>
      </w:r>
      <w:r w:rsidRPr="00D000D8">
        <w:t>Fig. 1</w:t>
      </w:r>
      <w:r w:rsidRPr="00D000D8">
        <w:fldChar w:fldCharType="end"/>
      </w:r>
      <w:r w:rsidRPr="00D000D8">
        <w:t>).</w:t>
      </w:r>
    </w:p>
    <w:p w14:paraId="60C6C30A" w14:textId="095DB856" w:rsidR="00720971" w:rsidRPr="00EE1BBB" w:rsidRDefault="00720971" w:rsidP="00720971">
      <w:pPr>
        <w:spacing w:before="360"/>
        <w:ind w:left="227" w:hanging="227"/>
        <w:jc w:val="center"/>
      </w:pPr>
      <w:r>
        <w:rPr>
          <w:noProof/>
        </w:rPr>
        <w:drawing>
          <wp:inline distT="0" distB="0" distL="0" distR="0" wp14:anchorId="15BE8DA6" wp14:editId="297BB1B8">
            <wp:extent cx="3572510" cy="2646045"/>
            <wp:effectExtent l="0" t="0" r="889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2510" cy="2646045"/>
                    </a:xfrm>
                    <a:prstGeom prst="rect">
                      <a:avLst/>
                    </a:prstGeom>
                    <a:noFill/>
                  </pic:spPr>
                </pic:pic>
              </a:graphicData>
            </a:graphic>
          </wp:inline>
        </w:drawing>
      </w:r>
    </w:p>
    <w:p w14:paraId="11FEB2D8" w14:textId="1055906D" w:rsidR="00720971" w:rsidRDefault="00720971" w:rsidP="00720971">
      <w:pPr>
        <w:pStyle w:val="figurecaption"/>
        <w:jc w:val="both"/>
      </w:pPr>
      <w:r>
        <w:rPr>
          <w:b/>
        </w:rPr>
        <w:t xml:space="preserve">Fig. </w:t>
      </w:r>
      <w:r>
        <w:rPr>
          <w:b/>
        </w:rPr>
        <w:fldChar w:fldCharType="begin"/>
      </w:r>
      <w:r>
        <w:rPr>
          <w:b/>
        </w:rPr>
        <w:instrText xml:space="preserve"> SEQ "Figure" \* MERGEFORMAT </w:instrText>
      </w:r>
      <w:r>
        <w:rPr>
          <w:b/>
        </w:rPr>
        <w:fldChar w:fldCharType="separate"/>
      </w:r>
      <w:r>
        <w:rPr>
          <w:b/>
          <w:noProof/>
        </w:rPr>
        <w:t>1</w:t>
      </w:r>
      <w:r>
        <w:rPr>
          <w:b/>
        </w:rPr>
        <w:fldChar w:fldCharType="end"/>
      </w:r>
      <w:r>
        <w:rPr>
          <w:b/>
        </w:rPr>
        <w:t xml:space="preserve">. </w:t>
      </w:r>
      <w:r w:rsidRPr="00720971">
        <w:rPr>
          <w:bCs/>
        </w:rPr>
        <w:t>USEM Model of employability</w:t>
      </w:r>
      <w:r>
        <w:t xml:space="preserve">. Source: Adapted from Knight and Yorke (2004) </w:t>
      </w:r>
    </w:p>
    <w:p w14:paraId="21ED566F" w14:textId="428D4CAD" w:rsidR="00720971" w:rsidRDefault="00720971" w:rsidP="00720971">
      <w:r>
        <w:lastRenderedPageBreak/>
        <w:t xml:space="preserve">Through the lens of the USEM model, all four inter-related components contribute to graduate employability. However, the pedagogical framework heavily relying on traditional case studies somewhat lacked skills (S) and meta-cognition (M). For example, as opposed to traditional case studies, live case studies and client-sponsored projects facilitate teamwork, problem-solving, and communication skills. Besides, in response to live briefs, students can engage in </w:t>
      </w:r>
      <w:proofErr w:type="gramStart"/>
      <w:r>
        <w:t>higher-order</w:t>
      </w:r>
      <w:proofErr w:type="gramEnd"/>
      <w:r>
        <w:t xml:space="preserve"> thinking that involves active control over the thinking processes involved in learning. The latter is a</w:t>
      </w:r>
      <w:r w:rsidR="004A236F">
        <w:t>n excellent</w:t>
      </w:r>
      <w:r>
        <w:t xml:space="preserve"> example of what is referred to as ‘high skills’ in the aforementioned Leitch Review. Tasks such as planning how to approach a live brief, evaluating progress towards completing group work, and critically reflecting on one’s practice are meta-cognitive in nature. Such meta-cognition activities enable students to take an active part in ‘learning by doing’, better understand themselves about learning, and develop employability for a better chance of acquiring their ‘chosen occupation’.</w:t>
      </w:r>
    </w:p>
    <w:p w14:paraId="2919B2F9" w14:textId="77777777" w:rsidR="00720971" w:rsidRDefault="00720971" w:rsidP="00720971">
      <w:r>
        <w:t xml:space="preserve"> </w:t>
      </w:r>
    </w:p>
    <w:p w14:paraId="59F3BB58" w14:textId="2230B990" w:rsidR="00720971" w:rsidRDefault="00720971" w:rsidP="00720971">
      <w:pPr>
        <w:pStyle w:val="heading1"/>
      </w:pPr>
      <w:r>
        <w:t xml:space="preserve">Sustainable consumption in marketing education </w:t>
      </w:r>
    </w:p>
    <w:p w14:paraId="691E9AF4" w14:textId="7D6EF0EF" w:rsidR="00720971" w:rsidRDefault="00720971" w:rsidP="00720971">
      <w:pPr>
        <w:ind w:firstLine="0"/>
      </w:pPr>
      <w:r>
        <w:t xml:space="preserve">In order to make the module as </w:t>
      </w:r>
      <w:proofErr w:type="gramStart"/>
      <w:r>
        <w:t>practice-oriented</w:t>
      </w:r>
      <w:proofErr w:type="gramEnd"/>
      <w:r>
        <w:t xml:space="preserve"> as possible, the </w:t>
      </w:r>
      <w:proofErr w:type="gramStart"/>
      <w:r>
        <w:t>authors’</w:t>
      </w:r>
      <w:proofErr w:type="gramEnd"/>
      <w:r>
        <w:t xml:space="preserve"> embedded contemporary issues in marketing into the module. This was, and still is, tackling climate change issues with consumer </w:t>
      </w:r>
      <w:proofErr w:type="spellStart"/>
      <w:r>
        <w:t>behaviour</w:t>
      </w:r>
      <w:proofErr w:type="spellEnd"/>
      <w:r>
        <w:t xml:space="preserve"> </w:t>
      </w:r>
      <w:r w:rsidR="004A236F">
        <w:t>to lower</w:t>
      </w:r>
      <w:r>
        <w:t xml:space="preserve"> carbon emissions and waste. Following the Climate Change Act 2008, the latter has been high on the UK government’s agenda, as was the case with many other countries worldwide. Moreover, numerous calls have been made to change consumer </w:t>
      </w:r>
      <w:proofErr w:type="spellStart"/>
      <w:r>
        <w:t>behaviour</w:t>
      </w:r>
      <w:proofErr w:type="spellEnd"/>
      <w:r>
        <w:t xml:space="preserve"> to benefit the environment. Consumers are, however, often indifferent towards the effects of their consumption because, as human beings, we tend to relate to the issue if we see a direct impact on the individual while turning a ‘blind eye’ for something that is not happening ‘in our backyard’. Furthermore, changing consumer </w:t>
      </w:r>
      <w:proofErr w:type="spellStart"/>
      <w:r>
        <w:t>behaviour</w:t>
      </w:r>
      <w:proofErr w:type="spellEnd"/>
      <w:r>
        <w:t xml:space="preserve"> is highly complex, diverse, and context-dependent (Young et al., 2010).</w:t>
      </w:r>
    </w:p>
    <w:p w14:paraId="5B170EDE" w14:textId="4220D7E4" w:rsidR="00720971" w:rsidRDefault="00720971" w:rsidP="00720971">
      <w:r>
        <w:t>There is significant pressure on UK consumers, as they are seen as responsible for throwing away over a million tons of plastic by 2030 (Moss, 2018). Meanwhile, ma</w:t>
      </w:r>
      <w:r w:rsidR="004A236F">
        <w:t>r</w:t>
      </w:r>
      <w:r>
        <w:t xml:space="preserve">keting communications are known to influence consumers’ attitudes and </w:t>
      </w:r>
      <w:proofErr w:type="spellStart"/>
      <w:r>
        <w:t>behaviours</w:t>
      </w:r>
      <w:proofErr w:type="spellEnd"/>
      <w:r>
        <w:t xml:space="preserve">, and therefore is seen as a tool to aid in sustainable consumption of the future. Therefore, it is vital to educate young marketing professionals about sustainable consumption and communication tools to change consumer </w:t>
      </w:r>
      <w:proofErr w:type="spellStart"/>
      <w:r>
        <w:t>behaviour</w:t>
      </w:r>
      <w:proofErr w:type="spellEnd"/>
      <w:r>
        <w:t xml:space="preserve">. Considering the UK Department of Education’s (DfE) initiative and demand for the educational institutions to meet the DfE policy on sustainability and education of young people, the authors re-designed the module to target postgraduate students whose chosen occupations will involve marketing communications. </w:t>
      </w:r>
    </w:p>
    <w:p w14:paraId="52C86F1D" w14:textId="77777777" w:rsidR="00720971" w:rsidRDefault="00720971" w:rsidP="00720971"/>
    <w:p w14:paraId="1EA24786" w14:textId="70492DDA" w:rsidR="00720971" w:rsidRDefault="00720971" w:rsidP="00720971">
      <w:pPr>
        <w:pStyle w:val="heading1"/>
      </w:pPr>
      <w:r>
        <w:t>Feedback from the students</w:t>
      </w:r>
    </w:p>
    <w:p w14:paraId="28101C40" w14:textId="040A9715" w:rsidR="00720971" w:rsidRDefault="00720971" w:rsidP="00720971">
      <w:pPr>
        <w:ind w:firstLine="0"/>
      </w:pPr>
      <w:r>
        <w:t xml:space="preserve">Listening to students, acting on students’ feedback, and involving students in the process (Cook-Sather, 2001) is very important at the University of Greenwich. We ‘listen </w:t>
      </w:r>
      <w:r>
        <w:lastRenderedPageBreak/>
        <w:t xml:space="preserve">to student voices’ using the </w:t>
      </w:r>
      <w:proofErr w:type="spellStart"/>
      <w:r>
        <w:t>EvaSys</w:t>
      </w:r>
      <w:proofErr w:type="spellEnd"/>
      <w:r>
        <w:t xml:space="preserve"> student survey, which asks students to assess various aspects of the program’s modules quantitatively and qualitatively.</w:t>
      </w:r>
    </w:p>
    <w:p w14:paraId="7F952378" w14:textId="0AD50399" w:rsidR="00720971" w:rsidRDefault="00720971" w:rsidP="00720971">
      <w:r>
        <w:t xml:space="preserve">Over the last three years, students have found this module helpful in enhancing the skills and knowledge they would need after graduation and challenging them to do their best work. Both could be attributed to students working with live briefs and international clients, creating an environment </w:t>
      </w:r>
      <w:proofErr w:type="gramStart"/>
      <w:r>
        <w:t>similar to</w:t>
      </w:r>
      <w:proofErr w:type="gramEnd"/>
      <w:r>
        <w:t xml:space="preserve"> the business environment they would enter after graduation. Students value that this module is “by far the most practical and most engaging” (student opinion, </w:t>
      </w:r>
      <w:proofErr w:type="spellStart"/>
      <w:r>
        <w:t>EvaSys</w:t>
      </w:r>
      <w:proofErr w:type="spellEnd"/>
      <w:r>
        <w:t xml:space="preserve">, 2018/19) in the program. They recognize its employability agenda because “being able to work with a live brief gives a real insight to what /students/ will be dealing with in the future” (student opinion, </w:t>
      </w:r>
      <w:proofErr w:type="spellStart"/>
      <w:r>
        <w:t>EvaSys</w:t>
      </w:r>
      <w:proofErr w:type="spellEnd"/>
      <w:r>
        <w:t xml:space="preserve">, 2018/19). Moreover, they praised the teaching team for making the subject exciting and include viewpoints from a range of perspectives and backgrounds. They very often comment-ed on teaching teams’ characteristics, emphasizing making the con-tent attractive, “bringing lots of personal business experience”, which resulted in many students being “more passionate about marketing and advertising” (student opinion, </w:t>
      </w:r>
      <w:proofErr w:type="spellStart"/>
      <w:r>
        <w:t>EvaSys</w:t>
      </w:r>
      <w:proofErr w:type="spellEnd"/>
      <w:r>
        <w:t xml:space="preserve">, 2020/21). Overall, one of the most frequent comments provided by students about the module, in general, is something along the lines of “this is by far my </w:t>
      </w:r>
      <w:proofErr w:type="spellStart"/>
      <w:r>
        <w:t>favourite</w:t>
      </w:r>
      <w:proofErr w:type="spellEnd"/>
      <w:r>
        <w:t xml:space="preserve"> class” (student opinion, </w:t>
      </w:r>
      <w:proofErr w:type="spellStart"/>
      <w:r>
        <w:t>EvaSys</w:t>
      </w:r>
      <w:proofErr w:type="spellEnd"/>
      <w:r>
        <w:t xml:space="preserve">, 2019/20) and “I am looking forward to it every week” (student opinion, </w:t>
      </w:r>
      <w:proofErr w:type="spellStart"/>
      <w:r>
        <w:t>EvaSys</w:t>
      </w:r>
      <w:proofErr w:type="spellEnd"/>
      <w:r>
        <w:t xml:space="preserve">, 2020/21). </w:t>
      </w:r>
    </w:p>
    <w:p w14:paraId="177EBAF7" w14:textId="4C5AB255" w:rsidR="00720971" w:rsidRDefault="00720971" w:rsidP="00720971">
      <w:r>
        <w:t>However, the teaching team is not observing the module through ‘</w:t>
      </w:r>
      <w:proofErr w:type="spellStart"/>
      <w:r>
        <w:t>rose-coloured</w:t>
      </w:r>
      <w:proofErr w:type="spellEnd"/>
      <w:r>
        <w:t xml:space="preserve"> glasses’ as there is still room for improvement. Over the years, students have reported that working in a group is demanding and that many issues would be overcome if the module would run over more than just six weeks. Students reported that more time would enable them “better time management” (student opinion, </w:t>
      </w:r>
      <w:proofErr w:type="spellStart"/>
      <w:r>
        <w:t>EvaSys</w:t>
      </w:r>
      <w:proofErr w:type="spellEnd"/>
      <w:r>
        <w:t xml:space="preserve">, 2020/21). Having more time to manage work in groups could also contribute to making informed choices grounded in objective research instead of being influenced by group members’ subjective opinions. Many students were struggling with setting boundaries between objective and subjective decision-making. </w:t>
      </w:r>
      <w:r w:rsidR="004A236F">
        <w:t>Also,</w:t>
      </w:r>
      <w:r>
        <w:t xml:space="preserve"> many complain</w:t>
      </w:r>
      <w:r w:rsidR="004A236F">
        <w:t>ed</w:t>
      </w:r>
      <w:r>
        <w:t xml:space="preserve"> about an opinionated individual taking the lead and steering the client pitch into a direction to demonstrate and develop their skills, with little room for others in the group to do the same. Better time management is essential for resolving such issues because students would have more time to improve their analytical skills, better understand a subject matter, and have stimulative debates informed by critical thinking (</w:t>
      </w:r>
      <w:proofErr w:type="spellStart"/>
      <w:r>
        <w:t>Gundala</w:t>
      </w:r>
      <w:proofErr w:type="spellEnd"/>
      <w:r>
        <w:t xml:space="preserve"> et al., 2014). </w:t>
      </w:r>
    </w:p>
    <w:p w14:paraId="73D75FAF" w14:textId="2824F652" w:rsidR="00720971" w:rsidRDefault="004A236F" w:rsidP="00720971">
      <w:pPr>
        <w:pStyle w:val="heading1"/>
      </w:pPr>
      <w:r>
        <w:t>Limitations and future research avenues</w:t>
      </w:r>
    </w:p>
    <w:p w14:paraId="5E7B8607" w14:textId="56910579" w:rsidR="004A236F" w:rsidRDefault="004A236F" w:rsidP="00720971">
      <w:pPr>
        <w:ind w:firstLine="0"/>
      </w:pPr>
      <w:r>
        <w:t>E</w:t>
      </w:r>
      <w:r w:rsidR="00720971">
        <w:t>xperiences of re-designing and delivering Developing Advertising and Promotional Strategies</w:t>
      </w:r>
      <w:r>
        <w:t xml:space="preserve"> using live briefs are not perfectly positive They have limitations</w:t>
      </w:r>
      <w:r w:rsidR="00BC65BF">
        <w:t xml:space="preserve"> and many benefits</w:t>
      </w:r>
      <w:r>
        <w:t xml:space="preserve"> that need to be highlighted and further investigated</w:t>
      </w:r>
      <w:r w:rsidR="00720971">
        <w:t xml:space="preserve">. </w:t>
      </w:r>
    </w:p>
    <w:p w14:paraId="7AB5CE34" w14:textId="6DE191F0" w:rsidR="00720971" w:rsidRDefault="00720971" w:rsidP="004A236F">
      <w:r>
        <w:t xml:space="preserve">Firstly, </w:t>
      </w:r>
      <w:r w:rsidR="004A236F">
        <w:t xml:space="preserve">throughout our teaching of the abovementioned module, </w:t>
      </w:r>
      <w:r>
        <w:t xml:space="preserve">using live briefs and client work in the marketing education curriculum </w:t>
      </w:r>
      <w:r w:rsidR="004A236F">
        <w:t xml:space="preserve">was </w:t>
      </w:r>
      <w:r>
        <w:t xml:space="preserve">exceptionally beneficial for enhancing student engagement. </w:t>
      </w:r>
      <w:r w:rsidR="004A236F">
        <w:t xml:space="preserve">However, </w:t>
      </w:r>
      <w:r w:rsidR="00BC65BF">
        <w:t xml:space="preserve">an </w:t>
      </w:r>
      <w:r w:rsidR="004A236F">
        <w:t xml:space="preserve">in-depth understanding of </w:t>
      </w:r>
      <w:r>
        <w:t>students</w:t>
      </w:r>
      <w:r w:rsidR="004A236F">
        <w:t>’</w:t>
      </w:r>
      <w:r>
        <w:t xml:space="preserve"> first-hand experience</w:t>
      </w:r>
      <w:r w:rsidR="004A236F">
        <w:t xml:space="preserve">s is needed </w:t>
      </w:r>
      <w:r w:rsidR="00BC65BF">
        <w:t>to investigate</w:t>
      </w:r>
      <w:r w:rsidR="004A236F">
        <w:t xml:space="preserve"> </w:t>
      </w:r>
      <w:r w:rsidR="00BC65BF">
        <w:t xml:space="preserve">the </w:t>
      </w:r>
      <w:r w:rsidR="004A236F">
        <w:t>benefits and challenges of</w:t>
      </w:r>
      <w:r>
        <w:t xml:space="preserve"> problem-solving, collaborative working, presenting, consumer research, creative planning, media </w:t>
      </w:r>
      <w:r>
        <w:lastRenderedPageBreak/>
        <w:t xml:space="preserve">planning, concept development, testing, and pitching to the client. </w:t>
      </w:r>
      <w:r w:rsidR="00BC65BF">
        <w:t>A b</w:t>
      </w:r>
      <w:r w:rsidR="004A236F">
        <w:t>etter understanding of those experiences would contribute to higher satisfaction of prospect</w:t>
      </w:r>
      <w:r w:rsidR="00BC65BF">
        <w:t>ive</w:t>
      </w:r>
      <w:r w:rsidR="004A236F">
        <w:t xml:space="preserve"> students in </w:t>
      </w:r>
      <w:r w:rsidR="00BC65BF">
        <w:t>the future and</w:t>
      </w:r>
      <w:r w:rsidR="004A236F">
        <w:t xml:space="preserve"> open more avenues for qualitative research. </w:t>
      </w:r>
    </w:p>
    <w:p w14:paraId="4AE2AF7C" w14:textId="0764F4FA" w:rsidR="00720971" w:rsidRDefault="00720971" w:rsidP="00720971">
      <w:r>
        <w:t xml:space="preserve">Secondly, live briefs and client work of non-domestic, sustainable brands in the marketing education curriculum also provide a stimulating learning environment for the teaching staff. While it is challenging to secure working relationships with new brands in different cultures, it has been one of the most stimulating learning experiences for the teaching team. </w:t>
      </w:r>
      <w:r w:rsidR="00F0435B">
        <w:t>This chapter provided some initial insight into the feelings of the teaching staff in their reflection on working with live briefs. However, more research is needed to fully understand and capture the learning and teaching experiences of the teaching staff and their motivation to use live briefs in the curriculum.</w:t>
      </w:r>
    </w:p>
    <w:p w14:paraId="7572FB5D" w14:textId="3DFE3940" w:rsidR="00720971" w:rsidRDefault="00720971" w:rsidP="00720971">
      <w:r>
        <w:t xml:space="preserve">Thirdly, such live briefs increase graduate employability as the work environment simulates real-life situation. Both teaching and learning theory (i.e., </w:t>
      </w:r>
      <w:r w:rsidR="00F0435B">
        <w:t xml:space="preserve">the </w:t>
      </w:r>
      <w:r>
        <w:t xml:space="preserve">USEM model) and student feedback support this argument. As discussed earlier, employability is a wide-ranging and evolving narrative, which require graduates to be more resilient and adaptable. The recent COVID-19 pandemic poses an even further challenge in a job market where graduates often find themselves lacking in ‘experience’ that prospective employers require from them. </w:t>
      </w:r>
      <w:r w:rsidR="00F0435B">
        <w:t>With the pandemic challenging the delivery of learning experiences worldwide, new research is needed to address the impacts of the pandemic on student’s employability.</w:t>
      </w:r>
    </w:p>
    <w:p w14:paraId="522C8A6C" w14:textId="322341A3" w:rsidR="004E40D7" w:rsidRDefault="00720971" w:rsidP="00720971">
      <w:r>
        <w:t xml:space="preserve">International, sustainable brands are often looking for opportunities to enter the UK market, which provides a unique opportunity for marketing educators and students. Our experiences show that the students find sustainable brands more relatable because of brand values and lifestyle. From the brands’ perspective, they can gain valuable insight into young consumers’ needs and wants in a foreign market. Working with sustainable brands through live briefs provides a mutually beneficial and highly effective learning environment in marketing education, enhancing the student experience and graduate employability. </w:t>
      </w:r>
      <w:r w:rsidR="00F0435B">
        <w:t xml:space="preserve">These propositions need to be further investigated </w:t>
      </w:r>
      <w:r w:rsidR="00BC65BF">
        <w:t>to better understand the</w:t>
      </w:r>
      <w:r w:rsidR="00F0435B">
        <w:t xml:space="preserve"> brand’s decision to collaborate with higher educators and students.</w:t>
      </w:r>
    </w:p>
    <w:p w14:paraId="5700DD02" w14:textId="2A8CA4F1" w:rsidR="005706E9" w:rsidRDefault="006671BD" w:rsidP="006671BD">
      <w:pPr>
        <w:pStyle w:val="heading1"/>
      </w:pPr>
      <w:r>
        <w:t>Lessons learned</w:t>
      </w:r>
    </w:p>
    <w:p w14:paraId="4919F0E4" w14:textId="2A490F75" w:rsidR="00624760" w:rsidRDefault="00C973EB" w:rsidP="00C973EB">
      <w:pPr>
        <w:pStyle w:val="p1a"/>
      </w:pPr>
      <w:r>
        <w:t xml:space="preserve">We present </w:t>
      </w:r>
      <w:r w:rsidR="00FB575F">
        <w:t>three</w:t>
      </w:r>
      <w:r>
        <w:t xml:space="preserve"> lessons </w:t>
      </w:r>
      <w:r w:rsidR="00624760">
        <w:t xml:space="preserve">derived </w:t>
      </w:r>
      <w:r>
        <w:t xml:space="preserve">by critically reflecting on our experiences of re-designing and delivering Developing Advertising and Promotional Strategies. </w:t>
      </w:r>
    </w:p>
    <w:p w14:paraId="2D359AFF" w14:textId="407A8D78" w:rsidR="00C973EB" w:rsidRDefault="00BD1517" w:rsidP="00624760">
      <w:pPr>
        <w:pStyle w:val="p1a"/>
        <w:ind w:firstLine="227"/>
      </w:pPr>
      <w:r>
        <w:t>Students feel more engaged with the module if they are presented with real-life experience</w:t>
      </w:r>
      <w:r w:rsidR="00C9022D">
        <w:t xml:space="preserve">. </w:t>
      </w:r>
      <w:r w:rsidR="00C973EB">
        <w:t>This module was developed to facilitate students’ understanding of theories and practices in advertising and marketing communications</w:t>
      </w:r>
      <w:r w:rsidR="003C770C">
        <w:t xml:space="preserve">. </w:t>
      </w:r>
      <w:r w:rsidR="00D32038">
        <w:t xml:space="preserve">It </w:t>
      </w:r>
      <w:r w:rsidR="00C9022D">
        <w:t>is perceived as successful and ‘a parade horse’ in the Department for e</w:t>
      </w:r>
      <w:r w:rsidR="00C973EB">
        <w:t xml:space="preserve">ngaging </w:t>
      </w:r>
      <w:r w:rsidR="00C9022D">
        <w:t xml:space="preserve">students with </w:t>
      </w:r>
      <w:r w:rsidR="00C973EB">
        <w:t>academic literature and industry brief. Enhanced student experience and high satisfaction with the module were well demonstrated for the past three years of running this module.</w:t>
      </w:r>
      <w:r w:rsidR="003C770C">
        <w:t xml:space="preserve"> Lately, many more modules were ‘enriched’ with live briefs in the Department, testifying successful teaching practices set by the </w:t>
      </w:r>
      <w:r w:rsidR="00047925">
        <w:t>authors</w:t>
      </w:r>
      <w:r w:rsidR="003C770C">
        <w:t xml:space="preserve">. </w:t>
      </w:r>
    </w:p>
    <w:p w14:paraId="071927EA" w14:textId="11CBF18B" w:rsidR="00C973EB" w:rsidRDefault="00FE6E67" w:rsidP="00C973EB">
      <w:pPr>
        <w:pStyle w:val="p1a"/>
        <w:ind w:firstLine="227"/>
      </w:pPr>
      <w:r>
        <w:t>L</w:t>
      </w:r>
      <w:r w:rsidR="00931B16">
        <w:t xml:space="preserve">ive briefs provide </w:t>
      </w:r>
      <w:r w:rsidR="00D32038">
        <w:t xml:space="preserve">a </w:t>
      </w:r>
      <w:r w:rsidR="00931B16">
        <w:t>s</w:t>
      </w:r>
      <w:r w:rsidR="00C973EB">
        <w:t>timulating learning environment for the teaching staff</w:t>
      </w:r>
      <w:r>
        <w:t>, too</w:t>
      </w:r>
      <w:r w:rsidR="00C973EB">
        <w:t xml:space="preserve">. </w:t>
      </w:r>
      <w:r>
        <w:t xml:space="preserve">The staff </w:t>
      </w:r>
      <w:r w:rsidR="00A3206F">
        <w:t>can</w:t>
      </w:r>
      <w:r>
        <w:t xml:space="preserve"> diversify the curriculum by introducing </w:t>
      </w:r>
      <w:r w:rsidR="00A3206F">
        <w:t>(</w:t>
      </w:r>
      <w:r>
        <w:t>non</w:t>
      </w:r>
      <w:r w:rsidR="00A3206F">
        <w:t>)</w:t>
      </w:r>
      <w:r>
        <w:t>domestic</w:t>
      </w:r>
      <w:r w:rsidR="00A3206F">
        <w:t>,</w:t>
      </w:r>
      <w:r>
        <w:t xml:space="preserve"> sustainable </w:t>
      </w:r>
      <w:r>
        <w:lastRenderedPageBreak/>
        <w:t xml:space="preserve">brands. </w:t>
      </w:r>
      <w:r w:rsidR="00A3206F">
        <w:t>Securing working relationships with international brands may be challenging; however, it can also be one of the most stimulating le</w:t>
      </w:r>
      <w:r w:rsidR="00C973EB">
        <w:t>arning experiences</w:t>
      </w:r>
      <w:r w:rsidR="00A3206F">
        <w:t>: the staff can lear</w:t>
      </w:r>
      <w:r w:rsidR="00F6354C">
        <w:t>n</w:t>
      </w:r>
      <w:r w:rsidR="00A3206F">
        <w:t xml:space="preserve"> about new cultures, </w:t>
      </w:r>
      <w:r w:rsidR="00F6354C">
        <w:t xml:space="preserve">new brands, new production methods etc. and use newly acquired knowledge to </w:t>
      </w:r>
      <w:r w:rsidR="00D32038">
        <w:t xml:space="preserve">discuss industry-led knowledge progression. </w:t>
      </w:r>
    </w:p>
    <w:p w14:paraId="7B59EC4E" w14:textId="57FE2BC0" w:rsidR="002D48C5" w:rsidRPr="00F55A71" w:rsidRDefault="00C973EB" w:rsidP="00C973EB">
      <w:pPr>
        <w:pStyle w:val="p1a"/>
        <w:ind w:firstLine="227"/>
      </w:pPr>
      <w:r>
        <w:t>Lastly, it is strongly recommended that such a module allows an adequate number of contact hours and module delivery length. For the first two years, this module had to be delivered intensively in six weeks due to the timetabling issues. When we changed the module content across twelve weeks, it enabled students to have a more informed, analytical, and critical decision-making process. Group work was also more effectively organized; for example, al-locating the team members based on their skillsets, preference</w:t>
      </w:r>
      <w:r w:rsidR="00D32038">
        <w:t>,</w:t>
      </w:r>
      <w:r>
        <w:t xml:space="preserve"> and compatibility into groups rather than leaving them to form groups based on convenience or friendship groups. It also allowed students to learn time management skills and organizational skills.</w:t>
      </w:r>
    </w:p>
    <w:p w14:paraId="43CB71A2" w14:textId="77777777" w:rsidR="001265AE" w:rsidRDefault="009B2539" w:rsidP="00606587">
      <w:pPr>
        <w:pStyle w:val="heading1"/>
        <w:numPr>
          <w:ilvl w:val="0"/>
          <w:numId w:val="0"/>
        </w:numPr>
        <w:ind w:left="567" w:hanging="567"/>
      </w:pPr>
      <w:r>
        <w:t>References</w:t>
      </w:r>
    </w:p>
    <w:p w14:paraId="34331C4D" w14:textId="77777777" w:rsidR="00720971" w:rsidRDefault="00720971" w:rsidP="00720971">
      <w:pPr>
        <w:pStyle w:val="referenceitem"/>
      </w:pPr>
      <w:r>
        <w:t>American Marketing Association (2017) Definitions of Marketing. Retrieved from https://www.ama.org/the-definition-of-marketing-what-is-marketing/</w:t>
      </w:r>
    </w:p>
    <w:p w14:paraId="27D19848" w14:textId="2686A0C2" w:rsidR="00720971" w:rsidRDefault="00720971" w:rsidP="00720971">
      <w:pPr>
        <w:pStyle w:val="referenceitem"/>
      </w:pPr>
      <w:r>
        <w:t xml:space="preserve">Bove, LL, Davies, WM (2009) A Case Study of Teaching Marketing Research Using Client-Sponsored Projects: Method, Challenges, and Benefits. Journal of Marketing Education 31(3): 230-239 </w:t>
      </w:r>
    </w:p>
    <w:p w14:paraId="2ECBC19F" w14:textId="1C633F78" w:rsidR="00720971" w:rsidRDefault="00720971" w:rsidP="00720971">
      <w:pPr>
        <w:pStyle w:val="referenceitem"/>
      </w:pPr>
      <w:r>
        <w:t xml:space="preserve">Burns, AC (1990) The use of live case studies in business education: Pros, </w:t>
      </w:r>
      <w:proofErr w:type="gramStart"/>
      <w:r>
        <w:t>cons</w:t>
      </w:r>
      <w:proofErr w:type="gramEnd"/>
      <w:r>
        <w:t xml:space="preserve"> and guidelines. In J. Gentry (ed) Guide to business gaming and experiential learning, 201-215, Nichols/GP Publishing, London</w:t>
      </w:r>
    </w:p>
    <w:p w14:paraId="59CFC4D4" w14:textId="74026ED8" w:rsidR="00720971" w:rsidRDefault="00720971" w:rsidP="00720971">
      <w:pPr>
        <w:pStyle w:val="referenceitem"/>
      </w:pPr>
      <w:r>
        <w:t xml:space="preserve">Chadha D, Toner J. (2017) Focusing in on employability: using content analysis to explore the employability discourse in UK and USA universities. International Journal of Educational Technology in Higher Education 14: 33 </w:t>
      </w:r>
    </w:p>
    <w:p w14:paraId="12BEF194" w14:textId="60849F92" w:rsidR="00720971" w:rsidRDefault="00720971" w:rsidP="00720971">
      <w:pPr>
        <w:pStyle w:val="referenceitem"/>
      </w:pPr>
      <w:r>
        <w:t xml:space="preserve">Clarke M (2018) Rethinking graduate employability: the role of capital, individual </w:t>
      </w:r>
      <w:proofErr w:type="gramStart"/>
      <w:r>
        <w:t>attributes</w:t>
      </w:r>
      <w:proofErr w:type="gramEnd"/>
      <w:r>
        <w:t xml:space="preserve"> and context. Studies in Higher Education 43(11): 1923-1937</w:t>
      </w:r>
    </w:p>
    <w:p w14:paraId="42467835" w14:textId="0A971170" w:rsidR="00720971" w:rsidRDefault="00720971" w:rsidP="00720971">
      <w:pPr>
        <w:pStyle w:val="referenceitem"/>
      </w:pPr>
      <w:r>
        <w:t>Cook-Sather A (2001) Authorizing students’ perspectives: Toward trust, dialogue, and change in education. Educational Researcher 31(4): 3-14.</w:t>
      </w:r>
    </w:p>
    <w:p w14:paraId="247E60FF" w14:textId="77777777" w:rsidR="00720971" w:rsidRDefault="00720971" w:rsidP="00720971">
      <w:pPr>
        <w:pStyle w:val="referenceitem"/>
      </w:pPr>
      <w:r>
        <w:t>Dearing, R (1997) Higher Education in the Learning Society. Report of the National Committee of Inquiry into Higher Education. HMSO, Norwich. Retrieved from http://www.educationengland.org.uk/documents/dearing1997/dearing1997.html</w:t>
      </w:r>
    </w:p>
    <w:p w14:paraId="1F5BE504" w14:textId="77777777" w:rsidR="00720971" w:rsidRDefault="00720971" w:rsidP="00720971">
      <w:pPr>
        <w:pStyle w:val="referenceitem"/>
      </w:pPr>
      <w:r>
        <w:t>Elam, ELR, Spotts, HE (2004) Achieving marketing curriculum integration: A live case study. Journal of Marketing Education 26(1): 50-65.</w:t>
      </w:r>
    </w:p>
    <w:p w14:paraId="236D7DC8" w14:textId="769699CC" w:rsidR="00720971" w:rsidRDefault="00720971" w:rsidP="00720971">
      <w:pPr>
        <w:pStyle w:val="referenceitem"/>
      </w:pPr>
      <w:r>
        <w:t>Gremler, DD, Douglas Hoffman, K, Keaveney, SM, &amp; Wright, LK (2000) Experiential learning exercises in services marketing courses. Journal of Marketing Education, 22, 35-44</w:t>
      </w:r>
    </w:p>
    <w:p w14:paraId="3A7F2564" w14:textId="77777777" w:rsidR="00720971" w:rsidRDefault="00720971" w:rsidP="00720971">
      <w:pPr>
        <w:pStyle w:val="referenceitem"/>
      </w:pPr>
      <w:proofErr w:type="spellStart"/>
      <w:r>
        <w:t>Gundala</w:t>
      </w:r>
      <w:proofErr w:type="spellEnd"/>
      <w:r>
        <w:t>, R.R., Singh, M. and Baldwin, A. (2014) ‘Student Perceptions on Live-Case Projects: Undergraduate Marketing Research.’ International Journal of Teaching and Learning in Higher Education, 26(2): 260–67</w:t>
      </w:r>
    </w:p>
    <w:p w14:paraId="3ACA4EF6" w14:textId="5BC6D999" w:rsidR="00720971" w:rsidRDefault="00720971" w:rsidP="00720971">
      <w:pPr>
        <w:pStyle w:val="referenceitem"/>
      </w:pPr>
      <w:r>
        <w:t xml:space="preserve">Helyer, R, Lee, D (2014) The Role of Work Experience in the Future Employability of Higher Education Graduates. Higher Education Quarterly. 68(3): 348-372. </w:t>
      </w:r>
    </w:p>
    <w:p w14:paraId="7E4400D7" w14:textId="5D6DE3BE" w:rsidR="00720971" w:rsidRDefault="00720971" w:rsidP="00720971">
      <w:pPr>
        <w:pStyle w:val="referenceitem"/>
      </w:pPr>
      <w:r>
        <w:t xml:space="preserve">Holmes, L (2011) Competing perspectives on graduate employability: Possession, </w:t>
      </w:r>
      <w:proofErr w:type="gramStart"/>
      <w:r>
        <w:t>position</w:t>
      </w:r>
      <w:proofErr w:type="gramEnd"/>
      <w:r>
        <w:t xml:space="preserve"> or process? Studies in Higher Education. 38(4): 1-17.</w:t>
      </w:r>
    </w:p>
    <w:p w14:paraId="11E13145" w14:textId="36B51EDD" w:rsidR="00720971" w:rsidRDefault="00720971" w:rsidP="00720971">
      <w:pPr>
        <w:pStyle w:val="referenceitem"/>
      </w:pPr>
      <w:r>
        <w:t>Kennedy, EJ, Lawton, L, Walker, E (2001) The case for using live cases: Shifting the paradigm in marketing education. Journal of Marketing Education, 23, 145-151.</w:t>
      </w:r>
    </w:p>
    <w:p w14:paraId="072BCC9B" w14:textId="77777777" w:rsidR="00720971" w:rsidRDefault="00720971" w:rsidP="00720971">
      <w:pPr>
        <w:pStyle w:val="referenceitem"/>
      </w:pPr>
      <w:r>
        <w:lastRenderedPageBreak/>
        <w:t xml:space="preserve">Knight P, Yorke M (2004) Learning, </w:t>
      </w:r>
      <w:proofErr w:type="gramStart"/>
      <w:r>
        <w:t>curriculum</w:t>
      </w:r>
      <w:proofErr w:type="gramEnd"/>
      <w:r>
        <w:t xml:space="preserve"> and employability in Higher Education. Routledge, London</w:t>
      </w:r>
    </w:p>
    <w:p w14:paraId="3655140D" w14:textId="77777777" w:rsidR="00720971" w:rsidRDefault="00720971" w:rsidP="00720971">
      <w:pPr>
        <w:pStyle w:val="referenceitem"/>
      </w:pPr>
      <w:r>
        <w:t>Lee D, Foster E, Snaith, H (2016) Implementing the employability agenda: A critical review of curriculum developments in political science and inter-national relations in English universities. Politics 36(1): 95-111</w:t>
      </w:r>
    </w:p>
    <w:p w14:paraId="78EF03F8" w14:textId="77777777" w:rsidR="00720971" w:rsidRDefault="00720971" w:rsidP="00720971">
      <w:pPr>
        <w:pStyle w:val="referenceitem"/>
      </w:pPr>
      <w:r>
        <w:t>Lopez, TB, Lee, RG (2005) Five principles for workable client-based projects: Lessons from the trenches. Journal of Marketing Education, 27: 172-188</w:t>
      </w:r>
    </w:p>
    <w:p w14:paraId="04784BB7" w14:textId="77777777" w:rsidR="00720971" w:rsidRDefault="00720971" w:rsidP="00720971">
      <w:pPr>
        <w:pStyle w:val="referenceitem"/>
      </w:pPr>
      <w:r>
        <w:t>Moss, R (2018) UK Plastics Pact: How Big Brands are Committing to Cutting Plastic Waste by 2025. [online] HuffPost. Available at: https://www.huffingtonpost.co.uk/entry/uk-plastics-pact-how-big-brands-are-committing-to-cutting-plastic-waste-by-2025_uk_5ae07479e4b07be4d4c6e481?guccounter=1 [Accessed 2 July 2018].</w:t>
      </w:r>
    </w:p>
    <w:p w14:paraId="15FD6075" w14:textId="77777777" w:rsidR="00720971" w:rsidRDefault="00720971" w:rsidP="00720971">
      <w:pPr>
        <w:pStyle w:val="referenceitem"/>
      </w:pPr>
      <w:r>
        <w:t>MyEQUA.com (2018) EQUA Official Website. [online] Available at: https://myequa.com/ [Accessed 2 July 2018].</w:t>
      </w:r>
    </w:p>
    <w:p w14:paraId="346A2C17" w14:textId="77777777" w:rsidR="00720971" w:rsidRDefault="00720971" w:rsidP="00720971">
      <w:pPr>
        <w:pStyle w:val="referenceitem"/>
      </w:pPr>
      <w:proofErr w:type="spellStart"/>
      <w:r>
        <w:t>Novčić</w:t>
      </w:r>
      <w:proofErr w:type="spellEnd"/>
      <w:r>
        <w:t xml:space="preserve">, B, </w:t>
      </w:r>
      <w:proofErr w:type="spellStart"/>
      <w:r>
        <w:t>Šegota</w:t>
      </w:r>
      <w:proofErr w:type="spellEnd"/>
      <w:r>
        <w:t xml:space="preserve">, T (2014) Environment, quality, uniqueness, alternative - mixing 4P’s and 4E’s. In Marković, A. and </w:t>
      </w:r>
      <w:proofErr w:type="spellStart"/>
      <w:r>
        <w:t>Barjaktarović</w:t>
      </w:r>
      <w:proofErr w:type="spellEnd"/>
      <w:r>
        <w:t xml:space="preserve"> </w:t>
      </w:r>
      <w:proofErr w:type="spellStart"/>
      <w:r>
        <w:t>Rakočević</w:t>
      </w:r>
      <w:proofErr w:type="spellEnd"/>
      <w:r>
        <w:t xml:space="preserve">, S. (eds.), New business models and sustainable competitiveness. XIV. Inter-national symposium </w:t>
      </w:r>
      <w:proofErr w:type="spellStart"/>
      <w:r>
        <w:t>SymOrg</w:t>
      </w:r>
      <w:proofErr w:type="spellEnd"/>
      <w:r>
        <w:t xml:space="preserve"> (pp. 1745–1753). Zlatibor, Serbia: Faculty of Organizational Sciences (June 6–10).</w:t>
      </w:r>
    </w:p>
    <w:p w14:paraId="682A420C" w14:textId="08F678D4" w:rsidR="00720971" w:rsidRDefault="00720971" w:rsidP="00720971">
      <w:pPr>
        <w:pStyle w:val="referenceitem"/>
      </w:pPr>
      <w:proofErr w:type="spellStart"/>
      <w:r>
        <w:t>Novčić</w:t>
      </w:r>
      <w:proofErr w:type="spellEnd"/>
      <w:r>
        <w:t xml:space="preserve">, B, </w:t>
      </w:r>
      <w:proofErr w:type="spellStart"/>
      <w:r>
        <w:t>Šegota</w:t>
      </w:r>
      <w:proofErr w:type="spellEnd"/>
      <w:r>
        <w:t xml:space="preserve"> T (2012) Marketing communication strategy of reusable branded bottle EQUA on the ex-Yugoslavia market. In Levi-Jakšić, M. and </w:t>
      </w:r>
      <w:proofErr w:type="spellStart"/>
      <w:r>
        <w:t>Barjaktarović</w:t>
      </w:r>
      <w:proofErr w:type="spellEnd"/>
      <w:r>
        <w:t xml:space="preserve"> </w:t>
      </w:r>
      <w:proofErr w:type="spellStart"/>
      <w:r>
        <w:t>Rakočević</w:t>
      </w:r>
      <w:proofErr w:type="spellEnd"/>
      <w:r>
        <w:t xml:space="preserve">, S. (eds.), Innovative management &amp; business performance, XII. International symposium </w:t>
      </w:r>
      <w:proofErr w:type="spellStart"/>
      <w:r>
        <w:t>SymOrg</w:t>
      </w:r>
      <w:proofErr w:type="spellEnd"/>
      <w:r>
        <w:t xml:space="preserve"> (pp. 1921–1929). Bel-grade, Serbia: Faculty of Organizational Sciences (June 12–14).</w:t>
      </w:r>
    </w:p>
    <w:p w14:paraId="3834C271" w14:textId="77777777" w:rsidR="00720971" w:rsidRDefault="00720971" w:rsidP="00720971">
      <w:pPr>
        <w:pStyle w:val="referenceitem"/>
      </w:pPr>
      <w:r>
        <w:t>Pool, LD, Sewell, P (2007) The key to employability: developing a practical model of graduate employability. Education + Training 49(4): 277-299</w:t>
      </w:r>
    </w:p>
    <w:p w14:paraId="5B143B19" w14:textId="1AEBD231" w:rsidR="00720971" w:rsidRDefault="00720971" w:rsidP="00720971">
      <w:pPr>
        <w:pStyle w:val="referenceitem"/>
      </w:pPr>
      <w:r>
        <w:t xml:space="preserve">Turner, NK (2014) Development of self-belief for employability in higher education: ability, </w:t>
      </w:r>
      <w:proofErr w:type="gramStart"/>
      <w:r>
        <w:t>efficacy</w:t>
      </w:r>
      <w:proofErr w:type="gramEnd"/>
      <w:r>
        <w:t xml:space="preserve"> and control in context. Teaching in Higher Education 19(6): 592-602</w:t>
      </w:r>
    </w:p>
    <w:p w14:paraId="322C03F3" w14:textId="728607F2" w:rsidR="00720971" w:rsidRDefault="00720971" w:rsidP="00720971">
      <w:pPr>
        <w:pStyle w:val="referenceitem"/>
      </w:pPr>
      <w:r>
        <w:t xml:space="preserve">Razzouk, NY, Seitz, V, Rizkallah, E (2003) Learning by doing: Using </w:t>
      </w:r>
      <w:proofErr w:type="spellStart"/>
      <w:r>
        <w:t>exper-ential</w:t>
      </w:r>
      <w:proofErr w:type="spellEnd"/>
      <w:r>
        <w:t xml:space="preserve"> projects in the undergraduate marketing strategy course. Marketing Education Review, 13(2): 35-41.</w:t>
      </w:r>
    </w:p>
    <w:p w14:paraId="5DA06142" w14:textId="578C46F2" w:rsidR="00720971" w:rsidRDefault="00720971" w:rsidP="00720971">
      <w:pPr>
        <w:pStyle w:val="referenceitem"/>
      </w:pPr>
      <w:r>
        <w:t xml:space="preserve">Yoon, H, </w:t>
      </w:r>
      <w:proofErr w:type="spellStart"/>
      <w:r>
        <w:t>Šegota</w:t>
      </w:r>
      <w:proofErr w:type="spellEnd"/>
      <w:r>
        <w:t xml:space="preserve">, T (2019) Working towards sustainable consumption. Presentation. Chartered Business School (CABS) Learning, Teaching and Student Experience (LTSE) Conference. University of Manchester. 14th May. Manchester, UK. </w:t>
      </w:r>
    </w:p>
    <w:p w14:paraId="6CC014F7" w14:textId="4DAFF651" w:rsidR="00720971" w:rsidRDefault="00720971" w:rsidP="00720971">
      <w:pPr>
        <w:pStyle w:val="referenceitem"/>
      </w:pPr>
      <w:r>
        <w:t>Yoon, H (2019) Embedding employability in curriculum. Presentation. Teaching and Learning Festival 2019. University of Greenwich. 19th June. London, UK.</w:t>
      </w:r>
    </w:p>
    <w:p w14:paraId="1FF12877" w14:textId="728972F0" w:rsidR="00720971" w:rsidRDefault="00720971" w:rsidP="00720971">
      <w:pPr>
        <w:pStyle w:val="referenceitem"/>
      </w:pPr>
      <w:r>
        <w:t>Yorke, M, Knight, P (2007) Evidence-Informed Pedagogy and the Enhancement of Student Employability. Teaching in Higher Education. 12(2): 157-170.</w:t>
      </w:r>
    </w:p>
    <w:p w14:paraId="01AA23E4" w14:textId="1E0B6883" w:rsidR="00720971" w:rsidRDefault="00720971" w:rsidP="00720971">
      <w:pPr>
        <w:pStyle w:val="referenceitem"/>
      </w:pPr>
      <w:r>
        <w:t xml:space="preserve">Young, W, Hwang, K, McDonald, S, Oates, CJ (2010) Sustainable consumption: green consumer </w:t>
      </w:r>
      <w:proofErr w:type="spellStart"/>
      <w:r>
        <w:t>behaviour</w:t>
      </w:r>
      <w:proofErr w:type="spellEnd"/>
      <w:r>
        <w:t xml:space="preserve"> when purchasing products. Sustainable Development, 18(1): 20-31.</w:t>
      </w:r>
    </w:p>
    <w:p w14:paraId="772FA051" w14:textId="77777777" w:rsidR="00720971" w:rsidRDefault="00720971" w:rsidP="00720971">
      <w:pPr>
        <w:pStyle w:val="referenceitem"/>
        <w:numPr>
          <w:ilvl w:val="0"/>
          <w:numId w:val="0"/>
        </w:numPr>
        <w:ind w:left="341"/>
      </w:pPr>
    </w:p>
    <w:p w14:paraId="79262FFF" w14:textId="77777777" w:rsidR="00720971" w:rsidRPr="00720971" w:rsidRDefault="00720971" w:rsidP="00720971">
      <w:pPr>
        <w:pStyle w:val="referenceitem"/>
        <w:numPr>
          <w:ilvl w:val="0"/>
          <w:numId w:val="0"/>
        </w:numPr>
        <w:ind w:left="341"/>
        <w:rPr>
          <w:sz w:val="20"/>
        </w:rPr>
      </w:pPr>
      <w:r w:rsidRPr="00720971">
        <w:rPr>
          <w:sz w:val="20"/>
        </w:rPr>
        <w:t>Clients/Brands’ websites:</w:t>
      </w:r>
    </w:p>
    <w:p w14:paraId="490C36A8" w14:textId="77777777" w:rsidR="00720971" w:rsidRPr="00720971" w:rsidRDefault="00720971" w:rsidP="00720971">
      <w:pPr>
        <w:pStyle w:val="referenceitem"/>
        <w:numPr>
          <w:ilvl w:val="0"/>
          <w:numId w:val="0"/>
        </w:numPr>
        <w:ind w:left="341"/>
        <w:rPr>
          <w:sz w:val="20"/>
        </w:rPr>
      </w:pPr>
      <w:r w:rsidRPr="00720971">
        <w:rPr>
          <w:sz w:val="20"/>
        </w:rPr>
        <w:t>EQUA: https://myequa.com/</w:t>
      </w:r>
    </w:p>
    <w:p w14:paraId="7499AFF5" w14:textId="77777777" w:rsidR="00720971" w:rsidRPr="00720971" w:rsidRDefault="00720971" w:rsidP="00720971">
      <w:pPr>
        <w:pStyle w:val="referenceitem"/>
        <w:numPr>
          <w:ilvl w:val="0"/>
          <w:numId w:val="0"/>
        </w:numPr>
        <w:ind w:left="341"/>
        <w:rPr>
          <w:sz w:val="20"/>
        </w:rPr>
      </w:pPr>
      <w:r w:rsidRPr="00720971">
        <w:rPr>
          <w:sz w:val="20"/>
        </w:rPr>
        <w:t>KOOZMETIK: https://koozmetik.co/</w:t>
      </w:r>
    </w:p>
    <w:p w14:paraId="47003D8B" w14:textId="77777777" w:rsidR="00720971" w:rsidRPr="00720971" w:rsidRDefault="00720971" w:rsidP="00720971">
      <w:pPr>
        <w:pStyle w:val="referenceitem"/>
        <w:numPr>
          <w:ilvl w:val="0"/>
          <w:numId w:val="0"/>
        </w:numPr>
        <w:ind w:left="341"/>
        <w:rPr>
          <w:sz w:val="20"/>
        </w:rPr>
      </w:pPr>
    </w:p>
    <w:p w14:paraId="6F45DAEE" w14:textId="77777777" w:rsidR="00720971" w:rsidRPr="00720971" w:rsidRDefault="00720971" w:rsidP="00720971">
      <w:pPr>
        <w:pStyle w:val="referenceitem"/>
        <w:numPr>
          <w:ilvl w:val="0"/>
          <w:numId w:val="0"/>
        </w:numPr>
        <w:ind w:left="341"/>
        <w:rPr>
          <w:sz w:val="20"/>
        </w:rPr>
      </w:pPr>
      <w:r w:rsidRPr="00720971">
        <w:rPr>
          <w:sz w:val="20"/>
        </w:rPr>
        <w:t>Sustainability: University of Greenwich</w:t>
      </w:r>
    </w:p>
    <w:p w14:paraId="65ECC9B4" w14:textId="77777777" w:rsidR="00720971" w:rsidRPr="00720971" w:rsidRDefault="00720971" w:rsidP="00720971">
      <w:pPr>
        <w:pStyle w:val="referenceitem"/>
        <w:numPr>
          <w:ilvl w:val="0"/>
          <w:numId w:val="0"/>
        </w:numPr>
        <w:ind w:left="341"/>
        <w:rPr>
          <w:sz w:val="20"/>
        </w:rPr>
      </w:pPr>
      <w:r w:rsidRPr="00720971">
        <w:rPr>
          <w:sz w:val="20"/>
        </w:rPr>
        <w:t>https://blogs.gre.ac.uk/greengreenwich/</w:t>
      </w:r>
    </w:p>
    <w:p w14:paraId="4802F84C" w14:textId="77777777" w:rsidR="00720971" w:rsidRDefault="00720971" w:rsidP="00720971">
      <w:pPr>
        <w:pStyle w:val="referenceitem"/>
        <w:numPr>
          <w:ilvl w:val="0"/>
          <w:numId w:val="0"/>
        </w:numPr>
        <w:ind w:left="341" w:hanging="114"/>
      </w:pPr>
    </w:p>
    <w:p w14:paraId="5741AD55" w14:textId="1D7DDDA3" w:rsidR="006671BD" w:rsidRDefault="006671BD" w:rsidP="00720971">
      <w:pPr>
        <w:pStyle w:val="heading1"/>
        <w:numPr>
          <w:ilvl w:val="0"/>
          <w:numId w:val="0"/>
        </w:numPr>
      </w:pPr>
      <w:r>
        <w:lastRenderedPageBreak/>
        <w:t>Additional reading</w:t>
      </w:r>
      <w:r w:rsidR="0001773C">
        <w:t>s</w:t>
      </w:r>
    </w:p>
    <w:p w14:paraId="5199ED5F" w14:textId="2878D2A4" w:rsidR="0001773C" w:rsidRDefault="0001773C" w:rsidP="00D32038">
      <w:pPr>
        <w:pStyle w:val="referenceitem"/>
        <w:numPr>
          <w:ilvl w:val="0"/>
          <w:numId w:val="19"/>
        </w:numPr>
      </w:pPr>
      <w:proofErr w:type="spellStart"/>
      <w:r>
        <w:t>Artess</w:t>
      </w:r>
      <w:proofErr w:type="spellEnd"/>
      <w:r>
        <w:t>, J, Hooley, T, Mellors-Bourne, R (2017) Employability: A Review of the literature 2012 to 2016: A report for the Higher Education Academy. Higher Education Academy, York, UK.</w:t>
      </w:r>
    </w:p>
    <w:p w14:paraId="74F589F7" w14:textId="3936455C" w:rsidR="00D32038" w:rsidRDefault="00D32038" w:rsidP="00D32038">
      <w:pPr>
        <w:pStyle w:val="referenceitem"/>
        <w:numPr>
          <w:ilvl w:val="0"/>
          <w:numId w:val="19"/>
        </w:numPr>
      </w:pPr>
      <w:r>
        <w:t>Brown, A (2018) Embedding research and enterprise into the curriculum: Adopting Student as Producer as a theoretical framework. Higher Education, Skills and Work-Based Learning, 8(1): 29-40.</w:t>
      </w:r>
    </w:p>
    <w:p w14:paraId="720FBB87" w14:textId="0E62F47C" w:rsidR="00EB1DFA" w:rsidRDefault="00EB1DFA" w:rsidP="00D32038">
      <w:pPr>
        <w:pStyle w:val="referenceitem"/>
        <w:numPr>
          <w:ilvl w:val="0"/>
          <w:numId w:val="19"/>
        </w:numPr>
      </w:pPr>
      <w:r>
        <w:t>Moore, T, Morton, J (2017) The myth of job readiness? Written communication, employability, and the ‘skills gap’ in higher education. Studies in Higher Education, 42(3): 591-609.</w:t>
      </w:r>
    </w:p>
    <w:p w14:paraId="75DD493D" w14:textId="0549E196" w:rsidR="0001773C" w:rsidRDefault="0001773C" w:rsidP="00D32038">
      <w:pPr>
        <w:pStyle w:val="referenceitem"/>
        <w:numPr>
          <w:ilvl w:val="0"/>
          <w:numId w:val="19"/>
        </w:numPr>
      </w:pPr>
      <w:r>
        <w:t>Nixon, S, Williams, L (2014) Increasing student engagement through curriculum redesign: deconstructing the ‘Apprentice’ style of delivery. Innovations in Education and Teaching International, 51(1): 26-33.</w:t>
      </w:r>
    </w:p>
    <w:p w14:paraId="1B6ACC1F" w14:textId="3EE87F3E" w:rsidR="00EB1DFA" w:rsidRDefault="00EB1DFA" w:rsidP="00D32038">
      <w:pPr>
        <w:pStyle w:val="referenceitem"/>
        <w:numPr>
          <w:ilvl w:val="0"/>
          <w:numId w:val="19"/>
        </w:numPr>
      </w:pPr>
      <w:proofErr w:type="spellStart"/>
      <w:r>
        <w:t>Römgens</w:t>
      </w:r>
      <w:proofErr w:type="spellEnd"/>
      <w:r>
        <w:t xml:space="preserve">, I, </w:t>
      </w:r>
      <w:proofErr w:type="spellStart"/>
      <w:r>
        <w:t>Scoupe</w:t>
      </w:r>
      <w:proofErr w:type="spellEnd"/>
      <w:r>
        <w:t>, R, Beausaert, S (2019) Unraveling the concept of employability, bringing together research on employability in higher education and the workforce. Studies in Higher Education, 45(12): 2588-2603.</w:t>
      </w:r>
    </w:p>
    <w:p w14:paraId="7E5FF53B" w14:textId="4B73254D" w:rsidR="00EB1DFA" w:rsidRDefault="00EB1DFA" w:rsidP="00D32038">
      <w:pPr>
        <w:pStyle w:val="referenceitem"/>
        <w:numPr>
          <w:ilvl w:val="0"/>
          <w:numId w:val="19"/>
        </w:numPr>
      </w:pPr>
      <w:proofErr w:type="spellStart"/>
      <w:r>
        <w:t>Sotiriadou</w:t>
      </w:r>
      <w:proofErr w:type="spellEnd"/>
      <w:r>
        <w:t xml:space="preserve">, P, Logan, D, Daly, A, Guest, R (2019) The role of authentic assessment to preserve academic integrity and promote skill development and employability. Studies in Higher Education, 45(11): 2132-2148. </w:t>
      </w:r>
    </w:p>
    <w:p w14:paraId="5EFD36D9" w14:textId="0A1A9798" w:rsidR="00EB1DFA" w:rsidRDefault="00EB1DFA" w:rsidP="00D32038">
      <w:pPr>
        <w:pStyle w:val="referenceitem"/>
        <w:numPr>
          <w:ilvl w:val="0"/>
          <w:numId w:val="19"/>
        </w:numPr>
      </w:pPr>
      <w:proofErr w:type="spellStart"/>
      <w:r>
        <w:t>Stuhlfaut</w:t>
      </w:r>
      <w:proofErr w:type="spellEnd"/>
      <w:r>
        <w:t>, MW, Farrell, M (2009) Pedagogic cacophony: The teaching of ethical, legal, and societal issues in advertising education. Journalism &amp; Mass Communication, 64(2): 173-190.</w:t>
      </w:r>
    </w:p>
    <w:p w14:paraId="54E6BAF7" w14:textId="3491F8A9" w:rsidR="00D32038" w:rsidRDefault="00D32038" w:rsidP="00D32038">
      <w:pPr>
        <w:pStyle w:val="referenceitem"/>
        <w:numPr>
          <w:ilvl w:val="0"/>
          <w:numId w:val="19"/>
        </w:numPr>
      </w:pPr>
      <w:r>
        <w:t>Thomas, S, Busby, S (2003) Do industry</w:t>
      </w:r>
      <w:r w:rsidR="006B5640">
        <w:t xml:space="preserve"> </w:t>
      </w:r>
      <w:r>
        <w:t xml:space="preserve">collaborative projects enhance students’ learning? Education + Training, 45(4): 226-35. </w:t>
      </w:r>
    </w:p>
    <w:p w14:paraId="329F7EC8" w14:textId="20D0EE67" w:rsidR="00D32038" w:rsidRDefault="00D32038" w:rsidP="00D32038">
      <w:pPr>
        <w:pStyle w:val="referenceitem"/>
        <w:numPr>
          <w:ilvl w:val="0"/>
          <w:numId w:val="19"/>
        </w:numPr>
      </w:pPr>
      <w:r>
        <w:t>Vargo, SL, Lusch, RF (2004) Evolving to a New Dominant Logic for Marketing. Journal of Marketing, 68(1): 1-17.</w:t>
      </w:r>
    </w:p>
    <w:p w14:paraId="5271EB67" w14:textId="70A078A8" w:rsidR="00720971" w:rsidRDefault="00720971" w:rsidP="00720971">
      <w:pPr>
        <w:pStyle w:val="heading1"/>
        <w:numPr>
          <w:ilvl w:val="0"/>
          <w:numId w:val="0"/>
        </w:numPr>
      </w:pPr>
      <w:r>
        <w:t>Acknowledgement</w:t>
      </w:r>
    </w:p>
    <w:p w14:paraId="7760A389" w14:textId="77777777" w:rsidR="00720971" w:rsidRDefault="00720971" w:rsidP="00720971">
      <w:pPr>
        <w:pStyle w:val="referenceitem"/>
        <w:numPr>
          <w:ilvl w:val="0"/>
          <w:numId w:val="0"/>
        </w:numPr>
        <w:ind w:left="341"/>
      </w:pPr>
    </w:p>
    <w:p w14:paraId="7C1CC101" w14:textId="32AB9994" w:rsidR="00720971" w:rsidRPr="00720971" w:rsidRDefault="00720971" w:rsidP="00720971">
      <w:pPr>
        <w:pStyle w:val="referenceitem"/>
        <w:numPr>
          <w:ilvl w:val="0"/>
          <w:numId w:val="0"/>
        </w:numPr>
        <w:ind w:left="227"/>
        <w:rPr>
          <w:sz w:val="20"/>
        </w:rPr>
      </w:pPr>
      <w:r w:rsidRPr="00720971">
        <w:rPr>
          <w:sz w:val="20"/>
        </w:rPr>
        <w:t xml:space="preserve">This chapter draws on the authors’ experiences of delivering the given module for three years since September 2018. Out of the three semesters across 2018-2021, the first </w:t>
      </w:r>
      <w:proofErr w:type="spellStart"/>
      <w:r w:rsidRPr="00720971">
        <w:rPr>
          <w:sz w:val="20"/>
        </w:rPr>
        <w:t>year’s experience</w:t>
      </w:r>
      <w:proofErr w:type="spellEnd"/>
      <w:r w:rsidRPr="00720971">
        <w:rPr>
          <w:sz w:val="20"/>
        </w:rPr>
        <w:t xml:space="preserve"> was presented (Title: Working towards sustainable consumption) at the Chartered Business School (CABS) Learning, Teaching and Student Experience (LTSE) Conference, University of Manchester, on 14th May 2019.</w:t>
      </w:r>
    </w:p>
    <w:p w14:paraId="0D3693AB" w14:textId="77777777" w:rsidR="00720971" w:rsidRDefault="00720971" w:rsidP="00720971">
      <w:pPr>
        <w:pStyle w:val="referenceitem"/>
        <w:numPr>
          <w:ilvl w:val="0"/>
          <w:numId w:val="0"/>
        </w:numPr>
        <w:ind w:left="341"/>
      </w:pPr>
    </w:p>
    <w:p w14:paraId="468ADF3D" w14:textId="498CCA3F" w:rsidR="004E40D7" w:rsidRDefault="004E40D7" w:rsidP="004E40D7">
      <w:pPr>
        <w:pStyle w:val="referenceitem"/>
        <w:numPr>
          <w:ilvl w:val="0"/>
          <w:numId w:val="0"/>
        </w:numPr>
        <w:ind w:left="341" w:hanging="114"/>
      </w:pPr>
    </w:p>
    <w:p w14:paraId="46977298" w14:textId="3753D49E" w:rsidR="004E40D7" w:rsidRDefault="004E40D7" w:rsidP="004E40D7">
      <w:pPr>
        <w:pStyle w:val="heading1"/>
      </w:pPr>
      <w:r>
        <w:t xml:space="preserve">Authors Profile </w:t>
      </w:r>
    </w:p>
    <w:p w14:paraId="5CBDF7E7" w14:textId="4467D675" w:rsidR="004E40D7" w:rsidRDefault="00720971" w:rsidP="004E40D7">
      <w:r w:rsidRPr="00720971">
        <w:t xml:space="preserve">Hyunsun Yoon is a Senior Lecturer in Advertising and Marketing Communications at the University of Greenwich, UK. With MA and PhD from Car-diff University, UK, Dr Yoon has written widely on advertising, media and communications, and older consumers. As a Senior Fellow at Higher Edu-cation Academy in the UK, she has extensive teaching experience and engages with international research activities such as the United Nations Economic and Social Commission for Asia and the Pacific (ESCAP). </w:t>
      </w:r>
      <w:r w:rsidRPr="00720971">
        <w:lastRenderedPageBreak/>
        <w:t>Her current research projects include exploring digital vulnerability and</w:t>
      </w:r>
      <w:r>
        <w:t xml:space="preserve"> </w:t>
      </w:r>
      <w:r w:rsidRPr="00720971">
        <w:t>empowerment among older consumers. Her book Branded Entertainment in Korea (2020) addresses critical issues around under-theorized marketing strategy, namely, branded entertainment.</w:t>
      </w:r>
    </w:p>
    <w:p w14:paraId="0CEE1F48" w14:textId="77777777" w:rsidR="004E40D7" w:rsidRDefault="004E40D7" w:rsidP="004E40D7"/>
    <w:p w14:paraId="27D7F74D" w14:textId="6C6A4862" w:rsidR="00720971" w:rsidRPr="00720971" w:rsidRDefault="00720971" w:rsidP="00720971">
      <w:r w:rsidRPr="00720971">
        <w:t xml:space="preserve">Tina </w:t>
      </w:r>
      <w:proofErr w:type="spellStart"/>
      <w:r w:rsidRPr="00720971">
        <w:t>Šegota</w:t>
      </w:r>
      <w:proofErr w:type="spellEnd"/>
      <w:r w:rsidRPr="00720971">
        <w:t xml:space="preserve"> is a Senior Lecturer in Advertising and Marketing Communications at the University of Greenwich, UK. Dr </w:t>
      </w:r>
      <w:proofErr w:type="spellStart"/>
      <w:r w:rsidRPr="00720971">
        <w:t>Šegota</w:t>
      </w:r>
      <w:proofErr w:type="spellEnd"/>
      <w:r w:rsidRPr="00720971">
        <w:t xml:space="preserve"> is a multi-award-winning academic with research and teaching experience in marketing and tourism worldwide. She holds PhD in Marketing Communications from the University of Ljubljana, Slovenia. She has written widely on sustainable tourism development and destination marketing. Her current research interests include tourism marketing and advertising, sustainable tourism development, tourist seasonality, place branding, consumer </w:t>
      </w:r>
      <w:proofErr w:type="spellStart"/>
      <w:r w:rsidRPr="00720971">
        <w:t>behaviour</w:t>
      </w:r>
      <w:proofErr w:type="spellEnd"/>
      <w:r w:rsidRPr="00720971">
        <w:t>, and sensory marketing. She has received several national and international awards, including the Emerald Literati Award and the Best Paper Awards for her publications.</w:t>
      </w:r>
    </w:p>
    <w:p w14:paraId="629F369C" w14:textId="77777777" w:rsidR="004E40D7" w:rsidRPr="00606587" w:rsidRDefault="004E40D7" w:rsidP="004E40D7"/>
    <w:sectPr w:rsidR="004E40D7" w:rsidRPr="00606587" w:rsidSect="009F7FCE">
      <w:headerReference w:type="even" r:id="rId8"/>
      <w:headerReference w:type="default" r:id="rId9"/>
      <w:pgSz w:w="11906" w:h="16838" w:code="9"/>
      <w:pgMar w:top="2948" w:right="2494" w:bottom="2948" w:left="2494" w:header="2381" w:footer="2324" w:gutter="0"/>
      <w:cols w:space="227"/>
      <w:titlePg/>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F833A" w14:textId="77777777" w:rsidR="00412CBF" w:rsidRDefault="00412CBF">
      <w:r>
        <w:separator/>
      </w:r>
    </w:p>
  </w:endnote>
  <w:endnote w:type="continuationSeparator" w:id="0">
    <w:p w14:paraId="4BDC933E" w14:textId="77777777" w:rsidR="00412CBF" w:rsidRDefault="00412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D97C48" w14:textId="77777777" w:rsidR="00412CBF" w:rsidRDefault="00412CBF" w:rsidP="009F7FCE">
      <w:pPr>
        <w:ind w:firstLine="0"/>
      </w:pPr>
      <w:r>
        <w:separator/>
      </w:r>
    </w:p>
  </w:footnote>
  <w:footnote w:type="continuationSeparator" w:id="0">
    <w:p w14:paraId="61ED1CEA" w14:textId="77777777" w:rsidR="00412CBF" w:rsidRDefault="00412CBF" w:rsidP="009F7FCE">
      <w:pPr>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F040" w14:textId="77777777" w:rsidR="009B2539" w:rsidRDefault="009B2539" w:rsidP="00F321B4">
    <w:pPr>
      <w:pStyle w:val="Header"/>
    </w:pPr>
    <w:r>
      <w:fldChar w:fldCharType="begin"/>
    </w:r>
    <w:r>
      <w:instrText>PAGE   \* MERGEFORMAT</w:instrText>
    </w:r>
    <w:r>
      <w:fldChar w:fldCharType="separate"/>
    </w:r>
    <w:r w:rsidR="00DC2CA9">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2CE8A" w14:textId="77777777" w:rsidR="002D48C5" w:rsidRDefault="002D48C5" w:rsidP="002D48C5">
    <w:pPr>
      <w:pStyle w:val="Header"/>
      <w:jc w:val="right"/>
    </w:pPr>
    <w:r>
      <w:fldChar w:fldCharType="begin"/>
    </w:r>
    <w:r>
      <w:instrText>PAGE   \* MERGEFORMAT</w:instrText>
    </w:r>
    <w:r>
      <w:fldChar w:fldCharType="separate"/>
    </w:r>
    <w:r w:rsidR="001A02F0">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A3B33"/>
    <w:multiLevelType w:val="hybridMultilevel"/>
    <w:tmpl w:val="AB6A85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397F84"/>
    <w:multiLevelType w:val="multilevel"/>
    <w:tmpl w:val="77162394"/>
    <w:styleLink w:val="itemization1"/>
    <w:lvl w:ilvl="0">
      <w:start w:val="1"/>
      <w:numFmt w:val="bullet"/>
      <w:pStyle w:val="bulletitem"/>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 w15:restartNumberingAfterBreak="0">
    <w:nsid w:val="4BA95902"/>
    <w:multiLevelType w:val="hybridMultilevel"/>
    <w:tmpl w:val="B1A22DCC"/>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3" w15:restartNumberingAfterBreak="0">
    <w:nsid w:val="51F3306E"/>
    <w:multiLevelType w:val="hybridMultilevel"/>
    <w:tmpl w:val="4282DF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F404C9F"/>
    <w:multiLevelType w:val="multilevel"/>
    <w:tmpl w:val="BEDA5F46"/>
    <w:styleLink w:val="itemization2"/>
    <w:lvl w:ilvl="0">
      <w:start w:val="1"/>
      <w:numFmt w:val="bullet"/>
      <w:pStyle w:val="dashitem"/>
      <w:lvlText w:val="─"/>
      <w:lvlJc w:val="left"/>
      <w:pPr>
        <w:tabs>
          <w:tab w:val="num" w:pos="227"/>
        </w:tabs>
        <w:ind w:left="227" w:hanging="227"/>
      </w:pPr>
      <w:rPr>
        <w:rFonts w:ascii="Times New Roman" w:hAnsi="Times New Roman" w:cs="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cs="Times New Roman" w:hint="default"/>
      </w:rPr>
    </w:lvl>
    <w:lvl w:ilvl="3">
      <w:start w:val="1"/>
      <w:numFmt w:val="bullet"/>
      <w:lvlText w:val="■"/>
      <w:lvlJc w:val="left"/>
      <w:pPr>
        <w:tabs>
          <w:tab w:val="num" w:pos="907"/>
        </w:tabs>
        <w:ind w:left="907" w:hanging="227"/>
      </w:pPr>
      <w:rPr>
        <w:rFonts w:ascii="Times New Roman" w:hAnsi="Times New Roman" w:cs="Times New Roman" w:hint="default"/>
      </w:rPr>
    </w:lvl>
    <w:lvl w:ilvl="4">
      <w:start w:val="1"/>
      <w:numFmt w:val="bullet"/>
      <w:lvlText w:val="○"/>
      <w:lvlJc w:val="left"/>
      <w:pPr>
        <w:tabs>
          <w:tab w:val="num" w:pos="1134"/>
        </w:tabs>
        <w:ind w:left="1134" w:hanging="227"/>
      </w:pPr>
      <w:rPr>
        <w:rFonts w:ascii="Times New Roman" w:hAnsi="Times New Roman" w:cs="Times New Roman" w:hint="default"/>
      </w:rPr>
    </w:lvl>
    <w:lvl w:ilvl="5">
      <w:start w:val="1"/>
      <w:numFmt w:val="bullet"/>
      <w:lvlText w:val="■"/>
      <w:lvlJc w:val="left"/>
      <w:pPr>
        <w:tabs>
          <w:tab w:val="num" w:pos="1361"/>
        </w:tabs>
        <w:ind w:left="1361" w:hanging="227"/>
      </w:pPr>
      <w:rPr>
        <w:rFonts w:ascii="Times New Roman" w:hAnsi="Times New Roman" w:cs="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cs="Times New Roman" w:hint="default"/>
      </w:rPr>
    </w:lvl>
    <w:lvl w:ilvl="8">
      <w:start w:val="1"/>
      <w:numFmt w:val="bullet"/>
      <w:lvlText w:val="■"/>
      <w:lvlJc w:val="left"/>
      <w:pPr>
        <w:tabs>
          <w:tab w:val="num" w:pos="2041"/>
        </w:tabs>
        <w:ind w:left="2041" w:hanging="227"/>
      </w:pPr>
      <w:rPr>
        <w:rFonts w:ascii="Times New Roman" w:hAnsi="Times New Roman" w:cs="Times New Roman" w:hint="default"/>
      </w:rPr>
    </w:lvl>
  </w:abstractNum>
  <w:abstractNum w:abstractNumId="5" w15:restartNumberingAfterBreak="0">
    <w:nsid w:val="7738779A"/>
    <w:multiLevelType w:val="multilevel"/>
    <w:tmpl w:val="77EC1FB2"/>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274BC8"/>
    <w:multiLevelType w:val="multilevel"/>
    <w:tmpl w:val="72E65396"/>
    <w:styleLink w:val="arabnumitem"/>
    <w:lvl w:ilvl="0">
      <w:start w:val="1"/>
      <w:numFmt w:val="decimal"/>
      <w:lvlRestart w:val="0"/>
      <w:pStyle w:val="numitem"/>
      <w:lvlText w:val="%1."/>
      <w:lvlJc w:val="right"/>
      <w:pPr>
        <w:tabs>
          <w:tab w:val="num" w:pos="0"/>
        </w:tabs>
        <w:ind w:left="227" w:hanging="57"/>
      </w:pPr>
      <w:rPr>
        <w:rFonts w:hint="default"/>
      </w:rPr>
    </w:lvl>
    <w:lvl w:ilvl="1">
      <w:start w:val="1"/>
      <w:numFmt w:val="lowerLetter"/>
      <w:lvlText w:val="%2."/>
      <w:lvlJc w:val="left"/>
      <w:pPr>
        <w:tabs>
          <w:tab w:val="num" w:pos="227"/>
        </w:tabs>
        <w:ind w:left="454" w:hanging="227"/>
      </w:pPr>
      <w:rPr>
        <w:rFonts w:hint="default"/>
      </w:rPr>
    </w:lvl>
    <w:lvl w:ilvl="2">
      <w:start w:val="1"/>
      <w:numFmt w:val="decimal"/>
      <w:lvlText w:val="(%3)"/>
      <w:lvlJc w:val="left"/>
      <w:pPr>
        <w:tabs>
          <w:tab w:val="num" w:pos="454"/>
        </w:tabs>
        <w:ind w:left="794" w:hanging="340"/>
      </w:pPr>
      <w:rPr>
        <w:rFonts w:hint="default"/>
      </w:rPr>
    </w:lvl>
    <w:lvl w:ilvl="3">
      <w:start w:val="1"/>
      <w:numFmt w:val="lowerRoman"/>
      <w:lvlText w:val="%4."/>
      <w:lvlJc w:val="left"/>
      <w:pPr>
        <w:tabs>
          <w:tab w:val="num" w:pos="794"/>
        </w:tabs>
        <w:ind w:left="1077" w:hanging="283"/>
      </w:pPr>
      <w:rPr>
        <w:rFonts w:hint="default"/>
      </w:rPr>
    </w:lvl>
    <w:lvl w:ilvl="4">
      <w:start w:val="1"/>
      <w:numFmt w:val="lowerLetter"/>
      <w:lvlText w:val="(%5)"/>
      <w:lvlJc w:val="left"/>
      <w:pPr>
        <w:tabs>
          <w:tab w:val="num" w:pos="1077"/>
        </w:tabs>
        <w:ind w:left="1360" w:hanging="283"/>
      </w:pPr>
      <w:rPr>
        <w:rFonts w:hint="default"/>
      </w:rPr>
    </w:lvl>
    <w:lvl w:ilvl="5">
      <w:start w:val="1"/>
      <w:numFmt w:val="upperLetter"/>
      <w:lvlText w:val="%6."/>
      <w:lvlJc w:val="left"/>
      <w:pPr>
        <w:tabs>
          <w:tab w:val="num" w:pos="1360"/>
        </w:tabs>
        <w:ind w:left="1700" w:hanging="340"/>
      </w:pPr>
      <w:rPr>
        <w:rFonts w:hint="default"/>
      </w:rPr>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9521C8"/>
    <w:multiLevelType w:val="multilevel"/>
    <w:tmpl w:val="F35CB8F2"/>
    <w:styleLink w:val="referencelist"/>
    <w:lvl w:ilvl="0">
      <w:start w:val="1"/>
      <w:numFmt w:val="decimal"/>
      <w:pStyle w:val="referenceitem"/>
      <w:lvlText w:val="%1."/>
      <w:lvlJc w:val="right"/>
      <w:pPr>
        <w:tabs>
          <w:tab w:val="num" w:pos="341"/>
        </w:tabs>
        <w:ind w:left="341" w:hanging="114"/>
      </w:pPr>
      <w:rPr>
        <w:rFonts w:hint="default"/>
      </w:rPr>
    </w:lvl>
    <w:lvl w:ilvl="1">
      <w:start w:val="1"/>
      <w:numFmt w:val="lowerLetter"/>
      <w:lvlText w:val="%2."/>
      <w:lvlJc w:val="left"/>
      <w:pPr>
        <w:tabs>
          <w:tab w:val="num" w:pos="1896"/>
        </w:tabs>
        <w:ind w:left="1896" w:hanging="360"/>
      </w:pPr>
      <w:rPr>
        <w:rFonts w:hint="default"/>
      </w:rPr>
    </w:lvl>
    <w:lvl w:ilvl="2">
      <w:start w:val="1"/>
      <w:numFmt w:val="lowerRoman"/>
      <w:lvlText w:val="%3."/>
      <w:lvlJc w:val="right"/>
      <w:pPr>
        <w:tabs>
          <w:tab w:val="num" w:pos="2616"/>
        </w:tabs>
        <w:ind w:left="2616" w:hanging="180"/>
      </w:pPr>
      <w:rPr>
        <w:rFonts w:hint="default"/>
      </w:rPr>
    </w:lvl>
    <w:lvl w:ilvl="3">
      <w:start w:val="1"/>
      <w:numFmt w:val="decimal"/>
      <w:lvlText w:val="%4."/>
      <w:lvlJc w:val="left"/>
      <w:pPr>
        <w:tabs>
          <w:tab w:val="num" w:pos="3336"/>
        </w:tabs>
        <w:ind w:left="3336" w:hanging="360"/>
      </w:pPr>
      <w:rPr>
        <w:rFonts w:hint="default"/>
      </w:rPr>
    </w:lvl>
    <w:lvl w:ilvl="4">
      <w:start w:val="1"/>
      <w:numFmt w:val="lowerLetter"/>
      <w:lvlText w:val="%5."/>
      <w:lvlJc w:val="left"/>
      <w:pPr>
        <w:tabs>
          <w:tab w:val="num" w:pos="4056"/>
        </w:tabs>
        <w:ind w:left="4056" w:hanging="360"/>
      </w:pPr>
      <w:rPr>
        <w:rFonts w:hint="default"/>
      </w:rPr>
    </w:lvl>
    <w:lvl w:ilvl="5">
      <w:start w:val="1"/>
      <w:numFmt w:val="lowerRoman"/>
      <w:lvlText w:val="%6."/>
      <w:lvlJc w:val="right"/>
      <w:pPr>
        <w:tabs>
          <w:tab w:val="num" w:pos="4776"/>
        </w:tabs>
        <w:ind w:left="4776" w:hanging="180"/>
      </w:pPr>
      <w:rPr>
        <w:rFonts w:hint="default"/>
      </w:rPr>
    </w:lvl>
    <w:lvl w:ilvl="6">
      <w:start w:val="1"/>
      <w:numFmt w:val="decimal"/>
      <w:lvlText w:val="%7."/>
      <w:lvlJc w:val="left"/>
      <w:pPr>
        <w:tabs>
          <w:tab w:val="num" w:pos="5496"/>
        </w:tabs>
        <w:ind w:left="5496" w:hanging="360"/>
      </w:pPr>
      <w:rPr>
        <w:rFonts w:hint="default"/>
      </w:rPr>
    </w:lvl>
    <w:lvl w:ilvl="7">
      <w:start w:val="1"/>
      <w:numFmt w:val="lowerLetter"/>
      <w:lvlText w:val="%8."/>
      <w:lvlJc w:val="left"/>
      <w:pPr>
        <w:tabs>
          <w:tab w:val="num" w:pos="6216"/>
        </w:tabs>
        <w:ind w:left="6216" w:hanging="360"/>
      </w:pPr>
      <w:rPr>
        <w:rFonts w:hint="default"/>
      </w:rPr>
    </w:lvl>
    <w:lvl w:ilvl="8">
      <w:start w:val="1"/>
      <w:numFmt w:val="lowerRoman"/>
      <w:lvlText w:val="%9."/>
      <w:lvlJc w:val="right"/>
      <w:pPr>
        <w:tabs>
          <w:tab w:val="num" w:pos="6936"/>
        </w:tabs>
        <w:ind w:left="6936" w:hanging="180"/>
      </w:pPr>
      <w:rPr>
        <w:rFonts w:hint="default"/>
      </w:rPr>
    </w:lvl>
  </w:abstractNum>
  <w:num w:numId="1" w16cid:durableId="1409840014">
    <w:abstractNumId w:val="1"/>
  </w:num>
  <w:num w:numId="2" w16cid:durableId="1186552436">
    <w:abstractNumId w:val="1"/>
  </w:num>
  <w:num w:numId="3" w16cid:durableId="102193982">
    <w:abstractNumId w:val="4"/>
  </w:num>
  <w:num w:numId="4" w16cid:durableId="1757945761">
    <w:abstractNumId w:val="4"/>
  </w:num>
  <w:num w:numId="5" w16cid:durableId="1765304469">
    <w:abstractNumId w:val="6"/>
  </w:num>
  <w:num w:numId="6" w16cid:durableId="1861115294">
    <w:abstractNumId w:val="6"/>
  </w:num>
  <w:num w:numId="7" w16cid:durableId="362873856">
    <w:abstractNumId w:val="5"/>
  </w:num>
  <w:num w:numId="8" w16cid:durableId="1909220141">
    <w:abstractNumId w:val="7"/>
  </w:num>
  <w:num w:numId="9" w16cid:durableId="1592590720">
    <w:abstractNumId w:val="7"/>
  </w:num>
  <w:num w:numId="10" w16cid:durableId="844247984">
    <w:abstractNumId w:val="5"/>
  </w:num>
  <w:num w:numId="11" w16cid:durableId="1079980970">
    <w:abstractNumId w:val="5"/>
  </w:num>
  <w:num w:numId="12" w16cid:durableId="1532961681">
    <w:abstractNumId w:val="5"/>
  </w:num>
  <w:num w:numId="13" w16cid:durableId="496657124">
    <w:abstractNumId w:val="5"/>
  </w:num>
  <w:num w:numId="14" w16cid:durableId="1113549289">
    <w:abstractNumId w:val="5"/>
  </w:num>
  <w:num w:numId="15" w16cid:durableId="339628125">
    <w:abstractNumId w:val="7"/>
  </w:num>
  <w:num w:numId="16" w16cid:durableId="1427726301">
    <w:abstractNumId w:val="5"/>
  </w:num>
  <w:num w:numId="17" w16cid:durableId="1885411543">
    <w:abstractNumId w:val="7"/>
  </w:num>
  <w:num w:numId="18" w16cid:durableId="1490511433">
    <w:abstractNumId w:val="3"/>
  </w:num>
  <w:num w:numId="19" w16cid:durableId="1091125368">
    <w:abstractNumId w:val="0"/>
  </w:num>
  <w:num w:numId="20" w16cid:durableId="105370215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27"/>
  <w:autoHyphenation/>
  <w:hyphenationZone w:val="400"/>
  <w:doNotHyphenateCaps/>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wMzU2MTQzNzY0MzFU0lEKTi0uzszPAykwrgUAvGlV4iwAAAA="/>
  </w:docVars>
  <w:rsids>
    <w:rsidRoot w:val="009F7FCE"/>
    <w:rsid w:val="0001773C"/>
    <w:rsid w:val="00047925"/>
    <w:rsid w:val="000879A4"/>
    <w:rsid w:val="00111400"/>
    <w:rsid w:val="001265AE"/>
    <w:rsid w:val="001A02F0"/>
    <w:rsid w:val="002C6D47"/>
    <w:rsid w:val="002D48C5"/>
    <w:rsid w:val="00372035"/>
    <w:rsid w:val="003C770C"/>
    <w:rsid w:val="00412CBF"/>
    <w:rsid w:val="00424936"/>
    <w:rsid w:val="004A236F"/>
    <w:rsid w:val="004E40D7"/>
    <w:rsid w:val="00502F4D"/>
    <w:rsid w:val="005359C8"/>
    <w:rsid w:val="005706E9"/>
    <w:rsid w:val="00624760"/>
    <w:rsid w:val="006671BD"/>
    <w:rsid w:val="006B427B"/>
    <w:rsid w:val="006B5640"/>
    <w:rsid w:val="00720971"/>
    <w:rsid w:val="00865105"/>
    <w:rsid w:val="008F2D4C"/>
    <w:rsid w:val="00931B16"/>
    <w:rsid w:val="009930E4"/>
    <w:rsid w:val="009B2539"/>
    <w:rsid w:val="009E5D7E"/>
    <w:rsid w:val="009F7FCE"/>
    <w:rsid w:val="00A3206F"/>
    <w:rsid w:val="00B23481"/>
    <w:rsid w:val="00B75B1E"/>
    <w:rsid w:val="00BC65BF"/>
    <w:rsid w:val="00BD1517"/>
    <w:rsid w:val="00C9022D"/>
    <w:rsid w:val="00C973EB"/>
    <w:rsid w:val="00CA4927"/>
    <w:rsid w:val="00D32038"/>
    <w:rsid w:val="00D3771C"/>
    <w:rsid w:val="00DC2CA9"/>
    <w:rsid w:val="00E603C7"/>
    <w:rsid w:val="00EB1579"/>
    <w:rsid w:val="00EB1DFA"/>
    <w:rsid w:val="00F0435B"/>
    <w:rsid w:val="00F321B4"/>
    <w:rsid w:val="00F344B1"/>
    <w:rsid w:val="00F6354C"/>
    <w:rsid w:val="00FB575F"/>
    <w:rsid w:val="00FE6E67"/>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EC49C"/>
  <w15:docId w15:val="{907E9F79-BC5A-4996-A4B5-451BAE27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semiHidden="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7667"/>
    <w:pPr>
      <w:overflowPunct w:val="0"/>
      <w:autoSpaceDE w:val="0"/>
      <w:autoSpaceDN w:val="0"/>
      <w:adjustRightInd w:val="0"/>
      <w:ind w:firstLine="227"/>
      <w:jc w:val="both"/>
      <w:textAlignment w:val="baseline"/>
    </w:pPr>
  </w:style>
  <w:style w:type="paragraph" w:styleId="Heading10">
    <w:name w:val="heading 1"/>
    <w:basedOn w:val="Normal"/>
    <w:next w:val="p1a"/>
    <w:semiHidden/>
    <w:unhideWhenUsed/>
    <w:qFormat/>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p1a"/>
    <w:semiHidden/>
    <w:unhideWhenUsed/>
    <w:qFormat/>
    <w:pPr>
      <w:keepNext/>
      <w:keepLines/>
      <w:suppressAutoHyphens/>
      <w:spacing w:before="360" w:after="160"/>
      <w:ind w:left="567" w:hanging="567"/>
      <w:jc w:val="left"/>
      <w:outlineLvl w:val="1"/>
    </w:pPr>
    <w:rPr>
      <w:b/>
    </w:rPr>
  </w:style>
  <w:style w:type="paragraph" w:styleId="Heading3">
    <w:name w:val="heading 3"/>
    <w:basedOn w:val="Normal"/>
    <w:next w:val="Normal"/>
    <w:qFormat/>
    <w:pPr>
      <w:spacing w:before="360"/>
      <w:ind w:firstLine="0"/>
      <w:outlineLvl w:val="2"/>
    </w:pPr>
  </w:style>
  <w:style w:type="paragraph" w:styleId="Heading4">
    <w:name w:val="heading 4"/>
    <w:basedOn w:val="Normal"/>
    <w:next w:val="Normal"/>
    <w:qFormat/>
    <w:pPr>
      <w:spacing w:before="240"/>
      <w:ind w:firstLine="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pPr>
      <w:spacing w:before="600" w:after="360" w:line="220" w:lineRule="atLeast"/>
      <w:ind w:left="567" w:right="567"/>
      <w:contextualSpacing/>
    </w:pPr>
    <w:rPr>
      <w:sz w:val="18"/>
    </w:rPr>
  </w:style>
  <w:style w:type="paragraph" w:customStyle="1" w:styleId="address">
    <w:name w:val="address"/>
    <w:basedOn w:val="Normal"/>
    <w:pPr>
      <w:spacing w:after="200" w:line="220" w:lineRule="atLeast"/>
      <w:ind w:firstLine="0"/>
      <w:contextualSpacing/>
      <w:jc w:val="center"/>
    </w:pPr>
    <w:rPr>
      <w:sz w:val="18"/>
    </w:rPr>
  </w:style>
  <w:style w:type="numbering" w:customStyle="1" w:styleId="arabnumitem">
    <w:name w:val="arabnumitem"/>
    <w:basedOn w:val="NoList"/>
    <w:pPr>
      <w:numPr>
        <w:numId w:val="5"/>
      </w:numPr>
    </w:pPr>
  </w:style>
  <w:style w:type="paragraph" w:customStyle="1" w:styleId="author">
    <w:name w:val="author"/>
    <w:basedOn w:val="Normal"/>
    <w:next w:val="address"/>
    <w:pPr>
      <w:spacing w:after="200" w:line="220" w:lineRule="atLeast"/>
      <w:ind w:firstLine="0"/>
      <w:jc w:val="center"/>
    </w:pPr>
  </w:style>
  <w:style w:type="paragraph" w:customStyle="1" w:styleId="bulletitem">
    <w:name w:val="bulletitem"/>
    <w:basedOn w:val="Normal"/>
    <w:pPr>
      <w:numPr>
        <w:numId w:val="2"/>
      </w:numPr>
      <w:spacing w:before="160" w:after="160"/>
      <w:contextualSpacing/>
    </w:pPr>
  </w:style>
  <w:style w:type="paragraph" w:customStyle="1" w:styleId="dashitem">
    <w:name w:val="dashitem"/>
    <w:basedOn w:val="Normal"/>
    <w:pPr>
      <w:numPr>
        <w:numId w:val="4"/>
      </w:numPr>
      <w:spacing w:before="160" w:after="160"/>
      <w:contextualSpacing/>
    </w:pPr>
  </w:style>
  <w:style w:type="character" w:customStyle="1" w:styleId="e-mail">
    <w:name w:val="e-mail"/>
    <w:basedOn w:val="DefaultParagraphFont"/>
    <w:rPr>
      <w:rFonts w:ascii="Courier" w:hAnsi="Courier"/>
      <w:noProof/>
    </w:rPr>
  </w:style>
  <w:style w:type="paragraph" w:customStyle="1" w:styleId="equation">
    <w:name w:val="equation"/>
    <w:basedOn w:val="Normal"/>
    <w:next w:val="Normal"/>
    <w:pPr>
      <w:tabs>
        <w:tab w:val="center" w:pos="3289"/>
        <w:tab w:val="right" w:pos="6917"/>
      </w:tabs>
      <w:spacing w:before="160" w:after="160"/>
      <w:ind w:firstLine="0"/>
    </w:pPr>
  </w:style>
  <w:style w:type="paragraph" w:customStyle="1" w:styleId="figurecaption">
    <w:name w:val="figurecaption"/>
    <w:basedOn w:val="Normal"/>
    <w:next w:val="Normal"/>
    <w:pPr>
      <w:keepLines/>
      <w:spacing w:before="120" w:after="240" w:line="220" w:lineRule="atLeast"/>
      <w:ind w:firstLine="0"/>
      <w:jc w:val="center"/>
    </w:pPr>
    <w:rPr>
      <w:sz w:val="18"/>
    </w:rPr>
  </w:style>
  <w:style w:type="character" w:styleId="FootnoteReference">
    <w:name w:val="footnote reference"/>
    <w:basedOn w:val="DefaultParagraphFont"/>
    <w:semiHidden/>
    <w:unhideWhenUsed/>
    <w:rPr>
      <w:position w:val="0"/>
      <w:vertAlign w:val="superscript"/>
    </w:rPr>
  </w:style>
  <w:style w:type="paragraph" w:styleId="Footer">
    <w:name w:val="footer"/>
    <w:basedOn w:val="Normal"/>
    <w:semiHidden/>
    <w:unhideWhenUsed/>
  </w:style>
  <w:style w:type="paragraph" w:customStyle="1" w:styleId="heading1">
    <w:name w:val="heading1"/>
    <w:basedOn w:val="Normal"/>
    <w:next w:val="p1a"/>
    <w:qFormat/>
    <w:pPr>
      <w:keepNext/>
      <w:keepLines/>
      <w:numPr>
        <w:numId w:val="7"/>
      </w:numPr>
      <w:suppressAutoHyphens/>
      <w:spacing w:before="360" w:after="240" w:line="300" w:lineRule="atLeast"/>
      <w:jc w:val="left"/>
      <w:outlineLvl w:val="0"/>
    </w:pPr>
    <w:rPr>
      <w:b/>
      <w:sz w:val="24"/>
    </w:rPr>
  </w:style>
  <w:style w:type="paragraph" w:customStyle="1" w:styleId="heading2">
    <w:name w:val="heading2"/>
    <w:basedOn w:val="Normal"/>
    <w:next w:val="p1a"/>
    <w:qFormat/>
    <w:pPr>
      <w:keepNext/>
      <w:keepLines/>
      <w:numPr>
        <w:ilvl w:val="1"/>
        <w:numId w:val="7"/>
      </w:numPr>
      <w:suppressAutoHyphens/>
      <w:spacing w:before="360" w:after="160"/>
      <w:jc w:val="left"/>
      <w:outlineLvl w:val="1"/>
    </w:pPr>
    <w:rPr>
      <w:b/>
    </w:rPr>
  </w:style>
  <w:style w:type="character" w:customStyle="1" w:styleId="heading30">
    <w:name w:val="heading3"/>
    <w:basedOn w:val="DefaultParagraphFont"/>
    <w:rPr>
      <w:b/>
    </w:rPr>
  </w:style>
  <w:style w:type="character" w:customStyle="1" w:styleId="heading40">
    <w:name w:val="heading4"/>
    <w:basedOn w:val="DefaultParagraphFont"/>
    <w:rPr>
      <w:i/>
    </w:rPr>
  </w:style>
  <w:style w:type="numbering" w:customStyle="1" w:styleId="headings">
    <w:name w:val="headings"/>
    <w:basedOn w:val="arabnumitem"/>
    <w:pPr>
      <w:numPr>
        <w:numId w:val="7"/>
      </w:numPr>
    </w:pPr>
  </w:style>
  <w:style w:type="character" w:styleId="Hyperlink">
    <w:name w:val="Hyperlink"/>
    <w:basedOn w:val="DefaultParagraphFont"/>
    <w:semiHidden/>
    <w:unhideWhenUsed/>
    <w:rPr>
      <w:color w:val="auto"/>
      <w:u w:val="none"/>
    </w:rPr>
  </w:style>
  <w:style w:type="paragraph" w:customStyle="1" w:styleId="image">
    <w:name w:val="image"/>
    <w:basedOn w:val="Normal"/>
    <w:next w:val="Normal"/>
    <w:pPr>
      <w:spacing w:before="240" w:after="120"/>
      <w:ind w:firstLine="0"/>
      <w:jc w:val="center"/>
    </w:pPr>
  </w:style>
  <w:style w:type="numbering" w:customStyle="1" w:styleId="itemization1">
    <w:name w:val="itemization1"/>
    <w:basedOn w:val="NoList"/>
    <w:pPr>
      <w:numPr>
        <w:numId w:val="1"/>
      </w:numPr>
    </w:pPr>
  </w:style>
  <w:style w:type="numbering" w:customStyle="1" w:styleId="itemization2">
    <w:name w:val="itemization2"/>
    <w:basedOn w:val="NoList"/>
    <w:pPr>
      <w:numPr>
        <w:numId w:val="3"/>
      </w:numPr>
    </w:pPr>
  </w:style>
  <w:style w:type="paragraph" w:customStyle="1" w:styleId="keywords">
    <w:name w:val="keywords"/>
    <w:basedOn w:val="abstract"/>
    <w:next w:val="heading1"/>
    <w:pPr>
      <w:spacing w:before="220"/>
      <w:ind w:firstLine="0"/>
      <w:contextualSpacing w:val="0"/>
      <w:jc w:val="left"/>
    </w:pPr>
  </w:style>
  <w:style w:type="paragraph" w:styleId="Header">
    <w:name w:val="header"/>
    <w:basedOn w:val="Normal"/>
    <w:semiHidden/>
    <w:unhideWhenUsed/>
    <w:pPr>
      <w:tabs>
        <w:tab w:val="center" w:pos="4536"/>
        <w:tab w:val="right" w:pos="9072"/>
      </w:tabs>
      <w:ind w:firstLine="0"/>
    </w:pPr>
    <w:rPr>
      <w:sz w:val="18"/>
      <w:szCs w:val="18"/>
    </w:rPr>
  </w:style>
  <w:style w:type="paragraph" w:customStyle="1" w:styleId="numitem">
    <w:name w:val="numitem"/>
    <w:basedOn w:val="Normal"/>
    <w:pPr>
      <w:numPr>
        <w:numId w:val="6"/>
      </w:numPr>
      <w:spacing w:before="160" w:after="160"/>
      <w:contextualSpacing/>
    </w:pPr>
  </w:style>
  <w:style w:type="paragraph" w:customStyle="1" w:styleId="p1a">
    <w:name w:val="p1a"/>
    <w:basedOn w:val="Normal"/>
    <w:next w:val="Normal"/>
    <w:pPr>
      <w:ind w:firstLine="0"/>
    </w:pPr>
  </w:style>
  <w:style w:type="paragraph" w:customStyle="1" w:styleId="programcode">
    <w:name w:val="programcode"/>
    <w:basedOn w:val="Normal"/>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pPr>
      <w:numPr>
        <w:numId w:val="9"/>
      </w:numPr>
      <w:spacing w:line="220" w:lineRule="atLeast"/>
    </w:pPr>
    <w:rPr>
      <w:sz w:val="18"/>
    </w:rPr>
  </w:style>
  <w:style w:type="numbering" w:customStyle="1" w:styleId="referencelist">
    <w:name w:val="referencelist"/>
    <w:basedOn w:val="NoList"/>
    <w:semiHidden/>
    <w:pPr>
      <w:numPr>
        <w:numId w:val="8"/>
      </w:numPr>
    </w:pPr>
  </w:style>
  <w:style w:type="paragraph" w:customStyle="1" w:styleId="runninghead-left">
    <w:name w:val="running head - left"/>
    <w:basedOn w:val="Normal"/>
    <w:pPr>
      <w:ind w:firstLine="0"/>
      <w:jc w:val="left"/>
    </w:pPr>
    <w:rPr>
      <w:sz w:val="18"/>
      <w:szCs w:val="18"/>
    </w:rPr>
  </w:style>
  <w:style w:type="paragraph" w:customStyle="1" w:styleId="runninghead-right">
    <w:name w:val="running head - right"/>
    <w:basedOn w:val="Normal"/>
    <w:pPr>
      <w:ind w:firstLine="0"/>
      <w:jc w:val="right"/>
    </w:pPr>
    <w:rPr>
      <w:bCs/>
      <w:sz w:val="18"/>
      <w:szCs w:val="18"/>
    </w:rPr>
  </w:style>
  <w:style w:type="character" w:styleId="PageNumber">
    <w:name w:val="page number"/>
    <w:basedOn w:val="DefaultParagraphFont"/>
    <w:semiHidden/>
    <w:unhideWhenUsed/>
    <w:rPr>
      <w:sz w:val="18"/>
    </w:rPr>
  </w:style>
  <w:style w:type="paragraph" w:customStyle="1" w:styleId="papertitle">
    <w:name w:val="papertitle"/>
    <w:basedOn w:val="Normal"/>
    <w:next w:val="author"/>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pPr>
      <w:spacing w:before="120" w:line="280" w:lineRule="atLeast"/>
    </w:pPr>
    <w:rPr>
      <w:sz w:val="24"/>
    </w:rPr>
  </w:style>
  <w:style w:type="paragraph" w:customStyle="1" w:styleId="tablecaption">
    <w:name w:val="tablecaption"/>
    <w:basedOn w:val="Normal"/>
    <w:next w:val="Normal"/>
    <w:pPr>
      <w:keepNext/>
      <w:keepLines/>
      <w:spacing w:before="240" w:after="120" w:line="220" w:lineRule="atLeast"/>
      <w:ind w:firstLine="0"/>
      <w:jc w:val="center"/>
    </w:pPr>
    <w:rPr>
      <w:sz w:val="18"/>
    </w:rPr>
  </w:style>
  <w:style w:type="character" w:customStyle="1" w:styleId="url">
    <w:name w:val="url"/>
    <w:basedOn w:val="DefaultParagraphFont"/>
    <w:rPr>
      <w:rFonts w:ascii="Courier" w:hAnsi="Courier"/>
      <w:noProof/>
    </w:rPr>
  </w:style>
  <w:style w:type="character" w:customStyle="1" w:styleId="ORCID">
    <w:name w:val="ORCID"/>
    <w:basedOn w:val="DefaultParagraphFont"/>
    <w:rPr>
      <w:position w:val="0"/>
      <w:vertAlign w:val="superscript"/>
    </w:rPr>
  </w:style>
  <w:style w:type="paragraph" w:styleId="FootnoteText">
    <w:name w:val="footnote text"/>
    <w:basedOn w:val="Normal"/>
    <w:semiHidden/>
    <w:pPr>
      <w:spacing w:line="220" w:lineRule="atLeast"/>
      <w:ind w:left="227" w:hanging="227"/>
    </w:pPr>
    <w:rPr>
      <w:sz w:val="18"/>
    </w:rPr>
  </w:style>
  <w:style w:type="paragraph" w:customStyle="1" w:styleId="ReferenceLine">
    <w:name w:val="ReferenceLine"/>
    <w:basedOn w:val="p1a"/>
    <w:semiHidden/>
    <w:unhideWhenUsed/>
    <w:pPr>
      <w:spacing w:line="200" w:lineRule="exact"/>
    </w:pPr>
    <w:rPr>
      <w:sz w:val="16"/>
    </w:rPr>
  </w:style>
  <w:style w:type="paragraph" w:styleId="ListParagraph">
    <w:name w:val="List Paragraph"/>
    <w:basedOn w:val="Normal"/>
    <w:rsid w:val="00FB5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14.xml.rels><?xml version="1.0" encoding="UTF-8" standalone="yes"?>
<Relationships xmlns="http://schemas.openxmlformats.org/package/2006/relationships"><Relationship Id="removespace" Type="http://schemas.openxmlformats.org/officeDocument/2006/relationships/image" Target="images/removespace.ICO"/><Relationship Id="ORCID" Type="http://schemas.openxmlformats.org/officeDocument/2006/relationships/image" Target="images/ORCID.ICO"/><Relationship Id="papertitle" Type="http://schemas.openxmlformats.org/officeDocument/2006/relationships/image" Target="images/papertitle.ICO"/><Relationship Id="FigCaption" Type="http://schemas.openxmlformats.org/officeDocument/2006/relationships/image" Target="images/FigCaption16.ICO"/><Relationship Id="addspace" Type="http://schemas.openxmlformats.org/officeDocument/2006/relationships/image" Target="images/addspace.ICO"/><Relationship Id="arrowleft" Type="http://schemas.openxmlformats.org/officeDocument/2006/relationships/image" Target="images/arrowleft.ICO"/><Relationship Id="bulletitem" Type="http://schemas.openxmlformats.org/officeDocument/2006/relationships/image" Target="images/bulletitem.ICO"/><Relationship Id="togglenumbering" Type="http://schemas.openxmlformats.org/officeDocument/2006/relationships/image" Target="images/togglenumbering.ICO"/><Relationship Id="eqnumber" Type="http://schemas.openxmlformats.org/officeDocument/2006/relationships/image" Target="images/eqnumber.ICO"/><Relationship Id="normalspace" Type="http://schemas.openxmlformats.org/officeDocument/2006/relationships/image" Target="images/normalspace.ICO"/><Relationship Id="abstract" Type="http://schemas.openxmlformats.org/officeDocument/2006/relationships/image" Target="images/abstract.ICO"/><Relationship Id="arrowright" Type="http://schemas.openxmlformats.org/officeDocument/2006/relationships/image" Target="images/arrowright.ICO"/><Relationship Id="equation" Type="http://schemas.openxmlformats.org/officeDocument/2006/relationships/image" Target="images/equation.ICO"/><Relationship Id="RedoStyles" Type="http://schemas.openxmlformats.org/officeDocument/2006/relationships/image" Target="images/RedoStyles.ICO"/><Relationship Id="TabCaption" Type="http://schemas.openxmlformats.org/officeDocument/2006/relationships/image" Target="images/TabCaption16.ICO"/><Relationship Id="normal" Type="http://schemas.openxmlformats.org/officeDocument/2006/relationships/image" Target="images/normal32.ICO"/><Relationship Id="squeeze" Type="http://schemas.openxmlformats.org/officeDocument/2006/relationships/image" Target="images/squeeze.ICO"/><Relationship Id="expand" Type="http://schemas.openxmlformats.org/officeDocument/2006/relationships/image" Target="images/expand.ICO"/><Relationship Id="InsertImage" Type="http://schemas.openxmlformats.org/officeDocument/2006/relationships/image" Target="images/InsertImage16.ICO"/><Relationship Id="dashitem" Type="http://schemas.openxmlformats.org/officeDocument/2006/relationships/image" Target="images/dashitem.ICO"/><Relationship Id="numitem" Type="http://schemas.openxmlformats.org/officeDocument/2006/relationships/image" Target="images/numitem.ICO"/><Relationship Id="papersubtitle" Type="http://schemas.openxmlformats.org/officeDocument/2006/relationships/image" Target="images/subtitle.ICO"/><Relationship Id="HeaderFooter" Type="http://schemas.openxmlformats.org/officeDocument/2006/relationships/image" Target="images/HeaderFooter.ICO"/></Relationships>
</file>

<file path=customUI/customUI14.xml><?xml version="1.0" encoding="utf-8"?>
<customUI xmlns="http://schemas.microsoft.com/office/2009/07/customui" onLoad="LoadSpProcRibbon">
  <ribbon startFromScratch="false">
    <tabs>
      <tab id="tabSpProc" insertBeforeMso="TabHome" label="Springer Proceedings Macros">
        <group id="grTitlePage" label="Title Page" autoScale="true">
          <button id="btnTitle" label="Title" image="papertitle" size="large" onAction="MakeTitle" screentip="Format selected text as paper title"/>
          <button id="btnSubtitle" label="Subtitle" image="papersubtitle" size="large" onAction="MakeSubtitle" screentip="Format selected text as paper subtitle (optional)"/>
          <button id="btnAuthor" label="Author" imageMso="DistributionListSelectMembers" size="large" onAction="MakeAuthor" screentip="Format selected text as paper author(s)"/>
          <box id="box1" boxStyle="vertical">
            <button id="btnORCID" label="ORCID" image="ORCID" onAction="MakeORCID" screentip="Format selected text as ORCID id" supertip="Please note that ORCID ids will not be printed. In the online version they will be replaced by icons that are linked to the related ORCID pages."/>
            <button id="btnAddress" label="Address" imageMso="MailMergeAddressBlockInsert" onAction="MakeAddress" screentip="Format selected text as affiliation (including e-mail address, URL)"/>
            <button id="btnEmail" label="E-mail" imageMso="EnvelopesAndLabelsDialog" onAction="MakeEMail" screentip="Format selected text as e-mail address or URL (apply typewriter style)"/>
          </box>
          <button id="btnAbstract" label="Abstract" image="abstract" size="large" onAction="MakeAbstract" screentip="Format selected text as abstract" supertip="If not present, the word 'Abstract' is added at the beginning of the first paragraph."/>
          <button id="btnKeywords" label="Keywords" imageMso="ReviewTrackChanges" size="large" onAction="MakeKeywords" screentip="Format selected text as keywords" supertip="If not present, the word 'Keywords' is added at the beginning of the first paragraph."/>
        </group>
        <group id="grBasicFormats" image="lncs2" label="Basic Formats" autoScale="true">
          <button id="btnH1" label="H1" imageMso="PivotTableLayoutShowInOutlineForm" size="large" onAction="H1" screentip="Format selected text as heading (level 1)"/>
          <button id="btnH2" label="H2" imageMso="PivotTableLayoutShowInCompactForm" size="large" onAction="H2" screentip="Format selected text as heading (level 2)"/>
          <button id="btnH3" label="H3" imageMso="PivotTableLayoutBlankRows" size="large" onAction="H3" screentip="Format selected text as an unnumbered heading (level 3)"/>
          <button id="btnH4" label="H4" imageMso="PivotTableLayoutSubtotals" size="large" onAction="H4" screentip="Format selected text as an unnumbered heading (level 4)"/>
          <box id="box2" boxStyle="vertical">
            <button id="btnBullet" label="Bullet Item" image="bulletitem" onAction="MakeBulletItem" screentip="Format selected text as bullet item(s)" supertip="Please note that bullets are the default for unnumbered lists in Springer proceedings."/>
            <button id="btnDash" label="Dash Item" image="dashitem" onAction="MakeDashItem" screentip="Format selected text as dash item(s)" supertip="Please note that bullets are the default for unnumbered lists in Springer proceedings."/>
            <button id="btnNumbered" label="Num Item" image="numitem" onAction="MakeNumItem" screentip="Format selected text as numbered item(s)"/>
          </box>
          <box id="box3" boxStyle="vertical">
            <button id="btnListLevelUp" label="List Level +" image="arrowright" onAction="ListLevelUp" screentip="Move the selected text one level up in the list hierarchy" supertip="This buttton can be used to create and edit nested lists (numbered and unnumbered)."/>
            <button id="btnListLevelDown" label="List Level -" image="arrowleft" onAction="ListLevelDown" screentip="Move the selected text one level down in the list hierarchy" supertip="This buttton can be used to create and edit nested lists (numbered and unnumbered)."/>
            <button id="btnToggleNum" label=" 1../..n.." image="togglenumbering" onAction="RestartNumbering" screentip="Toggle between restarting and continuing a numbered list" supertip="Applies to numbered lists only."/>
          </box>
          <button id="btnStandard" label="Normal Text" image="normal" size="large" onAction="MakeStandard" screentip="Format the selection as normal text" supertip="This button can change both paragraph format and character style. If applied to a nonstandard paragraph, the standard paragraph format is applied. If applied to a standard paragraph, the standard character style is applied. If you want to both apply the standard paragraph format and remove a nonstandard character style, simply click on the button twice."/>
          <box id="box4" boxStyle="vertical">
            <button id="btnAddSpace" label="Add Space" image="addspace" onAction="AddVerticalSpace" screentip="Add 6 pt (2.1 mm) of vertical space before the selected paragraph."/>
            <button id="btnClearSpace" label="Clear Space" image="removespace" onAction="ClearVerticalSpace" screentip="Clear any vertical space before and after the selected text"/>
            <button id="btnFootnote" label="Footnote" imageMso="FootnoteInsert" onAction="InsertFN" screentip="Add a footnote"/>
          </box>
          <button id="btnReference" label="Reference Item" imageMso="NameManager" size="large" onAction="MakeRefItem" screentip="Format selected text as reference item"/>
        </group>
        <group id="grSpecialFormats" label="Figures, Tables, Equations" autoScale="true">
          <box id="box5" boxStyle="vertical">
            <button id="btnInsImage" label="Insert Image" image="InsertImage" onAction="InsertImage" screentip="Insert an image from a file."/>
            <button id="btnFigure" label="Figure Caption" image="FigCaption" onAction="MakeFigCaption" screentip="Format the selected text as figure caption" supertip="Please note that the figure is numbered with an automatic counter that is updated whenever you reopen the document. A figure caption should always be positioned below the related figure."/>
          </box>
          <separator id="separator1"/>
          <box id="box6" boxStyle="vertical">
            <button id="btnTable" label="Table Caption" image="TabCaption" onAction="MakeTableCaption" screentip="Format the selected text as table caption" supertip="Please note that the table is numbered with an automatic counter that is updated whenever you reopen the document. A table caption should always be positioned above the related table."/>
            <gallery idMso="TableInsertGallery" label="Insert Table"/>
          </box>
          <separator id="separator2"/>
          <button id="btnEquation" label="Displayed Equation" image="equation" size="large" onAction="MakeEquation" screentip="Format the selected text as a displayed equation"/>
          <button id="btnEqCounter" label="Add Eq. Number" image="eqnumber" size="large" onAction="AddEqCounter" screentip="Add an equation number to a selected equation" supertip="The equation numbering is updated whenever you open the document"/>
          <button id="btnProgcode" label="Prog. Code" imageMso="CreateStoredProcedure" size="large" onAction="MakeProgCode" screentip="Format the selected text as program code (typewriter style)"/>
        </group>
        <group id="grRestoreTemplate" label="Template" autoScale="true">
          <button id="btnRestTemplate" label="Check Styles" imageMso="AccessThemesGallery" size="large" onAction="RestoreSettings" screentip="Restore all styles" supertip="Use this button if the original template styles might have been altered or deleted."/>
        </group>
      </tab>
    </tabs>
  </ribbon>
</customUI>
</file>

<file path=docProps/app.xml><?xml version="1.0" encoding="utf-8"?>
<Properties xmlns="http://schemas.openxmlformats.org/officeDocument/2006/extended-properties" xmlns:vt="http://schemas.openxmlformats.org/officeDocument/2006/docPropsVTypes">
  <Template>Normal</Template>
  <TotalTime>2</TotalTime>
  <Pages>11</Pages>
  <Words>4145</Words>
  <Characters>25262</Characters>
  <Application>Microsoft Office Word</Application>
  <DocSecurity>0</DocSecurity>
  <Lines>210</Lines>
  <Paragraphs>58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dataspect IT-Services, Neckargemuend, Germany</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Richter</dc:creator>
  <dc:description>Formats and macros for Springer Lecture Notes</dc:description>
  <cp:lastModifiedBy>Yoon, Hyun</cp:lastModifiedBy>
  <cp:revision>2</cp:revision>
  <dcterms:created xsi:type="dcterms:W3CDTF">2024-05-01T16:53:00Z</dcterms:created>
  <dcterms:modified xsi:type="dcterms:W3CDTF">2024-05-01T16:53:00Z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2024-05-01T16:53:17Z</vt:lpwstr>
  </property>
  <property fmtid="{D5CDD505-2E9C-101B-9397-08002B2CF9AE}" pid="4" name="MSIP_Label_06c24981-b6df-48f8-949b-0896357b9b03_Method">
    <vt:lpwstr>Standard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f0312ca1-a3a9-4f69-a6ed-016a66efdd48</vt:lpwstr>
  </property>
  <property fmtid="{D5CDD505-2E9C-101B-9397-08002B2CF9AE}" pid="8" name="MSIP_Label_06c24981-b6df-48f8-949b-0896357b9b03_ContentBits">
    <vt:lpwstr>0</vt:lpwstr>
  </property>
</Properties>
</file>